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header206.xml" ContentType="application/vnd.openxmlformats-officedocument.wordprocessingml.header+xml"/>
  <Override PartName="/word/footer205.xml" ContentType="application/vnd.openxmlformats-officedocument.wordprocessingml.foot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header209.xml" ContentType="application/vnd.openxmlformats-officedocument.wordprocessingml.header+xml"/>
  <Override PartName="/word/footer208.xml" ContentType="application/vnd.openxmlformats-officedocument.wordprocessingml.foot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header212.xml" ContentType="application/vnd.openxmlformats-officedocument.wordprocessingml.header+xml"/>
  <Override PartName="/word/footer211.xml" ContentType="application/vnd.openxmlformats-officedocument.wordprocessingml.foot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header215.xml" ContentType="application/vnd.openxmlformats-officedocument.wordprocessingml.header+xml"/>
  <Override PartName="/word/footer214.xml" ContentType="application/vnd.openxmlformats-officedocument.wordprocessingml.foot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header218.xml" ContentType="application/vnd.openxmlformats-officedocument.wordprocessingml.header+xml"/>
  <Override PartName="/word/footer217.xml" ContentType="application/vnd.openxmlformats-officedocument.wordprocessingml.foot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header221.xml" ContentType="application/vnd.openxmlformats-officedocument.wordprocessingml.header+xml"/>
  <Override PartName="/word/footer220.xml" ContentType="application/vnd.openxmlformats-officedocument.wordprocessingml.foot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header224.xml" ContentType="application/vnd.openxmlformats-officedocument.wordprocessingml.header+xml"/>
  <Override PartName="/word/footer223.xml" ContentType="application/vnd.openxmlformats-officedocument.wordprocessingml.foot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A7ECEA" w14:textId="0B2F8E18" w:rsidR="00A00259" w:rsidRDefault="00FA1408" w:rsidP="00FA1408">
      <w:pPr>
        <w:pStyle w:val="Pagedecouverture"/>
        <w:rPr>
          <w:noProof/>
        </w:rPr>
      </w:pPr>
      <w:bookmarkStart w:id="0" w:name="LW_BM_COVERPAGE"/>
      <w:r>
        <w:rPr>
          <w:noProof/>
        </w:rPr>
        <w:pict w14:anchorId="18DABD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02CBCD8-9D41-4BDC-AD82-446CD798DDF7" style="width:455.25pt;height:372.75pt">
            <v:imagedata r:id="rId11" o:title=""/>
          </v:shape>
        </w:pict>
      </w:r>
    </w:p>
    <w:bookmarkEnd w:id="0"/>
    <w:p w14:paraId="5FADCECE" w14:textId="77777777" w:rsidR="00A00259" w:rsidRDefault="00A00259">
      <w:pPr>
        <w:rPr>
          <w:noProof/>
        </w:rPr>
        <w:sectPr w:rsidR="00A00259" w:rsidSect="00FA1408">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2"/>
          <w:cols w:space="720"/>
          <w:docGrid w:linePitch="360"/>
        </w:sectPr>
      </w:pPr>
    </w:p>
    <w:p w14:paraId="26C976AB" w14:textId="77777777" w:rsidR="00A00259" w:rsidRDefault="00371282">
      <w:pPr>
        <w:pStyle w:val="P68B1DB1-Normal1"/>
        <w:spacing w:before="120" w:after="120" w:line="240" w:lineRule="auto"/>
        <w:jc w:val="center"/>
        <w:rPr>
          <w:bCs/>
          <w:noProof/>
        </w:rPr>
      </w:pPr>
      <w:bookmarkStart w:id="1" w:name="_GoBack"/>
      <w:bookmarkEnd w:id="1"/>
      <w:r>
        <w:rPr>
          <w:noProof/>
        </w:rPr>
        <w:lastRenderedPageBreak/>
        <w:t>ANNEXE</w:t>
      </w:r>
    </w:p>
    <w:p w14:paraId="19DA4ADA" w14:textId="77777777" w:rsidR="00A00259" w:rsidRDefault="00A00259">
      <w:pPr>
        <w:spacing w:before="120" w:after="120" w:line="240" w:lineRule="auto"/>
        <w:jc w:val="center"/>
        <w:rPr>
          <w:rFonts w:ascii="Times New Roman" w:hAnsi="Times New Roman" w:cs="Times New Roman"/>
          <w:b/>
          <w:bCs/>
          <w:noProof/>
        </w:rPr>
      </w:pPr>
    </w:p>
    <w:p w14:paraId="667640AB" w14:textId="77777777" w:rsidR="00A00259" w:rsidRDefault="00371282">
      <w:pPr>
        <w:pStyle w:val="P68B1DB1-Normal2"/>
        <w:keepNext/>
        <w:tabs>
          <w:tab w:val="num" w:pos="850"/>
        </w:tabs>
        <w:spacing w:before="360" w:after="0" w:line="259" w:lineRule="auto"/>
        <w:jc w:val="both"/>
        <w:outlineLvl w:val="0"/>
        <w:rPr>
          <w:noProof/>
        </w:rPr>
      </w:pPr>
      <w:r>
        <w:rPr>
          <w:noProof/>
        </w:rPr>
        <w:t>SECTION 1 : RÉFORMES ET INVESTISSEMENTS DANS LE CADRE DU PLAN DE RÉCUPÉRATION ET DE RESILIENCE</w:t>
      </w:r>
    </w:p>
    <w:p w14:paraId="619BD828" w14:textId="77777777" w:rsidR="00A00259" w:rsidRDefault="00A00259">
      <w:pPr>
        <w:spacing w:before="120" w:after="120" w:line="240" w:lineRule="auto"/>
        <w:jc w:val="both"/>
        <w:rPr>
          <w:rFonts w:ascii="Times New Roman" w:hAnsi="Times New Roman" w:cs="Times New Roman"/>
          <w:noProof/>
          <w:sz w:val="24"/>
        </w:rPr>
      </w:pPr>
    </w:p>
    <w:p w14:paraId="32C04FEC" w14:textId="77777777" w:rsidR="00A00259" w:rsidRDefault="00371282">
      <w:pPr>
        <w:pStyle w:val="P68B1DB1-ListParagraph3"/>
        <w:keepNext/>
        <w:numPr>
          <w:ilvl w:val="0"/>
          <w:numId w:val="19"/>
        </w:numPr>
        <w:spacing w:before="240" w:after="240" w:line="259" w:lineRule="auto"/>
        <w:ind w:left="714" w:hanging="357"/>
        <w:contextualSpacing w:val="0"/>
        <w:jc w:val="both"/>
        <w:outlineLvl w:val="1"/>
        <w:rPr>
          <w:noProof/>
        </w:rPr>
      </w:pPr>
      <w:r>
        <w:rPr>
          <w:noProof/>
        </w:rPr>
        <w:t xml:space="preserve">Description des réformes et des investissements </w:t>
      </w:r>
    </w:p>
    <w:p w14:paraId="16C6DEF6" w14:textId="77777777" w:rsidR="00A00259" w:rsidRDefault="00371282">
      <w:pPr>
        <w:pStyle w:val="P68B1DB1-ListParagraph4"/>
        <w:numPr>
          <w:ilvl w:val="0"/>
          <w:numId w:val="20"/>
        </w:numPr>
        <w:spacing w:before="240" w:after="120" w:line="240" w:lineRule="auto"/>
        <w:ind w:left="363" w:hanging="357"/>
        <w:jc w:val="both"/>
        <w:outlineLvl w:val="3"/>
        <w:rPr>
          <w:rFonts w:cs="Times New Roman"/>
          <w:bCs/>
          <w:noProof/>
        </w:rPr>
      </w:pPr>
      <w:r>
        <w:rPr>
          <w:noProof/>
        </w:rPr>
        <w:t>ÉLÉMENT 1.1: POWER UP</w:t>
      </w:r>
    </w:p>
    <w:p w14:paraId="66644F1E" w14:textId="3A0E66B1" w:rsidR="00A00259" w:rsidRDefault="00371282">
      <w:pPr>
        <w:pStyle w:val="P68B1DB1-Normal5"/>
        <w:jc w:val="both"/>
        <w:rPr>
          <w:noProof/>
        </w:rPr>
      </w:pPr>
      <w:r>
        <w:rPr>
          <w:noProof/>
        </w:rPr>
        <w:t>Ce volet du plan pour la reprise et la résilience de la Grèce cible des réformes et des investissements visant à accroître le poids des sources d’énergie renouvelables dans le système électrique et à faciliter le processus de décarbonation de la Grèce. Les réformes simplifient les règles d’octroi de licences pour les investissements dans les énergies renouvelables, rendent le marché de l’électricité plus efficace et garantissent la viabilité financière des régimes d’aide. Le volet comprend également des investissements clés dans les réseaux afin de compléter l’interconnexion avec les îles des Cyclades et de rendre la distribution d’électricité plus respectueuse de l’environnement et capable d’absorber une plus grande part d’énergie renouvelable. Les systèmes de stockage soutiennent également la décarbonation de l’économie en accumulant l’excédent d’électricité renouvelable. La réhabilitation des terres sera également soutenue dans les zones actuellement utilisées comme mines de lignite, en tant qu’étape du processus de transition juste dans les territoires les plus touchés par l’élimination progressive du lignite. Ce volet est conforme au plan national en matière d’énergie et de climat (PNEC) et soutient la mise en œuvre des recommandations par pays sur les investissements publics et privés (recommandation par pays no 3 de 2020 et recommandation par pays no 2 de 2019). 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313C243E" w14:textId="77777777" w:rsidR="00A00259" w:rsidRDefault="00371282">
      <w:pPr>
        <w:pStyle w:val="P68B1DB1-Normal6"/>
        <w:spacing w:before="120" w:after="120" w:line="240" w:lineRule="auto"/>
        <w:jc w:val="both"/>
        <w:rPr>
          <w:rFonts w:cs="Times New Roman"/>
          <w:noProof/>
        </w:rPr>
      </w:pPr>
      <w:r>
        <w:rPr>
          <w:noProof/>
        </w:rPr>
        <w:t>A.1. Description des réformes et des investissements pour le soutien financier non remboursable</w:t>
      </w:r>
    </w:p>
    <w:p w14:paraId="6B47190A" w14:textId="77777777" w:rsidR="00A00259" w:rsidRDefault="00371282">
      <w:pPr>
        <w:pStyle w:val="P68B1DB1-Normal5"/>
        <w:spacing w:before="120" w:after="120" w:line="240" w:lineRule="auto"/>
        <w:jc w:val="both"/>
        <w:rPr>
          <w:rFonts w:cs="Times New Roman"/>
          <w:noProof/>
        </w:rPr>
      </w:pPr>
      <w:r>
        <w:rPr>
          <w:b/>
          <w:noProof/>
        </w:rPr>
        <w:t xml:space="preserve">Investissement: </w:t>
      </w:r>
      <w:r>
        <w:rPr>
          <w:noProof/>
        </w:rPr>
        <w:t>Soutien à l’installation de systèmes de stockage pour améliorer la pénétration des énergies renouvelables (SER) (mesure ID: 16926)</w:t>
      </w:r>
    </w:p>
    <w:p w14:paraId="21988F84" w14:textId="77777777" w:rsidR="00A00259" w:rsidRDefault="00371282">
      <w:pPr>
        <w:pStyle w:val="P68B1DB1-Normal7"/>
        <w:spacing w:before="120" w:after="120" w:line="240" w:lineRule="auto"/>
        <w:jc w:val="both"/>
        <w:rPr>
          <w:rFonts w:cs="Times New Roman"/>
          <w:noProof/>
        </w:rPr>
      </w:pPr>
      <w:r>
        <w:rPr>
          <w:noProof/>
        </w:rPr>
        <w:t>L’objectif de la mesure est de réduire la congestion du réseau et d’accroître la flexibilité du système électrique. La mesure consiste en l'installation de systèmes de stockage d'énergie par batterie et la construction d'un système de stockage hydroélectrique par pompage.</w:t>
      </w:r>
    </w:p>
    <w:p w14:paraId="74C69098" w14:textId="77777777" w:rsidR="00A00259" w:rsidRDefault="00371282">
      <w:pPr>
        <w:pStyle w:val="P68B1DB1-Normal5"/>
        <w:spacing w:before="120" w:after="120" w:line="240" w:lineRule="auto"/>
        <w:jc w:val="both"/>
        <w:rPr>
          <w:rFonts w:cs="Times New Roman"/>
          <w:noProof/>
        </w:rPr>
      </w:pPr>
      <w:r>
        <w:rPr>
          <w:b/>
          <w:noProof/>
        </w:rPr>
        <w:t xml:space="preserve">Investissement: Actions de </w:t>
      </w:r>
      <w:r>
        <w:rPr>
          <w:noProof/>
        </w:rPr>
        <w:t>revitalisation dans les territoires en transition juste (mesure ID: 16871)</w:t>
      </w:r>
    </w:p>
    <w:p w14:paraId="00A608AA" w14:textId="77777777" w:rsidR="00A00259" w:rsidRDefault="00371282">
      <w:pPr>
        <w:pStyle w:val="P68B1DB1-Normal7"/>
        <w:spacing w:before="120" w:after="120" w:line="240" w:lineRule="auto"/>
        <w:jc w:val="both"/>
        <w:rPr>
          <w:rFonts w:cs="Times New Roman"/>
          <w:noProof/>
        </w:rPr>
      </w:pPr>
      <w:r>
        <w:rPr>
          <w:noProof/>
        </w:rPr>
        <w:lastRenderedPageBreak/>
        <w:t xml:space="preserve">L’objectif de la mesure est la revitalisation des territoires en transition juste. La mesure consiste en des subventions destinées à financer la réhabilitation des terres dans les zones transférées des anciennes mines de lignite de Macédoine occidentale et de Megalopolis. </w:t>
      </w:r>
    </w:p>
    <w:p w14:paraId="7CA71588"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Interventions pour l’interconnexion électrique des îles et investissements dans le réseau électrique (mesure ID: 16870)</w:t>
      </w:r>
    </w:p>
    <w:p w14:paraId="30F1EFF4" w14:textId="0BD75AF7" w:rsidR="00A00259" w:rsidRDefault="00371282">
      <w:pPr>
        <w:pStyle w:val="P68B1DB1-Normal8"/>
        <w:spacing w:before="120" w:after="120" w:line="240" w:lineRule="auto"/>
        <w:jc w:val="both"/>
        <w:rPr>
          <w:rFonts w:ascii="Times New Roman" w:hAnsi="Times New Roman"/>
          <w:noProof/>
        </w:rPr>
      </w:pPr>
      <w:r>
        <w:rPr>
          <w:rFonts w:ascii="Times New Roman" w:hAnsi="Times New Roman"/>
          <w:noProof/>
        </w:rPr>
        <w:t xml:space="preserve">L’objectif de la mesure est d’investir dans la sécurité du système énergétique avec l’interconnexion des îles et la réalisation d’investissements dans le réseau électrique. L’investissement comprend la construction de l’interconnexion électrique des îles Cyclades (phase D), la modernisation du centre de haute tension extra-haute (EHVC) de Koumoundouros </w:t>
      </w:r>
      <w:r>
        <w:rPr>
          <w:rFonts w:ascii="Times New Roman" w:hAnsi="Times New Roman" w:cs="Times New Roman"/>
          <w:noProof/>
          <w:color w:val="000000" w:themeColor="text1"/>
        </w:rPr>
        <w:t xml:space="preserve">et l’installation de tours de transmission pour la construction d’une ligne aérienne reliant le </w:t>
      </w:r>
      <w:r>
        <w:rPr>
          <w:rFonts w:ascii="Times New Roman" w:eastAsiaTheme="minorEastAsia" w:hAnsi="Times New Roman" w:cs="Times New Roman"/>
          <w:noProof/>
        </w:rPr>
        <w:t xml:space="preserve">centre de </w:t>
      </w:r>
      <w:r>
        <w:rPr>
          <w:rFonts w:ascii="Times New Roman" w:hAnsi="Times New Roman" w:cs="Times New Roman"/>
          <w:noProof/>
          <w:color w:val="000000" w:themeColor="text1"/>
        </w:rPr>
        <w:t xml:space="preserve"> haute tension extra-haute (EHVC) de Corinthe et l’EHVC de Koumoundouros.</w:t>
      </w:r>
    </w:p>
    <w:p w14:paraId="4C8F3816" w14:textId="77777777" w:rsidR="00A00259" w:rsidRDefault="00371282">
      <w:pPr>
        <w:pStyle w:val="P68B1DB1-Normal7"/>
        <w:spacing w:before="120" w:after="120" w:line="240" w:lineRule="auto"/>
        <w:jc w:val="both"/>
        <w:rPr>
          <w:rFonts w:cs="Times New Roman"/>
          <w:noProof/>
        </w:rPr>
      </w:pPr>
      <w:r>
        <w:rPr>
          <w:b/>
          <w:noProof/>
        </w:rPr>
        <w:t xml:space="preserve">Investissement: Mises à niveau du réseau du gestionnaire de réseau </w:t>
      </w:r>
      <w:r>
        <w:rPr>
          <w:noProof/>
        </w:rPr>
        <w:t>grec de distribution d’électricité (HEDNO) visant à renforcer la résilience et à protéger l’environnement (mesure ID: 16901)</w:t>
      </w:r>
    </w:p>
    <w:p w14:paraId="2D6772AB" w14:textId="77777777" w:rsidR="00A00259" w:rsidRDefault="00371282">
      <w:pPr>
        <w:pStyle w:val="P68B1DB1-Normal7"/>
        <w:spacing w:before="120" w:after="120" w:line="240" w:lineRule="auto"/>
        <w:jc w:val="both"/>
        <w:rPr>
          <w:rFonts w:cs="Times New Roman"/>
          <w:noProof/>
        </w:rPr>
      </w:pPr>
      <w:r>
        <w:rPr>
          <w:noProof/>
        </w:rPr>
        <w:t>L'investissement consiste en l'enfouissement et le réacheminement du réseau de distribution d'électricité dans des localités d'une importance particulière du point de vue culturel ou touristique, ainsi que dans des zones urbaines, la priorité étant accordée aux zones où l'infrastructure est vulnérable aux conditions météorologiques extrêmes. Il vise à améliorer la résilience du réseau de distribution et à contribuer à la protection de l'environnement. La mise en œuvre de l’investissement est achevée au plus tard le 31 décembre 2025.</w:t>
      </w:r>
    </w:p>
    <w:p w14:paraId="74A6D951" w14:textId="011E7A33" w:rsidR="00A00259" w:rsidRDefault="00371282">
      <w:pPr>
        <w:pStyle w:val="P68B1DB1-Normal7"/>
        <w:spacing w:before="120" w:after="120" w:line="240" w:lineRule="auto"/>
        <w:jc w:val="both"/>
        <w:rPr>
          <w:rFonts w:cs="Times New Roman"/>
          <w:noProof/>
        </w:rPr>
      </w:pPr>
      <w:r>
        <w:rPr>
          <w:b/>
          <w:noProof/>
        </w:rPr>
        <w:t>Investissement:</w:t>
      </w:r>
      <w:r>
        <w:rPr>
          <w:noProof/>
        </w:rPr>
        <w:t xml:space="preserve"> Mises à niveau du réseau du gestionnaire de réseau grec de distribution d’électricité (HEDNO) (ID de mesure: 16900)</w:t>
      </w:r>
    </w:p>
    <w:p w14:paraId="3FEBF867" w14:textId="77777777" w:rsidR="00A00259" w:rsidRDefault="00371282">
      <w:pPr>
        <w:pStyle w:val="P68B1DB1-Normal7"/>
        <w:spacing w:before="120" w:after="120" w:line="240" w:lineRule="auto"/>
        <w:jc w:val="both"/>
        <w:rPr>
          <w:rFonts w:cs="Times New Roman"/>
          <w:noProof/>
        </w:rPr>
      </w:pPr>
      <w:r>
        <w:rPr>
          <w:noProof/>
        </w:rPr>
        <w:t xml:space="preserve">L’objectif de la mesure est de soutenir la résilience et la fiabilité du réseau de distribution d’électricité. La mesure consiste à remplacer les conducteurs nus dans le réseau aérien, à installer des couvercles isolants et à souterrainiser ou à réorienter les lignes électriques dans les zones forestières et les zones urbaines. </w:t>
      </w:r>
    </w:p>
    <w:p w14:paraId="5AA56A8C"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Gestionnaire de réseau de distribution d’électricité hellénique (HEDNO) sous-stations haute tension/moyenne tension (mesure ID: 16899)</w:t>
      </w:r>
    </w:p>
    <w:p w14:paraId="16F5629D" w14:textId="730B3BB1" w:rsidR="00A00259" w:rsidRDefault="00371282">
      <w:pPr>
        <w:pStyle w:val="P68B1DB1-Normal7"/>
        <w:spacing w:before="120" w:after="120" w:line="240" w:lineRule="auto"/>
        <w:jc w:val="both"/>
        <w:rPr>
          <w:noProof/>
        </w:rPr>
      </w:pPr>
      <w:r>
        <w:rPr>
          <w:noProof/>
        </w:rPr>
        <w:t xml:space="preserve">L’objectif de la mesure est d’atténuer la congestion du réseau de distribution d’électricité. La mesure consiste en l’augmentation de la capacité des sous-stations existantes du réseau. </w:t>
      </w:r>
    </w:p>
    <w:p w14:paraId="5ED4EE23"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Restructuration et amélioration des recettes du compte des sources d’énergie renouvelables – production combinée de chaleur et d’électricité (SER-CHP) (mesure ID: 16865)</w:t>
      </w:r>
    </w:p>
    <w:p w14:paraId="29C08B09" w14:textId="77777777" w:rsidR="00A00259" w:rsidRDefault="00371282">
      <w:pPr>
        <w:pStyle w:val="P68B1DB1-Normal5"/>
        <w:spacing w:before="120" w:after="120" w:line="240" w:lineRule="auto"/>
        <w:jc w:val="both"/>
        <w:rPr>
          <w:noProof/>
        </w:rPr>
      </w:pPr>
      <w:r>
        <w:rPr>
          <w:noProof/>
        </w:rPr>
        <w:t xml:space="preserve">La réforme consiste à: a) la restructuration de la structure de rémunération existante pour les producteurs SER, par la création de nouvelles unités SER (mises en service après le 1er janvier 2021) d’un nouveau compte SER-CHP remplaçant l’actuel, complété par de nouveaux mécanismes qui garantiront la viabilité financière des comptes SER-CHP existants et des nouveaux comptes SER-CHP; et b) l’introduction d’un système d’échange de garanties d’origine, d’un «droit COVID-19» extraordinaire pour les producteurs et les fournisseurs de SER et d’une «taxe carbone» permanente sur le carburant diesel. Les mesures garantissent la viabilité de la capacité SER installée existante et facilitent le financement de nouveaux projets dans le domaine des SER, étant donné que toute entrée/sortie inattendue ayant une incidence négative sur le ou les comptes SER est traitée au moyen des redevances réglementaires qui sont répercutées sur les clients. </w:t>
      </w:r>
    </w:p>
    <w:p w14:paraId="5AA29556" w14:textId="77777777" w:rsidR="00A00259" w:rsidRDefault="00371282">
      <w:pPr>
        <w:pStyle w:val="P68B1DB1-Normal5"/>
        <w:spacing w:before="120" w:after="120" w:line="240" w:lineRule="auto"/>
        <w:jc w:val="both"/>
        <w:rPr>
          <w:rFonts w:cs="Times New Roman"/>
          <w:noProof/>
        </w:rPr>
      </w:pPr>
      <w:r>
        <w:rPr>
          <w:noProof/>
        </w:rPr>
        <w:t>La mise en œuvre de la réforme, y compris une augmentation de 3 gigawatts de la capacité de production d’électricité à partir de sources d’énergie renouvelables, est achevée au plus tard le 30 juin 2025.</w:t>
      </w:r>
    </w:p>
    <w:p w14:paraId="2A47DF82"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Rationaliser le fonctionnement efficace du nouveau modèle de marché de l’électricité et le développement de nouvelles centrales SER afin d’atteindre les objectifs du PNEC grâce à la mise en œuvre d’un mécanisme de suivi, à la participation active de la demande et à une réforme en profondeur de la procédure d’autorisation pour les nouvelles SER (mesure ID: 16860)</w:t>
      </w:r>
    </w:p>
    <w:p w14:paraId="22563AD8" w14:textId="5697DA39" w:rsidR="00A00259" w:rsidRDefault="00371282">
      <w:pPr>
        <w:pStyle w:val="P68B1DB1-Normal7"/>
        <w:spacing w:before="120" w:after="120" w:line="240" w:lineRule="auto"/>
        <w:jc w:val="both"/>
        <w:rPr>
          <w:rFonts w:cs="Times New Roman"/>
          <w:noProof/>
        </w:rPr>
      </w:pPr>
      <w:r>
        <w:rPr>
          <w:noProof/>
        </w:rPr>
        <w:br w:type="page"/>
        <w:t>La réforme consiste à rationaliser le cadre d’octroi de licences pour les SER, y compris la simplification et la numérisation des procédures, des délais de réponse administratifs courts et contraignants et des procédures de responsabilité en cas de retards inutiles, la réduction de la documentation et des procédures nécessaires, ainsi qu’un nouveau cadre spécifique pour les centrales SER en mer. L'objectif est d'accélérer le doublement de la capacité installée des SER en vue de l'élimination progressive du lignite en Grèce.</w:t>
      </w:r>
    </w:p>
    <w:p w14:paraId="611C4848" w14:textId="77777777" w:rsidR="00A00259" w:rsidRDefault="00371282">
      <w:pPr>
        <w:pStyle w:val="P68B1DB1-Normal5"/>
        <w:spacing w:before="120" w:after="120" w:line="240" w:lineRule="auto"/>
        <w:jc w:val="both"/>
        <w:rPr>
          <w:rFonts w:cs="Times New Roman"/>
          <w:noProof/>
        </w:rPr>
      </w:pPr>
      <w:r>
        <w:rPr>
          <w:noProof/>
        </w:rPr>
        <w:t xml:space="preserve">Enfin, la réforme met également en place un système de surveillance du marché pour l’autorité de régulation nationale (ARN) et la participation de la participation active de la demande (RSD) au marché de l’équilibrage. </w:t>
      </w:r>
    </w:p>
    <w:p w14:paraId="150DEDDE" w14:textId="77777777" w:rsidR="00A00259" w:rsidRDefault="00371282">
      <w:pPr>
        <w:pStyle w:val="P68B1DB1-Normal5"/>
        <w:spacing w:before="120" w:after="120" w:line="240" w:lineRule="auto"/>
        <w:jc w:val="both"/>
        <w:rPr>
          <w:rFonts w:cs="Times New Roman"/>
          <w:noProof/>
        </w:rPr>
      </w:pPr>
      <w:r>
        <w:rPr>
          <w:noProof/>
        </w:rPr>
        <w:t>La mise en œuvre de la réforme est achevée au plus tard le 30 juin 2022.</w:t>
      </w:r>
    </w:p>
    <w:p w14:paraId="1E8674BB" w14:textId="77777777" w:rsidR="00A00259" w:rsidRDefault="00A00259">
      <w:pPr>
        <w:spacing w:before="120" w:after="120" w:line="240" w:lineRule="auto"/>
        <w:jc w:val="both"/>
        <w:rPr>
          <w:rFonts w:ascii="Times New Roman" w:hAnsi="Times New Roman" w:cs="Times New Roman"/>
          <w:noProof/>
          <w:sz w:val="24"/>
          <w:szCs w:val="24"/>
        </w:rPr>
      </w:pPr>
    </w:p>
    <w:p w14:paraId="4FA25E44" w14:textId="43873E09" w:rsidR="00A00259" w:rsidRDefault="00371282">
      <w:pPr>
        <w:pStyle w:val="NormalWeb"/>
        <w:spacing w:before="120" w:after="120" w:line="240" w:lineRule="auto"/>
        <w:jc w:val="both"/>
        <w:rPr>
          <w:noProof/>
        </w:rPr>
      </w:pPr>
      <w:r>
        <w:rPr>
          <w:b/>
          <w:noProof/>
        </w:rPr>
        <w:t>Investissement</w:t>
      </w:r>
      <w:r>
        <w:rPr>
          <w:noProof/>
        </w:rPr>
        <w:t>: Contribution de DES ADMIE à l’augmentation de capital d’IPTO (mesure ID 16880)</w:t>
      </w:r>
    </w:p>
    <w:p w14:paraId="77989269" w14:textId="0FCCC29E" w:rsidR="00A00259" w:rsidRDefault="00371282">
      <w:pPr>
        <w:pStyle w:val="NormalWeb"/>
        <w:spacing w:before="120" w:after="120" w:line="240" w:lineRule="auto"/>
        <w:jc w:val="both"/>
        <w:rPr>
          <w:noProof/>
        </w:rPr>
      </w:pPr>
      <w:r>
        <w:rPr>
          <w:noProof/>
        </w:rPr>
        <w:t>L’objectif de la mesure est de contribuer à l’augmentation de capital de 1 milliard d’EUR en faveur de l’opérateur indépendant de transport d’électricité (IPTO). La mesure consiste en un transfert d’un montant de 370,9 millions d’EUR de la Grèce à DES ADMIE (actionnariat d’entité au nom de l’État grec dans IPTO) afin de contribuer à l’augmentation de capital d’IPTO, y compris par l’intermédiaire d’ADMIE Holding.</w:t>
      </w:r>
    </w:p>
    <w:p w14:paraId="72103474" w14:textId="77777777" w:rsidR="00A00259" w:rsidRDefault="00A00259">
      <w:pPr>
        <w:rPr>
          <w:rFonts w:ascii="Times New Roman" w:hAnsi="Times New Roman" w:cs="Times New Roman"/>
          <w:b/>
          <w:noProof/>
          <w:sz w:val="24"/>
          <w:szCs w:val="24"/>
        </w:rPr>
      </w:pPr>
    </w:p>
    <w:p w14:paraId="149BCEC9" w14:textId="2C53B9F5" w:rsidR="00A00259" w:rsidRDefault="00A00259">
      <w:pPr>
        <w:rPr>
          <w:rFonts w:ascii="Times New Roman" w:hAnsi="Times New Roman" w:cs="Times New Roman"/>
          <w:noProof/>
          <w:sz w:val="24"/>
          <w:szCs w:val="24"/>
        </w:rPr>
        <w:sectPr w:rsidR="00A00259" w:rsidSect="0067105D">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pgNumType w:start="2"/>
          <w:cols w:space="720"/>
          <w:docGrid w:linePitch="360"/>
        </w:sectPr>
      </w:pPr>
    </w:p>
    <w:p w14:paraId="6FD8F1AA" w14:textId="77777777" w:rsidR="00A00259" w:rsidRDefault="00371282">
      <w:pPr>
        <w:pStyle w:val="P68B1DB1-Normal6"/>
        <w:keepNext/>
        <w:keepLines/>
        <w:spacing w:before="240" w:after="0" w:line="240" w:lineRule="auto"/>
        <w:jc w:val="both"/>
        <w:outlineLvl w:val="4"/>
        <w:rPr>
          <w:rFonts w:ascii="Cambria" w:eastAsia="Times New Roman" w:hAnsi="Cambria"/>
          <w:noProof/>
          <w:color w:val="365F91"/>
        </w:rPr>
      </w:pPr>
      <w:r>
        <w:rPr>
          <w:noProof/>
        </w:rPr>
        <w:t>A.2. Étapes, cibles, indicateurs et calendrier pour le suivi et la mise en œuvre du soutien financier non remboursable</w:t>
      </w:r>
    </w:p>
    <w:p w14:paraId="70BC0B3A" w14:textId="77777777" w:rsidR="00A00259" w:rsidRDefault="00371282">
      <w:pPr>
        <w:pStyle w:val="P68B1DB1-Normal9"/>
        <w:keepNext/>
        <w:keepLines/>
        <w:spacing w:before="240" w:after="0" w:line="240" w:lineRule="auto"/>
        <w:jc w:val="both"/>
        <w:outlineLvl w:val="4"/>
        <w:rPr>
          <w:rFonts w:eastAsia="Times New Roman"/>
          <w:noProof/>
        </w:rPr>
      </w:pPr>
      <w:r>
        <w:rPr>
          <w:noProof/>
        </w:rPr>
        <w:t>Investissement principal 1: Interventions pour l'interconnexion électrique des îles et la modernisation du réseau électrique</w:t>
      </w:r>
    </w:p>
    <w:tbl>
      <w:tblPr>
        <w:tblW w:w="149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1946"/>
        <w:gridCol w:w="1173"/>
        <w:gridCol w:w="1513"/>
        <w:gridCol w:w="1690"/>
        <w:gridCol w:w="951"/>
        <w:gridCol w:w="1047"/>
        <w:gridCol w:w="865"/>
        <w:gridCol w:w="993"/>
        <w:gridCol w:w="850"/>
        <w:gridCol w:w="3147"/>
      </w:tblGrid>
      <w:tr w:rsidR="00A00259" w14:paraId="78786DB4" w14:textId="77777777" w:rsidTr="00D64FD7">
        <w:trPr>
          <w:trHeight w:val="675"/>
          <w:tblHeader/>
        </w:trPr>
        <w:tc>
          <w:tcPr>
            <w:tcW w:w="738" w:type="dxa"/>
            <w:vMerge w:val="restart"/>
            <w:shd w:val="clear" w:color="auto" w:fill="BDD7EE"/>
            <w:vAlign w:val="center"/>
            <w:hideMark/>
          </w:tcPr>
          <w:p w14:paraId="7907B5AA" w14:textId="77777777" w:rsidR="00A00259" w:rsidRDefault="00371282">
            <w:pPr>
              <w:pStyle w:val="P68B1DB1-Normal10"/>
              <w:spacing w:before="120" w:after="120" w:line="240" w:lineRule="auto"/>
              <w:jc w:val="center"/>
              <w:rPr>
                <w:noProof/>
              </w:rPr>
            </w:pPr>
            <w:r>
              <w:rPr>
                <w:noProof/>
              </w:rPr>
              <w:t>Seq.</w:t>
            </w:r>
            <w:r>
              <w:rPr>
                <w:noProof/>
              </w:rPr>
              <w:br/>
              <w:t>Non</w:t>
            </w:r>
          </w:p>
        </w:tc>
        <w:tc>
          <w:tcPr>
            <w:tcW w:w="1946" w:type="dxa"/>
            <w:vMerge w:val="restart"/>
            <w:shd w:val="clear" w:color="auto" w:fill="BDD7EE"/>
            <w:vAlign w:val="center"/>
            <w:hideMark/>
          </w:tcPr>
          <w:p w14:paraId="37D135DE" w14:textId="77777777" w:rsidR="00A00259" w:rsidRDefault="00371282">
            <w:pPr>
              <w:pStyle w:val="P68B1DB1-Normal10"/>
              <w:spacing w:before="120" w:after="120" w:line="240" w:lineRule="auto"/>
              <w:jc w:val="center"/>
              <w:rPr>
                <w:rFonts w:cs="Times New Roman"/>
                <w:noProof/>
                <w:sz w:val="24"/>
              </w:rPr>
            </w:pPr>
            <w:r>
              <w:rPr>
                <w:noProof/>
              </w:rPr>
              <w:t>Mesure connexe (réforme ou investissement)</w:t>
            </w:r>
          </w:p>
        </w:tc>
        <w:tc>
          <w:tcPr>
            <w:tcW w:w="1173" w:type="dxa"/>
            <w:vMerge w:val="restart"/>
            <w:shd w:val="clear" w:color="auto" w:fill="BDD7EE"/>
            <w:vAlign w:val="center"/>
            <w:hideMark/>
          </w:tcPr>
          <w:p w14:paraId="700C49E8" w14:textId="77777777" w:rsidR="00A00259" w:rsidRDefault="00371282">
            <w:pPr>
              <w:pStyle w:val="P68B1DB1-Normal10"/>
              <w:spacing w:before="120" w:after="120" w:line="240" w:lineRule="auto"/>
              <w:jc w:val="center"/>
              <w:rPr>
                <w:rFonts w:cs="Times New Roman"/>
                <w:noProof/>
                <w:sz w:val="24"/>
              </w:rPr>
            </w:pPr>
            <w:r>
              <w:rPr>
                <w:noProof/>
              </w:rPr>
              <w:t>Étape/cible</w:t>
            </w:r>
          </w:p>
        </w:tc>
        <w:tc>
          <w:tcPr>
            <w:tcW w:w="1513" w:type="dxa"/>
            <w:vMerge w:val="restart"/>
            <w:shd w:val="clear" w:color="auto" w:fill="BDD7EE"/>
            <w:vAlign w:val="center"/>
            <w:hideMark/>
          </w:tcPr>
          <w:p w14:paraId="227C3554" w14:textId="77777777" w:rsidR="00A00259" w:rsidRDefault="00371282">
            <w:pPr>
              <w:pStyle w:val="P68B1DB1-Normal10"/>
              <w:spacing w:before="120" w:after="120" w:line="240" w:lineRule="auto"/>
              <w:jc w:val="center"/>
              <w:rPr>
                <w:rFonts w:cs="Times New Roman"/>
                <w:noProof/>
                <w:sz w:val="24"/>
              </w:rPr>
            </w:pPr>
            <w:r>
              <w:rPr>
                <w:noProof/>
              </w:rPr>
              <w:t>Nom</w:t>
            </w:r>
          </w:p>
        </w:tc>
        <w:tc>
          <w:tcPr>
            <w:tcW w:w="1690" w:type="dxa"/>
            <w:vMerge w:val="restart"/>
            <w:shd w:val="clear" w:color="auto" w:fill="BDD7EE"/>
            <w:vAlign w:val="center"/>
            <w:hideMark/>
          </w:tcPr>
          <w:p w14:paraId="1216AEA9" w14:textId="77777777" w:rsidR="00A00259" w:rsidRDefault="00371282">
            <w:pPr>
              <w:pStyle w:val="P68B1DB1-Normal10"/>
              <w:spacing w:before="120" w:after="120" w:line="240" w:lineRule="auto"/>
              <w:jc w:val="center"/>
              <w:rPr>
                <w:rFonts w:cs="Times New Roman"/>
                <w:noProof/>
                <w:sz w:val="24"/>
              </w:rPr>
            </w:pPr>
            <w:r>
              <w:rPr>
                <w:noProof/>
              </w:rPr>
              <w:t>Indicateurs qualitatifs (pour les jalons)</w:t>
            </w:r>
          </w:p>
        </w:tc>
        <w:tc>
          <w:tcPr>
            <w:tcW w:w="2863" w:type="dxa"/>
            <w:gridSpan w:val="3"/>
            <w:shd w:val="clear" w:color="auto" w:fill="BDD7EE"/>
            <w:vAlign w:val="center"/>
            <w:hideMark/>
          </w:tcPr>
          <w:p w14:paraId="0B374664" w14:textId="77777777" w:rsidR="00A00259" w:rsidRDefault="00371282">
            <w:pPr>
              <w:pStyle w:val="P68B1DB1-Normal10"/>
              <w:spacing w:before="120" w:after="120" w:line="240" w:lineRule="auto"/>
              <w:jc w:val="center"/>
              <w:rPr>
                <w:rFonts w:cs="Times New Roman"/>
                <w:noProof/>
                <w:sz w:val="24"/>
              </w:rPr>
            </w:pPr>
            <w:r>
              <w:rPr>
                <w:noProof/>
              </w:rPr>
              <w:t xml:space="preserve">Indicateurs quantitatifs </w:t>
            </w:r>
            <w:r>
              <w:rPr>
                <w:noProof/>
              </w:rPr>
              <w:br/>
              <w:t>(pour les objectifs)</w:t>
            </w:r>
          </w:p>
        </w:tc>
        <w:tc>
          <w:tcPr>
            <w:tcW w:w="1843" w:type="dxa"/>
            <w:gridSpan w:val="2"/>
            <w:shd w:val="clear" w:color="auto" w:fill="BDD7EE"/>
            <w:vAlign w:val="center"/>
            <w:hideMark/>
          </w:tcPr>
          <w:p w14:paraId="62941842" w14:textId="77777777" w:rsidR="00A00259" w:rsidRDefault="00371282">
            <w:pPr>
              <w:pStyle w:val="P68B1DB1-Normal10"/>
              <w:spacing w:before="120" w:after="120" w:line="240" w:lineRule="auto"/>
              <w:jc w:val="center"/>
              <w:rPr>
                <w:rFonts w:cs="Times New Roman"/>
                <w:noProof/>
                <w:sz w:val="24"/>
              </w:rPr>
            </w:pPr>
            <w:r>
              <w:rPr>
                <w:noProof/>
              </w:rPr>
              <w:t>Calendrier indicatif d'achèvement</w:t>
            </w:r>
          </w:p>
        </w:tc>
        <w:tc>
          <w:tcPr>
            <w:tcW w:w="3147" w:type="dxa"/>
            <w:vMerge w:val="restart"/>
            <w:shd w:val="clear" w:color="auto" w:fill="BDD7EE"/>
            <w:vAlign w:val="center"/>
            <w:hideMark/>
          </w:tcPr>
          <w:p w14:paraId="66738313" w14:textId="77777777" w:rsidR="00A00259" w:rsidRDefault="00371282">
            <w:pPr>
              <w:pStyle w:val="P68B1DB1-Normal10"/>
              <w:spacing w:before="120" w:after="120" w:line="240" w:lineRule="auto"/>
              <w:rPr>
                <w:rFonts w:cs="Times New Roman"/>
                <w:noProof/>
                <w:sz w:val="24"/>
              </w:rPr>
            </w:pPr>
            <w:r>
              <w:rPr>
                <w:noProof/>
              </w:rPr>
              <w:t>Description de chaque jalon et cible</w:t>
            </w:r>
          </w:p>
        </w:tc>
      </w:tr>
      <w:tr w:rsidR="00A00259" w14:paraId="64B9D64C" w14:textId="77777777" w:rsidTr="00D64FD7">
        <w:trPr>
          <w:trHeight w:val="268"/>
          <w:tblHeader/>
        </w:trPr>
        <w:tc>
          <w:tcPr>
            <w:tcW w:w="738" w:type="dxa"/>
            <w:vMerge/>
            <w:vAlign w:val="center"/>
          </w:tcPr>
          <w:p w14:paraId="3F15919F"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946" w:type="dxa"/>
            <w:vMerge/>
            <w:vAlign w:val="center"/>
          </w:tcPr>
          <w:p w14:paraId="398044B9"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173" w:type="dxa"/>
            <w:vMerge/>
            <w:vAlign w:val="center"/>
          </w:tcPr>
          <w:p w14:paraId="08D93D62"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513" w:type="dxa"/>
            <w:vMerge/>
            <w:vAlign w:val="center"/>
          </w:tcPr>
          <w:p w14:paraId="111499B8"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690" w:type="dxa"/>
            <w:vMerge/>
            <w:vAlign w:val="center"/>
          </w:tcPr>
          <w:p w14:paraId="5E59D566"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951" w:type="dxa"/>
            <w:shd w:val="clear" w:color="auto" w:fill="BDD7EE"/>
            <w:vAlign w:val="center"/>
          </w:tcPr>
          <w:p w14:paraId="375C94AE" w14:textId="77777777" w:rsidR="00A00259" w:rsidRDefault="00371282">
            <w:pPr>
              <w:pStyle w:val="P68B1DB1-Normal10"/>
              <w:spacing w:before="120" w:after="120" w:line="240" w:lineRule="auto"/>
              <w:jc w:val="center"/>
              <w:rPr>
                <w:rFonts w:eastAsia="Times New Roman" w:cs="Times New Roman"/>
                <w:bCs/>
                <w:noProof/>
                <w:szCs w:val="18"/>
              </w:rPr>
            </w:pPr>
            <w:r>
              <w:rPr>
                <w:noProof/>
              </w:rPr>
              <w:t>Unité de mesure</w:t>
            </w:r>
          </w:p>
        </w:tc>
        <w:tc>
          <w:tcPr>
            <w:tcW w:w="1047" w:type="dxa"/>
            <w:shd w:val="clear" w:color="auto" w:fill="BDD7EE"/>
            <w:vAlign w:val="center"/>
          </w:tcPr>
          <w:p w14:paraId="75C09CE4" w14:textId="77777777" w:rsidR="00A00259" w:rsidRDefault="00371282">
            <w:pPr>
              <w:pStyle w:val="P68B1DB1-Normal10"/>
              <w:spacing w:before="120" w:after="120" w:line="240" w:lineRule="auto"/>
              <w:jc w:val="center"/>
              <w:rPr>
                <w:rFonts w:eastAsia="Times New Roman" w:cs="Times New Roman"/>
                <w:bCs/>
                <w:noProof/>
                <w:szCs w:val="18"/>
              </w:rPr>
            </w:pPr>
            <w:r>
              <w:rPr>
                <w:noProof/>
              </w:rPr>
              <w:t>Données de référence</w:t>
            </w:r>
          </w:p>
        </w:tc>
        <w:tc>
          <w:tcPr>
            <w:tcW w:w="865" w:type="dxa"/>
            <w:shd w:val="clear" w:color="auto" w:fill="BDD7EE"/>
            <w:vAlign w:val="center"/>
          </w:tcPr>
          <w:p w14:paraId="794FD42E" w14:textId="77777777" w:rsidR="00A00259" w:rsidRDefault="00371282">
            <w:pPr>
              <w:pStyle w:val="P68B1DB1-Normal10"/>
              <w:spacing w:before="120" w:after="120" w:line="240" w:lineRule="auto"/>
              <w:jc w:val="center"/>
              <w:rPr>
                <w:rFonts w:eastAsia="Times New Roman" w:cs="Times New Roman"/>
                <w:bCs/>
                <w:noProof/>
                <w:szCs w:val="18"/>
              </w:rPr>
            </w:pPr>
            <w:r>
              <w:rPr>
                <w:noProof/>
              </w:rPr>
              <w:t>Objectif</w:t>
            </w:r>
          </w:p>
        </w:tc>
        <w:tc>
          <w:tcPr>
            <w:tcW w:w="993" w:type="dxa"/>
            <w:shd w:val="clear" w:color="auto" w:fill="BDD7EE"/>
            <w:vAlign w:val="center"/>
          </w:tcPr>
          <w:p w14:paraId="068BE492" w14:textId="77777777" w:rsidR="00A00259" w:rsidRDefault="00371282">
            <w:pPr>
              <w:pStyle w:val="P68B1DB1-Normal10"/>
              <w:spacing w:before="120" w:after="120" w:line="240" w:lineRule="auto"/>
              <w:jc w:val="center"/>
              <w:rPr>
                <w:rFonts w:eastAsia="Times New Roman" w:cs="Times New Roman"/>
                <w:bCs/>
                <w:noProof/>
                <w:szCs w:val="18"/>
              </w:rPr>
            </w:pPr>
            <w:r>
              <w:rPr>
                <w:noProof/>
              </w:rPr>
              <w:t>Trimestre</w:t>
            </w:r>
          </w:p>
        </w:tc>
        <w:tc>
          <w:tcPr>
            <w:tcW w:w="850" w:type="dxa"/>
            <w:shd w:val="clear" w:color="auto" w:fill="BDD7EE"/>
            <w:vAlign w:val="center"/>
          </w:tcPr>
          <w:p w14:paraId="3FCC7241" w14:textId="77777777" w:rsidR="00A00259" w:rsidRDefault="00371282">
            <w:pPr>
              <w:pStyle w:val="P68B1DB1-Normal10"/>
              <w:spacing w:before="120" w:after="120" w:line="240" w:lineRule="auto"/>
              <w:jc w:val="center"/>
              <w:rPr>
                <w:rFonts w:eastAsia="Times New Roman" w:cs="Times New Roman"/>
                <w:bCs/>
                <w:noProof/>
                <w:szCs w:val="18"/>
              </w:rPr>
            </w:pPr>
            <w:r>
              <w:rPr>
                <w:noProof/>
              </w:rPr>
              <w:t>Année</w:t>
            </w:r>
          </w:p>
        </w:tc>
        <w:tc>
          <w:tcPr>
            <w:tcW w:w="3147" w:type="dxa"/>
            <w:vMerge/>
            <w:vAlign w:val="center"/>
          </w:tcPr>
          <w:p w14:paraId="214810D1"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r>
      <w:tr w:rsidR="00A00259" w14:paraId="6FB8DF87" w14:textId="77777777" w:rsidTr="00D64FD7">
        <w:tc>
          <w:tcPr>
            <w:tcW w:w="738" w:type="dxa"/>
            <w:shd w:val="clear" w:color="auto" w:fill="C6EFCE"/>
            <w:noWrap/>
          </w:tcPr>
          <w:p w14:paraId="485F208A" w14:textId="77777777" w:rsidR="00A00259" w:rsidRDefault="00371282">
            <w:pPr>
              <w:pStyle w:val="P68B1DB1-Normal11"/>
              <w:spacing w:after="0" w:line="240" w:lineRule="auto"/>
              <w:rPr>
                <w:rFonts w:eastAsia="Times New Roman" w:cs="Times New Roman"/>
                <w:noProof/>
              </w:rPr>
            </w:pPr>
            <w:r>
              <w:rPr>
                <w:noProof/>
              </w:rPr>
              <w:t>1</w:t>
            </w:r>
          </w:p>
        </w:tc>
        <w:tc>
          <w:tcPr>
            <w:tcW w:w="1946" w:type="dxa"/>
            <w:shd w:val="clear" w:color="auto" w:fill="C6EFCE"/>
            <w:noWrap/>
          </w:tcPr>
          <w:p w14:paraId="04701C70" w14:textId="77777777" w:rsidR="00A00259" w:rsidRDefault="00371282">
            <w:pPr>
              <w:pStyle w:val="P68B1DB1-Normal12"/>
              <w:spacing w:after="0" w:line="240" w:lineRule="auto"/>
              <w:rPr>
                <w:rFonts w:eastAsia="Times New Roman"/>
                <w:noProof/>
              </w:rPr>
            </w:pPr>
            <w:r>
              <w:rPr>
                <w:noProof/>
              </w:rPr>
              <w:t>1 - 1.1. 16870_Interventions pour l'interconnexion électrique des îles et la modernisation du réseau électrique</w:t>
            </w:r>
          </w:p>
        </w:tc>
        <w:tc>
          <w:tcPr>
            <w:tcW w:w="1173" w:type="dxa"/>
            <w:shd w:val="clear" w:color="auto" w:fill="C6EFCE"/>
            <w:noWrap/>
          </w:tcPr>
          <w:p w14:paraId="5BFFA10B" w14:textId="77777777" w:rsidR="00A00259" w:rsidRDefault="00371282">
            <w:pPr>
              <w:pStyle w:val="P68B1DB1-Normal12"/>
              <w:spacing w:after="0" w:line="240" w:lineRule="auto"/>
              <w:rPr>
                <w:rFonts w:eastAsia="Times New Roman"/>
                <w:noProof/>
              </w:rPr>
            </w:pPr>
            <w:r>
              <w:rPr>
                <w:noProof/>
              </w:rPr>
              <w:t>Étape</w:t>
            </w:r>
          </w:p>
        </w:tc>
        <w:tc>
          <w:tcPr>
            <w:tcW w:w="1513" w:type="dxa"/>
            <w:shd w:val="clear" w:color="auto" w:fill="C6EFCE"/>
            <w:noWrap/>
          </w:tcPr>
          <w:p w14:paraId="78D21136" w14:textId="77777777" w:rsidR="00A00259" w:rsidRDefault="00371282">
            <w:pPr>
              <w:pStyle w:val="P68B1DB1-Normal12"/>
              <w:spacing w:after="0" w:line="240" w:lineRule="auto"/>
              <w:rPr>
                <w:rFonts w:eastAsia="Times New Roman"/>
                <w:noProof/>
              </w:rPr>
            </w:pPr>
            <w:r>
              <w:rPr>
                <w:noProof/>
              </w:rPr>
              <w:t>Interconnexion des îles - attribution de contrats</w:t>
            </w:r>
          </w:p>
        </w:tc>
        <w:tc>
          <w:tcPr>
            <w:tcW w:w="1690" w:type="dxa"/>
            <w:shd w:val="clear" w:color="auto" w:fill="C6EFCE"/>
            <w:noWrap/>
          </w:tcPr>
          <w:p w14:paraId="2DEB4C3D" w14:textId="77777777" w:rsidR="00A00259" w:rsidRDefault="00371282">
            <w:pPr>
              <w:pStyle w:val="P68B1DB1-Normal12"/>
              <w:spacing w:after="120" w:line="240" w:lineRule="auto"/>
              <w:rPr>
                <w:rFonts w:eastAsia="Times New Roman"/>
                <w:noProof/>
              </w:rPr>
            </w:pPr>
            <w:r>
              <w:rPr>
                <w:noProof/>
              </w:rPr>
              <w:t>Notification de l'attribution de tous les marchés</w:t>
            </w:r>
          </w:p>
        </w:tc>
        <w:tc>
          <w:tcPr>
            <w:tcW w:w="951" w:type="dxa"/>
            <w:shd w:val="clear" w:color="auto" w:fill="C6EFCE"/>
            <w:noWrap/>
          </w:tcPr>
          <w:p w14:paraId="36D8914F" w14:textId="77777777" w:rsidR="00A00259" w:rsidRDefault="00A00259">
            <w:pPr>
              <w:spacing w:after="0" w:line="240" w:lineRule="auto"/>
              <w:rPr>
                <w:rFonts w:ascii="Times New Roman" w:eastAsia="Times New Roman" w:hAnsi="Times New Roman" w:cs="Times New Roman"/>
                <w:noProof/>
                <w:sz w:val="18"/>
                <w:szCs w:val="18"/>
              </w:rPr>
            </w:pPr>
          </w:p>
        </w:tc>
        <w:tc>
          <w:tcPr>
            <w:tcW w:w="1047" w:type="dxa"/>
            <w:shd w:val="clear" w:color="auto" w:fill="C6EFCE"/>
            <w:noWrap/>
          </w:tcPr>
          <w:p w14:paraId="2D4B52AD" w14:textId="77777777" w:rsidR="00A00259" w:rsidRDefault="00A00259">
            <w:pPr>
              <w:spacing w:after="0" w:line="240" w:lineRule="auto"/>
              <w:rPr>
                <w:rFonts w:ascii="Times New Roman" w:eastAsia="Times New Roman" w:hAnsi="Times New Roman" w:cs="Times New Roman"/>
                <w:noProof/>
                <w:sz w:val="18"/>
                <w:szCs w:val="18"/>
              </w:rPr>
            </w:pPr>
          </w:p>
        </w:tc>
        <w:tc>
          <w:tcPr>
            <w:tcW w:w="865" w:type="dxa"/>
            <w:shd w:val="clear" w:color="auto" w:fill="C6EFCE"/>
            <w:noWrap/>
          </w:tcPr>
          <w:p w14:paraId="3DAF7B8F" w14:textId="77777777" w:rsidR="00A00259" w:rsidRDefault="00A00259">
            <w:pPr>
              <w:spacing w:after="0" w:line="240" w:lineRule="auto"/>
              <w:rPr>
                <w:rFonts w:ascii="Times New Roman" w:eastAsia="Times New Roman" w:hAnsi="Times New Roman" w:cs="Times New Roman"/>
                <w:noProof/>
                <w:sz w:val="18"/>
                <w:szCs w:val="18"/>
              </w:rPr>
            </w:pPr>
          </w:p>
        </w:tc>
        <w:tc>
          <w:tcPr>
            <w:tcW w:w="993" w:type="dxa"/>
            <w:shd w:val="clear" w:color="auto" w:fill="C6EFCE"/>
            <w:noWrap/>
          </w:tcPr>
          <w:p w14:paraId="1023E615" w14:textId="77777777" w:rsidR="00A00259" w:rsidRDefault="00371282">
            <w:pPr>
              <w:pStyle w:val="P68B1DB1-Normal12"/>
              <w:spacing w:after="120" w:line="240" w:lineRule="auto"/>
              <w:rPr>
                <w:rFonts w:eastAsia="Times New Roman"/>
                <w:noProof/>
              </w:rPr>
            </w:pPr>
            <w:r>
              <w:rPr>
                <w:noProof/>
              </w:rPr>
              <w:t>T2</w:t>
            </w:r>
          </w:p>
        </w:tc>
        <w:tc>
          <w:tcPr>
            <w:tcW w:w="850" w:type="dxa"/>
            <w:shd w:val="clear" w:color="auto" w:fill="C6EFCE"/>
            <w:noWrap/>
          </w:tcPr>
          <w:p w14:paraId="4C3E71E5" w14:textId="77777777" w:rsidR="00A00259" w:rsidRDefault="00371282">
            <w:pPr>
              <w:pStyle w:val="P68B1DB1-Normal12"/>
              <w:spacing w:after="120" w:line="240" w:lineRule="auto"/>
              <w:rPr>
                <w:rFonts w:eastAsia="Times New Roman"/>
                <w:noProof/>
              </w:rPr>
            </w:pPr>
            <w:r>
              <w:rPr>
                <w:noProof/>
              </w:rPr>
              <w:t>2023</w:t>
            </w:r>
          </w:p>
        </w:tc>
        <w:tc>
          <w:tcPr>
            <w:tcW w:w="3147" w:type="dxa"/>
            <w:shd w:val="clear" w:color="auto" w:fill="C6EFCE"/>
            <w:noWrap/>
          </w:tcPr>
          <w:p w14:paraId="12A435DC" w14:textId="77777777" w:rsidR="00A00259" w:rsidRDefault="00371282">
            <w:pPr>
              <w:pStyle w:val="P68B1DB1-Normal12"/>
              <w:spacing w:after="0" w:line="240" w:lineRule="auto"/>
              <w:rPr>
                <w:rFonts w:eastAsia="Times New Roman"/>
                <w:noProof/>
              </w:rPr>
            </w:pPr>
            <w:r>
              <w:rPr>
                <w:noProof/>
              </w:rPr>
              <w:t>Notification de l’attribution de tous les contrats par le gestionnaire indépendant de transport d’électricité (IPTO) pour l’installation complète:</w:t>
            </w:r>
          </w:p>
          <w:p w14:paraId="40B30054" w14:textId="77777777" w:rsidR="00A00259" w:rsidRDefault="00371282">
            <w:pPr>
              <w:pStyle w:val="P68B1DB1-Normal12"/>
              <w:spacing w:after="0" w:line="240" w:lineRule="auto"/>
              <w:rPr>
                <w:rFonts w:eastAsia="Times New Roman"/>
                <w:noProof/>
              </w:rPr>
            </w:pPr>
            <w:r>
              <w:rPr>
                <w:noProof/>
              </w:rPr>
              <w:t>1) Naxos - connexion de câble de Thira;</w:t>
            </w:r>
          </w:p>
          <w:p w14:paraId="2E207454" w14:textId="77777777" w:rsidR="00A00259" w:rsidRDefault="00371282">
            <w:pPr>
              <w:pStyle w:val="P68B1DB1-Normal12"/>
              <w:spacing w:after="0" w:line="240" w:lineRule="auto"/>
              <w:rPr>
                <w:rFonts w:eastAsia="Times New Roman"/>
                <w:noProof/>
              </w:rPr>
            </w:pPr>
            <w:r>
              <w:rPr>
                <w:noProof/>
              </w:rPr>
              <w:t>2) Câble extra haute tension (EHVC) Koumoundoros – Korinthos (parties 1 et 2); et</w:t>
            </w:r>
          </w:p>
          <w:p w14:paraId="2E1B7DE1" w14:textId="77777777" w:rsidR="00A00259" w:rsidRDefault="00371282">
            <w:pPr>
              <w:pStyle w:val="P68B1DB1-Normal12"/>
              <w:spacing w:after="0" w:line="240" w:lineRule="auto"/>
              <w:rPr>
                <w:rFonts w:eastAsia="Times New Roman"/>
                <w:noProof/>
              </w:rPr>
            </w:pPr>
            <w:r>
              <w:rPr>
                <w:noProof/>
              </w:rPr>
              <w:t>3) Sous-stations Milos, Folegandros, Serifos et connexions par câble Lavrio-Serifos, Serifos-Milos, Milos-Folegandros, Folegandros-Thira.</w:t>
            </w:r>
          </w:p>
        </w:tc>
      </w:tr>
      <w:tr w:rsidR="00A00259" w14:paraId="28CCD133" w14:textId="77777777" w:rsidTr="00D64FD7">
        <w:tc>
          <w:tcPr>
            <w:tcW w:w="738" w:type="dxa"/>
            <w:shd w:val="clear" w:color="auto" w:fill="C6EFCE"/>
            <w:noWrap/>
            <w:hideMark/>
          </w:tcPr>
          <w:p w14:paraId="22642020" w14:textId="77777777" w:rsidR="00A00259" w:rsidRDefault="00371282">
            <w:pPr>
              <w:pStyle w:val="P68B1DB1-Normal12"/>
              <w:spacing w:before="120" w:after="120" w:line="240" w:lineRule="auto"/>
              <w:rPr>
                <w:noProof/>
                <w:sz w:val="24"/>
                <w:szCs w:val="24"/>
              </w:rPr>
            </w:pPr>
            <w:r>
              <w:rPr>
                <w:noProof/>
              </w:rPr>
              <w:t>3</w:t>
            </w:r>
          </w:p>
        </w:tc>
        <w:tc>
          <w:tcPr>
            <w:tcW w:w="1946" w:type="dxa"/>
            <w:shd w:val="clear" w:color="auto" w:fill="C6EFCE"/>
            <w:noWrap/>
            <w:hideMark/>
          </w:tcPr>
          <w:p w14:paraId="76313C9F" w14:textId="77777777" w:rsidR="00A00259" w:rsidRDefault="00371282">
            <w:pPr>
              <w:pStyle w:val="P68B1DB1-Normal13"/>
              <w:spacing w:after="120" w:line="240" w:lineRule="auto"/>
              <w:rPr>
                <w:noProof/>
                <w:sz w:val="24"/>
              </w:rPr>
            </w:pPr>
            <w:r>
              <w:rPr>
                <w:noProof/>
              </w:rPr>
              <w:t>1 - 1.1. 16870_Interventions pour l'interconnexion électrique des îles et les investissements dans le réseau électrique</w:t>
            </w:r>
          </w:p>
        </w:tc>
        <w:tc>
          <w:tcPr>
            <w:tcW w:w="1173" w:type="dxa"/>
            <w:shd w:val="clear" w:color="auto" w:fill="C6EFCE"/>
            <w:noWrap/>
            <w:hideMark/>
          </w:tcPr>
          <w:p w14:paraId="59EF8729" w14:textId="77777777" w:rsidR="00A00259" w:rsidRDefault="00371282">
            <w:pPr>
              <w:pStyle w:val="P68B1DB1-Normal13"/>
              <w:spacing w:after="120" w:line="240" w:lineRule="auto"/>
              <w:rPr>
                <w:noProof/>
                <w:sz w:val="24"/>
              </w:rPr>
            </w:pPr>
            <w:r>
              <w:rPr>
                <w:noProof/>
              </w:rPr>
              <w:t>Étape</w:t>
            </w:r>
          </w:p>
        </w:tc>
        <w:tc>
          <w:tcPr>
            <w:tcW w:w="1513" w:type="dxa"/>
            <w:shd w:val="clear" w:color="auto" w:fill="C6EFCE"/>
            <w:noWrap/>
            <w:hideMark/>
          </w:tcPr>
          <w:p w14:paraId="55212335" w14:textId="77777777" w:rsidR="00A00259" w:rsidRDefault="00371282">
            <w:pPr>
              <w:pStyle w:val="P68B1DB1-Normal13"/>
              <w:spacing w:after="120" w:line="240" w:lineRule="auto"/>
              <w:rPr>
                <w:noProof/>
                <w:sz w:val="24"/>
              </w:rPr>
            </w:pPr>
            <w:r>
              <w:rPr>
                <w:noProof/>
              </w:rPr>
              <w:t xml:space="preserve">Interconnexion des îles </w:t>
            </w:r>
          </w:p>
        </w:tc>
        <w:tc>
          <w:tcPr>
            <w:tcW w:w="1690" w:type="dxa"/>
            <w:shd w:val="clear" w:color="auto" w:fill="C6EFCE"/>
            <w:noWrap/>
            <w:hideMark/>
          </w:tcPr>
          <w:p w14:paraId="735096FF" w14:textId="77777777" w:rsidR="00A00259" w:rsidRDefault="00371282">
            <w:pPr>
              <w:pStyle w:val="P68B1DB1-Normal13"/>
              <w:spacing w:after="120" w:line="240" w:lineRule="auto"/>
              <w:rPr>
                <w:noProof/>
                <w:sz w:val="24"/>
              </w:rPr>
            </w:pPr>
            <w:r>
              <w:rPr>
                <w:noProof/>
              </w:rPr>
              <w:t>Achèvement des travaux, certifié par l'IPTO</w:t>
            </w:r>
          </w:p>
        </w:tc>
        <w:tc>
          <w:tcPr>
            <w:tcW w:w="951" w:type="dxa"/>
            <w:shd w:val="clear" w:color="auto" w:fill="C6EFCE"/>
            <w:noWrap/>
            <w:hideMark/>
          </w:tcPr>
          <w:p w14:paraId="75BDA04E" w14:textId="77777777" w:rsidR="00A00259" w:rsidRDefault="00371282">
            <w:pPr>
              <w:pStyle w:val="P68B1DB1-Normal13"/>
              <w:spacing w:after="120" w:line="240" w:lineRule="auto"/>
              <w:rPr>
                <w:noProof/>
                <w:sz w:val="24"/>
              </w:rPr>
            </w:pPr>
            <w:r>
              <w:rPr>
                <w:noProof/>
              </w:rPr>
              <w:t xml:space="preserve"> </w:t>
            </w:r>
          </w:p>
        </w:tc>
        <w:tc>
          <w:tcPr>
            <w:tcW w:w="1047" w:type="dxa"/>
            <w:shd w:val="clear" w:color="auto" w:fill="C6EFCE"/>
            <w:noWrap/>
            <w:hideMark/>
          </w:tcPr>
          <w:p w14:paraId="06BBD14B" w14:textId="77777777" w:rsidR="00A00259" w:rsidRDefault="00371282">
            <w:pPr>
              <w:pStyle w:val="P68B1DB1-Normal13"/>
              <w:spacing w:after="120" w:line="240" w:lineRule="auto"/>
              <w:rPr>
                <w:noProof/>
                <w:sz w:val="24"/>
              </w:rPr>
            </w:pPr>
            <w:r>
              <w:rPr>
                <w:noProof/>
              </w:rPr>
              <w:t xml:space="preserve"> </w:t>
            </w:r>
          </w:p>
        </w:tc>
        <w:tc>
          <w:tcPr>
            <w:tcW w:w="865" w:type="dxa"/>
            <w:shd w:val="clear" w:color="auto" w:fill="C6EFCE"/>
            <w:noWrap/>
            <w:hideMark/>
          </w:tcPr>
          <w:p w14:paraId="6E58CE95" w14:textId="77777777" w:rsidR="00A00259" w:rsidRDefault="00371282">
            <w:pPr>
              <w:pStyle w:val="P68B1DB1-Normal13"/>
              <w:spacing w:after="120" w:line="240" w:lineRule="auto"/>
              <w:rPr>
                <w:noProof/>
                <w:sz w:val="24"/>
              </w:rPr>
            </w:pPr>
            <w:r>
              <w:rPr>
                <w:noProof/>
              </w:rPr>
              <w:t xml:space="preserve"> </w:t>
            </w:r>
          </w:p>
        </w:tc>
        <w:tc>
          <w:tcPr>
            <w:tcW w:w="993" w:type="dxa"/>
            <w:shd w:val="clear" w:color="auto" w:fill="C6EFCE"/>
            <w:noWrap/>
            <w:hideMark/>
          </w:tcPr>
          <w:p w14:paraId="5FFA2E00" w14:textId="77777777" w:rsidR="00A00259" w:rsidRDefault="00371282">
            <w:pPr>
              <w:pStyle w:val="P68B1DB1-Normal13"/>
              <w:spacing w:after="120" w:line="240" w:lineRule="auto"/>
              <w:rPr>
                <w:noProof/>
                <w:sz w:val="24"/>
              </w:rPr>
            </w:pPr>
            <w:r>
              <w:rPr>
                <w:noProof/>
              </w:rPr>
              <w:t>T4</w:t>
            </w:r>
          </w:p>
        </w:tc>
        <w:tc>
          <w:tcPr>
            <w:tcW w:w="850" w:type="dxa"/>
            <w:shd w:val="clear" w:color="auto" w:fill="C6EFCE"/>
            <w:noWrap/>
            <w:hideMark/>
          </w:tcPr>
          <w:p w14:paraId="1BC3AA37" w14:textId="77777777" w:rsidR="00A00259" w:rsidRDefault="00371282">
            <w:pPr>
              <w:pStyle w:val="P68B1DB1-Normal13"/>
              <w:spacing w:after="120" w:line="240" w:lineRule="auto"/>
              <w:rPr>
                <w:noProof/>
                <w:sz w:val="24"/>
              </w:rPr>
            </w:pPr>
            <w:r>
              <w:rPr>
                <w:noProof/>
              </w:rPr>
              <w:t>2025 </w:t>
            </w:r>
          </w:p>
        </w:tc>
        <w:tc>
          <w:tcPr>
            <w:tcW w:w="3147" w:type="dxa"/>
            <w:shd w:val="clear" w:color="auto" w:fill="C6EFCE"/>
            <w:noWrap/>
            <w:hideMark/>
          </w:tcPr>
          <w:p w14:paraId="3C65CF41" w14:textId="304A6AA8" w:rsidR="00A00259" w:rsidRDefault="00371282">
            <w:pPr>
              <w:pStyle w:val="P68B1DB1-Normal12"/>
              <w:spacing w:after="120" w:line="240" w:lineRule="auto"/>
              <w:rPr>
                <w:noProof/>
              </w:rPr>
            </w:pPr>
            <w:r>
              <w:rPr>
                <w:noProof/>
              </w:rPr>
              <w:t xml:space="preserve">Construction de l’interconnexion des Cyclades (phase D), mise à niveau du SIG 400kV de l’EHVC Koumoundouros et installation de 170 nouvelles tours de transmission et cordages de conducteurs sur 39 tours de transmission (nouvelle ligne de transmission ou réalignements) pour la ligne aérienne reliant l’EHVC Corinth et l’EHVC Koumoundouros. </w:t>
            </w:r>
          </w:p>
        </w:tc>
      </w:tr>
    </w:tbl>
    <w:p w14:paraId="54824A2C" w14:textId="77777777" w:rsidR="00A00259" w:rsidRDefault="00A00259">
      <w:pPr>
        <w:keepNext/>
        <w:keepLines/>
        <w:spacing w:before="240" w:after="240" w:line="240" w:lineRule="auto"/>
        <w:jc w:val="both"/>
        <w:outlineLvl w:val="4"/>
        <w:rPr>
          <w:rFonts w:ascii="Cambria" w:hAnsi="Cambria"/>
          <w:noProof/>
          <w:color w:val="365F91"/>
          <w:sz w:val="24"/>
        </w:rPr>
        <w:sectPr w:rsidR="00A00259">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2564601D" w14:textId="77777777" w:rsidR="00A00259" w:rsidRDefault="00371282">
      <w:pPr>
        <w:pStyle w:val="P68B1DB1-Normal9"/>
        <w:keepNext/>
        <w:keepLines/>
        <w:spacing w:before="240" w:after="240" w:line="240" w:lineRule="auto"/>
        <w:jc w:val="both"/>
        <w:outlineLvl w:val="4"/>
        <w:rPr>
          <w:rFonts w:eastAsia="Times New Roman"/>
          <w:noProof/>
        </w:rPr>
      </w:pPr>
      <w:r>
        <w:rPr>
          <w:noProof/>
        </w:rPr>
        <w:t>Réforme clé 1: Restructuration et augmentation des recettes du compte SER-CHP - Rationaliser le fonctionnement efficace du nouveau modèle de marché de l’électricité et le développement de nouvelles centrales SER afin d’atteindre les objectifs du PNEC grâce à la mise en œuvre d’un mécanisme de suivi, à la participation active de la demande et à une réforme en profondeur de la procédure d’autorisation pour les nouvelles SER</w:t>
      </w:r>
    </w:p>
    <w:tbl>
      <w:tblPr>
        <w:tblW w:w="14787" w:type="dxa"/>
        <w:tblLook w:val="04A0" w:firstRow="1" w:lastRow="0" w:firstColumn="1" w:lastColumn="0" w:noHBand="0" w:noVBand="1"/>
      </w:tblPr>
      <w:tblGrid>
        <w:gridCol w:w="785"/>
        <w:gridCol w:w="1863"/>
        <w:gridCol w:w="1204"/>
        <w:gridCol w:w="1364"/>
        <w:gridCol w:w="1530"/>
        <w:gridCol w:w="1214"/>
        <w:gridCol w:w="940"/>
        <w:gridCol w:w="942"/>
        <w:gridCol w:w="1046"/>
        <w:gridCol w:w="1007"/>
        <w:gridCol w:w="2892"/>
      </w:tblGrid>
      <w:tr w:rsidR="00A00259" w14:paraId="74992913" w14:textId="77777777" w:rsidTr="00CE3F9A">
        <w:trPr>
          <w:trHeight w:val="699"/>
          <w:tblHeader/>
        </w:trPr>
        <w:tc>
          <w:tcPr>
            <w:tcW w:w="786" w:type="dxa"/>
            <w:vMerge w:val="restart"/>
            <w:tcBorders>
              <w:top w:val="single" w:sz="4" w:space="0" w:color="auto"/>
              <w:left w:val="single" w:sz="4" w:space="0" w:color="auto"/>
              <w:bottom w:val="single" w:sz="4" w:space="0" w:color="auto"/>
              <w:right w:val="single" w:sz="4" w:space="0" w:color="auto"/>
            </w:tcBorders>
            <w:shd w:val="clear" w:color="auto" w:fill="B8CCE4"/>
            <w:noWrap/>
            <w:vAlign w:val="center"/>
          </w:tcPr>
          <w:p w14:paraId="16C8021E" w14:textId="77777777" w:rsidR="00A00259" w:rsidRDefault="00371282">
            <w:pPr>
              <w:pStyle w:val="P68B1DB1-Normal10"/>
              <w:spacing w:after="0" w:line="240" w:lineRule="auto"/>
              <w:jc w:val="center"/>
              <w:rPr>
                <w:rFonts w:eastAsia="Times New Roman" w:cs="Times New Roman"/>
                <w:noProof/>
                <w:color w:val="006100"/>
                <w:szCs w:val="18"/>
              </w:rPr>
            </w:pPr>
            <w:r>
              <w:rPr>
                <w:noProof/>
              </w:rPr>
              <w:t>Seq. Non.</w:t>
            </w:r>
          </w:p>
        </w:tc>
        <w:tc>
          <w:tcPr>
            <w:tcW w:w="1855" w:type="dxa"/>
            <w:vMerge w:val="restart"/>
            <w:tcBorders>
              <w:top w:val="single" w:sz="4" w:space="0" w:color="auto"/>
              <w:left w:val="single" w:sz="4" w:space="0" w:color="auto"/>
              <w:bottom w:val="single" w:sz="4" w:space="0" w:color="auto"/>
              <w:right w:val="single" w:sz="4" w:space="0" w:color="auto"/>
            </w:tcBorders>
            <w:shd w:val="clear" w:color="auto" w:fill="B8CCE4"/>
            <w:noWrap/>
            <w:vAlign w:val="center"/>
          </w:tcPr>
          <w:p w14:paraId="1205FA9D" w14:textId="77777777" w:rsidR="00A00259" w:rsidRDefault="00371282">
            <w:pPr>
              <w:pStyle w:val="P68B1DB1-Normal10"/>
              <w:spacing w:after="0" w:line="240" w:lineRule="auto"/>
              <w:jc w:val="center"/>
              <w:rPr>
                <w:rFonts w:eastAsia="Times New Roman" w:cs="Times New Roman"/>
                <w:noProof/>
                <w:color w:val="006100"/>
                <w:szCs w:val="18"/>
              </w:rPr>
            </w:pPr>
            <w:r>
              <w:rPr>
                <w:noProof/>
              </w:rPr>
              <w:t>Mesure connexe (réforme ou investissement)</w:t>
            </w:r>
          </w:p>
        </w:tc>
        <w:tc>
          <w:tcPr>
            <w:tcW w:w="1206" w:type="dxa"/>
            <w:vMerge w:val="restart"/>
            <w:tcBorders>
              <w:top w:val="single" w:sz="4" w:space="0" w:color="auto"/>
              <w:left w:val="single" w:sz="4" w:space="0" w:color="auto"/>
              <w:bottom w:val="single" w:sz="4" w:space="0" w:color="auto"/>
              <w:right w:val="single" w:sz="4" w:space="0" w:color="auto"/>
            </w:tcBorders>
            <w:shd w:val="clear" w:color="auto" w:fill="B8CCE4"/>
            <w:noWrap/>
            <w:vAlign w:val="center"/>
          </w:tcPr>
          <w:p w14:paraId="0A6C17FB" w14:textId="77777777" w:rsidR="00A00259" w:rsidRDefault="00371282">
            <w:pPr>
              <w:pStyle w:val="P68B1DB1-Normal10"/>
              <w:spacing w:after="0" w:line="240" w:lineRule="auto"/>
              <w:jc w:val="center"/>
              <w:rPr>
                <w:rFonts w:eastAsia="Times New Roman" w:cs="Times New Roman"/>
                <w:noProof/>
                <w:color w:val="006100"/>
                <w:szCs w:val="18"/>
              </w:rPr>
            </w:pPr>
            <w:r>
              <w:rPr>
                <w:noProof/>
              </w:rPr>
              <w:t>Étape/cible</w:t>
            </w:r>
          </w:p>
        </w:tc>
        <w:tc>
          <w:tcPr>
            <w:tcW w:w="1359" w:type="dxa"/>
            <w:vMerge w:val="restart"/>
            <w:tcBorders>
              <w:top w:val="single" w:sz="4" w:space="0" w:color="auto"/>
              <w:left w:val="nil"/>
              <w:bottom w:val="single" w:sz="4" w:space="0" w:color="auto"/>
              <w:right w:val="single" w:sz="4" w:space="0" w:color="auto"/>
            </w:tcBorders>
            <w:shd w:val="clear" w:color="auto" w:fill="B8CCE4"/>
            <w:noWrap/>
            <w:vAlign w:val="center"/>
          </w:tcPr>
          <w:p w14:paraId="6FE09B79" w14:textId="77777777" w:rsidR="00A00259" w:rsidRDefault="00371282">
            <w:pPr>
              <w:pStyle w:val="P68B1DB1-Normal10"/>
              <w:spacing w:after="0" w:line="240" w:lineRule="auto"/>
              <w:jc w:val="center"/>
              <w:rPr>
                <w:rFonts w:eastAsia="Times New Roman" w:cs="Times New Roman"/>
                <w:noProof/>
                <w:color w:val="006100"/>
                <w:szCs w:val="18"/>
              </w:rPr>
            </w:pPr>
            <w:r>
              <w:rPr>
                <w:noProof/>
              </w:rPr>
              <w:t>Nom</w:t>
            </w:r>
          </w:p>
        </w:tc>
        <w:tc>
          <w:tcPr>
            <w:tcW w:w="1533" w:type="dxa"/>
            <w:vMerge w:val="restart"/>
            <w:tcBorders>
              <w:top w:val="single" w:sz="4" w:space="0" w:color="auto"/>
              <w:left w:val="single" w:sz="4" w:space="0" w:color="auto"/>
              <w:bottom w:val="single" w:sz="4" w:space="0" w:color="auto"/>
              <w:right w:val="single" w:sz="4" w:space="0" w:color="auto"/>
            </w:tcBorders>
            <w:shd w:val="clear" w:color="auto" w:fill="B8CCE4"/>
            <w:noWrap/>
            <w:vAlign w:val="center"/>
          </w:tcPr>
          <w:p w14:paraId="16B96001" w14:textId="77777777" w:rsidR="00A00259" w:rsidRDefault="00371282">
            <w:pPr>
              <w:pStyle w:val="P68B1DB1-Normal10"/>
              <w:spacing w:after="0" w:line="240" w:lineRule="auto"/>
              <w:jc w:val="center"/>
              <w:rPr>
                <w:rFonts w:eastAsia="Times New Roman" w:cs="Times New Roman"/>
                <w:noProof/>
                <w:color w:val="006100"/>
                <w:szCs w:val="18"/>
              </w:rPr>
            </w:pPr>
            <w:r>
              <w:rPr>
                <w:noProof/>
              </w:rPr>
              <w:t>Indicateurs qualitatifs (pour les jalons)</w:t>
            </w:r>
          </w:p>
        </w:tc>
        <w:tc>
          <w:tcPr>
            <w:tcW w:w="3094" w:type="dxa"/>
            <w:gridSpan w:val="3"/>
            <w:tcBorders>
              <w:top w:val="single" w:sz="4" w:space="0" w:color="auto"/>
              <w:left w:val="nil"/>
              <w:bottom w:val="single" w:sz="4" w:space="0" w:color="auto"/>
              <w:right w:val="single" w:sz="4" w:space="0" w:color="auto"/>
            </w:tcBorders>
            <w:shd w:val="clear" w:color="auto" w:fill="B8CCE4"/>
            <w:noWrap/>
            <w:vAlign w:val="center"/>
          </w:tcPr>
          <w:p w14:paraId="60A4C155" w14:textId="77777777" w:rsidR="00A00259" w:rsidRDefault="00371282">
            <w:pPr>
              <w:pStyle w:val="P68B1DB1-Normal10"/>
              <w:spacing w:after="0" w:line="240" w:lineRule="auto"/>
              <w:jc w:val="center"/>
              <w:rPr>
                <w:rFonts w:eastAsia="Times New Roman" w:cs="Times New Roman"/>
                <w:noProof/>
                <w:color w:val="006100"/>
                <w:szCs w:val="18"/>
              </w:rPr>
            </w:pPr>
            <w:r>
              <w:rPr>
                <w:noProof/>
              </w:rPr>
              <w:t>Indicateurs quantitatifs (pour les objectifs)</w:t>
            </w:r>
          </w:p>
        </w:tc>
        <w:tc>
          <w:tcPr>
            <w:tcW w:w="2057" w:type="dxa"/>
            <w:gridSpan w:val="2"/>
            <w:tcBorders>
              <w:top w:val="single" w:sz="4" w:space="0" w:color="auto"/>
              <w:left w:val="nil"/>
              <w:bottom w:val="single" w:sz="4" w:space="0" w:color="auto"/>
              <w:right w:val="single" w:sz="4" w:space="0" w:color="auto"/>
            </w:tcBorders>
            <w:shd w:val="clear" w:color="auto" w:fill="B8CCE4"/>
            <w:noWrap/>
            <w:vAlign w:val="center"/>
          </w:tcPr>
          <w:p w14:paraId="2B99B1D9" w14:textId="77777777" w:rsidR="00A00259" w:rsidRDefault="00371282">
            <w:pPr>
              <w:pStyle w:val="P68B1DB1-Normal10"/>
              <w:spacing w:after="0" w:line="240" w:lineRule="auto"/>
              <w:jc w:val="center"/>
              <w:rPr>
                <w:rFonts w:eastAsia="Times New Roman" w:cs="Times New Roman"/>
                <w:noProof/>
                <w:color w:val="006100"/>
                <w:szCs w:val="18"/>
              </w:rPr>
            </w:pPr>
            <w:r>
              <w:rPr>
                <w:noProof/>
              </w:rPr>
              <w:t>Calendrier indicatif d'achèvement</w:t>
            </w:r>
          </w:p>
        </w:tc>
        <w:tc>
          <w:tcPr>
            <w:tcW w:w="2897" w:type="dxa"/>
            <w:vMerge w:val="restart"/>
            <w:tcBorders>
              <w:top w:val="single" w:sz="4" w:space="0" w:color="auto"/>
              <w:left w:val="nil"/>
              <w:bottom w:val="single" w:sz="4" w:space="0" w:color="auto"/>
              <w:right w:val="single" w:sz="4" w:space="0" w:color="auto"/>
            </w:tcBorders>
            <w:shd w:val="clear" w:color="auto" w:fill="B8CCE4"/>
            <w:noWrap/>
            <w:vAlign w:val="center"/>
          </w:tcPr>
          <w:p w14:paraId="42488EC0" w14:textId="77777777" w:rsidR="00A00259" w:rsidRDefault="00371282">
            <w:pPr>
              <w:pStyle w:val="P68B1DB1-Normal10"/>
              <w:spacing w:after="0" w:line="240" w:lineRule="auto"/>
              <w:jc w:val="center"/>
              <w:rPr>
                <w:rFonts w:eastAsia="Times New Roman" w:cs="Times New Roman"/>
                <w:noProof/>
                <w:color w:val="006100"/>
                <w:szCs w:val="18"/>
              </w:rPr>
            </w:pPr>
            <w:r>
              <w:rPr>
                <w:noProof/>
              </w:rPr>
              <w:t>Description de chaque jalon et cible</w:t>
            </w:r>
          </w:p>
        </w:tc>
      </w:tr>
      <w:tr w:rsidR="00A00259" w14:paraId="6A39D204" w14:textId="77777777" w:rsidTr="00CE3F9A">
        <w:trPr>
          <w:trHeight w:val="557"/>
          <w:tblHeader/>
        </w:trPr>
        <w:tc>
          <w:tcPr>
            <w:tcW w:w="786" w:type="dxa"/>
            <w:vMerge/>
            <w:tcBorders>
              <w:top w:val="single" w:sz="4" w:space="0" w:color="auto"/>
              <w:left w:val="single" w:sz="4" w:space="0" w:color="auto"/>
              <w:bottom w:val="single" w:sz="4" w:space="0" w:color="auto"/>
              <w:right w:val="single" w:sz="4" w:space="0" w:color="auto"/>
            </w:tcBorders>
            <w:shd w:val="clear" w:color="auto" w:fill="B8CCE4"/>
            <w:noWrap/>
            <w:vAlign w:val="center"/>
          </w:tcPr>
          <w:p w14:paraId="32C9A920" w14:textId="77777777" w:rsidR="00A00259" w:rsidRDefault="00A00259">
            <w:pPr>
              <w:spacing w:after="0" w:line="240" w:lineRule="auto"/>
              <w:rPr>
                <w:rFonts w:ascii="Times New Roman" w:eastAsia="Times New Roman" w:hAnsi="Times New Roman" w:cs="Times New Roman"/>
                <w:b/>
                <w:bCs/>
                <w:noProof/>
                <w:sz w:val="18"/>
                <w:szCs w:val="18"/>
              </w:rPr>
            </w:pPr>
          </w:p>
        </w:tc>
        <w:tc>
          <w:tcPr>
            <w:tcW w:w="1855" w:type="dxa"/>
            <w:vMerge/>
            <w:tcBorders>
              <w:top w:val="single" w:sz="4" w:space="0" w:color="auto"/>
              <w:left w:val="single" w:sz="4" w:space="0" w:color="auto"/>
              <w:bottom w:val="single" w:sz="4" w:space="0" w:color="auto"/>
              <w:right w:val="single" w:sz="4" w:space="0" w:color="auto"/>
            </w:tcBorders>
            <w:shd w:val="clear" w:color="auto" w:fill="B8CCE4"/>
            <w:noWrap/>
            <w:vAlign w:val="center"/>
          </w:tcPr>
          <w:p w14:paraId="7D6A07C3" w14:textId="77777777" w:rsidR="00A00259" w:rsidRDefault="00A00259">
            <w:pPr>
              <w:spacing w:after="0" w:line="240" w:lineRule="auto"/>
              <w:rPr>
                <w:rFonts w:ascii="Times New Roman" w:eastAsia="Times New Roman" w:hAnsi="Times New Roman" w:cs="Times New Roman"/>
                <w:b/>
                <w:bCs/>
                <w:noProof/>
                <w:sz w:val="18"/>
                <w:szCs w:val="18"/>
              </w:rPr>
            </w:pPr>
          </w:p>
        </w:tc>
        <w:tc>
          <w:tcPr>
            <w:tcW w:w="1206" w:type="dxa"/>
            <w:vMerge/>
            <w:tcBorders>
              <w:top w:val="single" w:sz="4" w:space="0" w:color="auto"/>
              <w:left w:val="single" w:sz="4" w:space="0" w:color="auto"/>
              <w:bottom w:val="single" w:sz="4" w:space="0" w:color="auto"/>
              <w:right w:val="single" w:sz="4" w:space="0" w:color="auto"/>
            </w:tcBorders>
            <w:shd w:val="clear" w:color="auto" w:fill="B8CCE4"/>
            <w:noWrap/>
            <w:vAlign w:val="center"/>
          </w:tcPr>
          <w:p w14:paraId="67B8CD8E" w14:textId="77777777" w:rsidR="00A00259" w:rsidRDefault="00A00259">
            <w:pPr>
              <w:spacing w:after="0" w:line="240" w:lineRule="auto"/>
              <w:rPr>
                <w:rFonts w:ascii="Times New Roman" w:eastAsia="Times New Roman" w:hAnsi="Times New Roman" w:cs="Times New Roman"/>
                <w:b/>
                <w:bCs/>
                <w:noProof/>
                <w:sz w:val="18"/>
                <w:szCs w:val="18"/>
              </w:rPr>
            </w:pPr>
          </w:p>
        </w:tc>
        <w:tc>
          <w:tcPr>
            <w:tcW w:w="1359" w:type="dxa"/>
            <w:vMerge/>
            <w:tcBorders>
              <w:top w:val="single" w:sz="4" w:space="0" w:color="auto"/>
              <w:left w:val="nil"/>
              <w:bottom w:val="single" w:sz="4" w:space="0" w:color="auto"/>
              <w:right w:val="single" w:sz="4" w:space="0" w:color="auto"/>
            </w:tcBorders>
            <w:shd w:val="clear" w:color="auto" w:fill="B8CCE4"/>
            <w:noWrap/>
            <w:vAlign w:val="center"/>
          </w:tcPr>
          <w:p w14:paraId="37B2BB65" w14:textId="77777777" w:rsidR="00A00259" w:rsidRDefault="00A00259">
            <w:pPr>
              <w:spacing w:after="0" w:line="240" w:lineRule="auto"/>
              <w:rPr>
                <w:rFonts w:ascii="Times New Roman" w:eastAsia="Times New Roman" w:hAnsi="Times New Roman" w:cs="Times New Roman"/>
                <w:b/>
                <w:bCs/>
                <w:noProof/>
                <w:sz w:val="18"/>
                <w:szCs w:val="18"/>
              </w:rPr>
            </w:pPr>
          </w:p>
        </w:tc>
        <w:tc>
          <w:tcPr>
            <w:tcW w:w="1533" w:type="dxa"/>
            <w:vMerge/>
            <w:tcBorders>
              <w:top w:val="single" w:sz="4" w:space="0" w:color="auto"/>
              <w:left w:val="single" w:sz="4" w:space="0" w:color="auto"/>
              <w:bottom w:val="single" w:sz="4" w:space="0" w:color="auto"/>
              <w:right w:val="single" w:sz="4" w:space="0" w:color="auto"/>
            </w:tcBorders>
            <w:shd w:val="clear" w:color="auto" w:fill="B8CCE4"/>
            <w:noWrap/>
            <w:vAlign w:val="center"/>
          </w:tcPr>
          <w:p w14:paraId="5ECBE05D" w14:textId="77777777" w:rsidR="00A00259" w:rsidRDefault="00A00259">
            <w:pPr>
              <w:spacing w:after="0" w:line="240" w:lineRule="auto"/>
              <w:rPr>
                <w:rFonts w:ascii="Times New Roman" w:eastAsia="Times New Roman" w:hAnsi="Times New Roman" w:cs="Times New Roman"/>
                <w:b/>
                <w:bCs/>
                <w:noProof/>
                <w:sz w:val="18"/>
                <w:szCs w:val="18"/>
              </w:rPr>
            </w:pPr>
          </w:p>
        </w:tc>
        <w:tc>
          <w:tcPr>
            <w:tcW w:w="1210" w:type="dxa"/>
            <w:tcBorders>
              <w:top w:val="single" w:sz="4" w:space="0" w:color="auto"/>
              <w:left w:val="nil"/>
              <w:bottom w:val="single" w:sz="4" w:space="0" w:color="auto"/>
              <w:right w:val="single" w:sz="4" w:space="0" w:color="auto"/>
            </w:tcBorders>
            <w:shd w:val="clear" w:color="auto" w:fill="B8CCE4"/>
            <w:noWrap/>
            <w:vAlign w:val="center"/>
          </w:tcPr>
          <w:p w14:paraId="4E6B4559"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941" w:type="dxa"/>
            <w:tcBorders>
              <w:top w:val="single" w:sz="4" w:space="0" w:color="auto"/>
              <w:left w:val="nil"/>
              <w:bottom w:val="single" w:sz="4" w:space="0" w:color="auto"/>
              <w:right w:val="single" w:sz="4" w:space="0" w:color="auto"/>
            </w:tcBorders>
            <w:shd w:val="clear" w:color="auto" w:fill="B8CCE4"/>
            <w:vAlign w:val="center"/>
          </w:tcPr>
          <w:p w14:paraId="045040F3" w14:textId="77777777" w:rsidR="00A00259" w:rsidRDefault="00371282">
            <w:pPr>
              <w:pStyle w:val="P68B1DB1-Normal10"/>
              <w:spacing w:after="0" w:line="240" w:lineRule="auto"/>
              <w:jc w:val="center"/>
              <w:rPr>
                <w:rFonts w:eastAsia="Times New Roman" w:cs="Times New Roman"/>
                <w:bCs/>
                <w:noProof/>
                <w:szCs w:val="18"/>
              </w:rPr>
            </w:pPr>
            <w:r>
              <w:rPr>
                <w:noProof/>
              </w:rPr>
              <w:t>Données de référence</w:t>
            </w:r>
          </w:p>
        </w:tc>
        <w:tc>
          <w:tcPr>
            <w:tcW w:w="943" w:type="dxa"/>
            <w:tcBorders>
              <w:top w:val="single" w:sz="4" w:space="0" w:color="auto"/>
              <w:left w:val="nil"/>
              <w:bottom w:val="single" w:sz="4" w:space="0" w:color="auto"/>
              <w:right w:val="single" w:sz="4" w:space="0" w:color="auto"/>
            </w:tcBorders>
            <w:shd w:val="clear" w:color="auto" w:fill="B8CCE4"/>
            <w:vAlign w:val="center"/>
          </w:tcPr>
          <w:p w14:paraId="15D8670C" w14:textId="77777777" w:rsidR="00A00259" w:rsidRDefault="00371282">
            <w:pPr>
              <w:pStyle w:val="P68B1DB1-Normal10"/>
              <w:spacing w:after="0" w:line="240" w:lineRule="auto"/>
              <w:jc w:val="center"/>
              <w:rPr>
                <w:rFonts w:eastAsia="Times New Roman" w:cs="Times New Roman"/>
                <w:bCs/>
                <w:noProof/>
                <w:szCs w:val="18"/>
              </w:rPr>
            </w:pPr>
            <w:r>
              <w:rPr>
                <w:noProof/>
              </w:rPr>
              <w:t>Objectif</w:t>
            </w:r>
          </w:p>
        </w:tc>
        <w:tc>
          <w:tcPr>
            <w:tcW w:w="1048" w:type="dxa"/>
            <w:tcBorders>
              <w:top w:val="single" w:sz="4" w:space="0" w:color="auto"/>
              <w:left w:val="nil"/>
              <w:bottom w:val="single" w:sz="4" w:space="0" w:color="auto"/>
              <w:right w:val="single" w:sz="4" w:space="0" w:color="auto"/>
            </w:tcBorders>
            <w:shd w:val="clear" w:color="auto" w:fill="B8CCE4"/>
            <w:noWrap/>
            <w:vAlign w:val="center"/>
          </w:tcPr>
          <w:p w14:paraId="29F5F6C0"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1009" w:type="dxa"/>
            <w:tcBorders>
              <w:top w:val="single" w:sz="4" w:space="0" w:color="auto"/>
              <w:left w:val="nil"/>
              <w:bottom w:val="single" w:sz="4" w:space="0" w:color="auto"/>
              <w:right w:val="single" w:sz="4" w:space="0" w:color="auto"/>
            </w:tcBorders>
            <w:shd w:val="clear" w:color="auto" w:fill="B8CCE4"/>
            <w:vAlign w:val="center"/>
          </w:tcPr>
          <w:p w14:paraId="5C07F0DA"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2897" w:type="dxa"/>
            <w:vMerge/>
            <w:tcBorders>
              <w:top w:val="single" w:sz="4" w:space="0" w:color="auto"/>
              <w:left w:val="nil"/>
              <w:bottom w:val="single" w:sz="4" w:space="0" w:color="auto"/>
              <w:right w:val="single" w:sz="4" w:space="0" w:color="auto"/>
            </w:tcBorders>
            <w:shd w:val="clear" w:color="auto" w:fill="B8CCE4"/>
            <w:noWrap/>
          </w:tcPr>
          <w:p w14:paraId="37AFB183"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2C41CE57" w14:textId="77777777" w:rsidTr="00CE3F9A">
        <w:tc>
          <w:tcPr>
            <w:tcW w:w="786" w:type="dxa"/>
            <w:tcBorders>
              <w:top w:val="single" w:sz="4" w:space="0" w:color="auto"/>
              <w:left w:val="single" w:sz="4" w:space="0" w:color="auto"/>
              <w:bottom w:val="single" w:sz="4" w:space="0" w:color="auto"/>
              <w:right w:val="single" w:sz="4" w:space="0" w:color="auto"/>
            </w:tcBorders>
            <w:shd w:val="clear" w:color="auto" w:fill="C6EFCE"/>
            <w:noWrap/>
          </w:tcPr>
          <w:p w14:paraId="473AE514" w14:textId="77777777" w:rsidR="00A00259" w:rsidRDefault="00371282">
            <w:pPr>
              <w:pStyle w:val="P68B1DB1-Normal12"/>
              <w:spacing w:after="0" w:line="240" w:lineRule="auto"/>
              <w:rPr>
                <w:rFonts w:eastAsia="Times New Roman"/>
                <w:noProof/>
              </w:rPr>
            </w:pPr>
            <w:r>
              <w:rPr>
                <w:noProof/>
              </w:rPr>
              <w:t>4</w:t>
            </w:r>
          </w:p>
        </w:tc>
        <w:tc>
          <w:tcPr>
            <w:tcW w:w="1855" w:type="dxa"/>
            <w:tcBorders>
              <w:top w:val="single" w:sz="4" w:space="0" w:color="auto"/>
              <w:left w:val="nil"/>
              <w:bottom w:val="single" w:sz="4" w:space="0" w:color="auto"/>
              <w:right w:val="single" w:sz="4" w:space="0" w:color="auto"/>
            </w:tcBorders>
            <w:shd w:val="clear" w:color="auto" w:fill="C6EFCE"/>
            <w:noWrap/>
          </w:tcPr>
          <w:p w14:paraId="3973133F" w14:textId="77777777" w:rsidR="00A00259" w:rsidRDefault="00371282">
            <w:pPr>
              <w:pStyle w:val="P68B1DB1-Normal12"/>
              <w:spacing w:after="0" w:line="240" w:lineRule="auto"/>
              <w:rPr>
                <w:rFonts w:eastAsia="Times New Roman"/>
                <w:noProof/>
              </w:rPr>
            </w:pPr>
            <w:r>
              <w:rPr>
                <w:noProof/>
              </w:rPr>
              <w:t>1 - 1.1. 16865_Restructuration et amélioration des revenus du compte de cogénération SER</w:t>
            </w:r>
          </w:p>
        </w:tc>
        <w:tc>
          <w:tcPr>
            <w:tcW w:w="1206" w:type="dxa"/>
            <w:tcBorders>
              <w:top w:val="single" w:sz="4" w:space="0" w:color="auto"/>
              <w:left w:val="nil"/>
              <w:bottom w:val="single" w:sz="4" w:space="0" w:color="auto"/>
              <w:right w:val="single" w:sz="4" w:space="0" w:color="auto"/>
            </w:tcBorders>
            <w:shd w:val="clear" w:color="auto" w:fill="C6EFCE"/>
            <w:noWrap/>
          </w:tcPr>
          <w:p w14:paraId="0EB62FB5" w14:textId="77777777" w:rsidR="00A00259" w:rsidRDefault="00371282">
            <w:pPr>
              <w:pStyle w:val="P68B1DB1-Normal12"/>
              <w:spacing w:after="0" w:line="240" w:lineRule="auto"/>
              <w:rPr>
                <w:rFonts w:eastAsia="Times New Roman"/>
                <w:noProof/>
              </w:rPr>
            </w:pPr>
            <w:r>
              <w:rPr>
                <w:noProof/>
              </w:rPr>
              <w:t>Étape</w:t>
            </w:r>
          </w:p>
        </w:tc>
        <w:tc>
          <w:tcPr>
            <w:tcW w:w="1359" w:type="dxa"/>
            <w:tcBorders>
              <w:top w:val="single" w:sz="4" w:space="0" w:color="auto"/>
              <w:left w:val="nil"/>
              <w:bottom w:val="single" w:sz="4" w:space="0" w:color="auto"/>
              <w:right w:val="single" w:sz="4" w:space="0" w:color="auto"/>
            </w:tcBorders>
            <w:shd w:val="clear" w:color="auto" w:fill="C6EFCE"/>
            <w:noWrap/>
          </w:tcPr>
          <w:p w14:paraId="7E50E1BB" w14:textId="77777777" w:rsidR="00A00259" w:rsidRDefault="00371282">
            <w:pPr>
              <w:pStyle w:val="P68B1DB1-Normal12"/>
              <w:spacing w:after="0" w:line="240" w:lineRule="auto"/>
              <w:rPr>
                <w:rFonts w:eastAsia="Times New Roman"/>
                <w:noProof/>
              </w:rPr>
            </w:pPr>
            <w:r>
              <w:rPr>
                <w:noProof/>
              </w:rPr>
              <w:t>Compte SER — législation modifiant la loi L. 4001/2011; l’entrée en vigueur de toutes les décisions pertinentes, y compris les codes, par les ministères, par l’autorité nationale de régulation (RAE) et par l’administrateur des sources d’énergie renouvelables et des garanties d’origine (DAPEEP).</w:t>
            </w:r>
          </w:p>
        </w:tc>
        <w:tc>
          <w:tcPr>
            <w:tcW w:w="1533" w:type="dxa"/>
            <w:tcBorders>
              <w:top w:val="single" w:sz="4" w:space="0" w:color="auto"/>
              <w:left w:val="nil"/>
              <w:bottom w:val="single" w:sz="4" w:space="0" w:color="auto"/>
              <w:right w:val="single" w:sz="4" w:space="0" w:color="auto"/>
            </w:tcBorders>
            <w:shd w:val="clear" w:color="auto" w:fill="C6EFCE"/>
            <w:noWrap/>
          </w:tcPr>
          <w:p w14:paraId="7FF0BEDD" w14:textId="77777777" w:rsidR="00A00259" w:rsidRDefault="00371282">
            <w:pPr>
              <w:pStyle w:val="P68B1DB1-Normal12"/>
              <w:spacing w:after="0" w:line="240" w:lineRule="auto"/>
              <w:rPr>
                <w:rFonts w:eastAsia="Times New Roman"/>
                <w:noProof/>
              </w:rPr>
            </w:pPr>
            <w:r>
              <w:rPr>
                <w:noProof/>
              </w:rPr>
              <w:t>Entrée en vigueur de la législation et des décisions exécutives pertinentes.</w:t>
            </w:r>
          </w:p>
        </w:tc>
        <w:tc>
          <w:tcPr>
            <w:tcW w:w="1210" w:type="dxa"/>
            <w:tcBorders>
              <w:top w:val="single" w:sz="4" w:space="0" w:color="auto"/>
              <w:left w:val="nil"/>
              <w:bottom w:val="single" w:sz="4" w:space="0" w:color="auto"/>
              <w:right w:val="single" w:sz="4" w:space="0" w:color="auto"/>
            </w:tcBorders>
            <w:shd w:val="clear" w:color="auto" w:fill="C6EFCE"/>
            <w:noWrap/>
          </w:tcPr>
          <w:p w14:paraId="51D70EE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41" w:type="dxa"/>
            <w:tcBorders>
              <w:top w:val="single" w:sz="4" w:space="0" w:color="auto"/>
              <w:left w:val="nil"/>
              <w:bottom w:val="single" w:sz="4" w:space="0" w:color="auto"/>
              <w:right w:val="single" w:sz="4" w:space="0" w:color="auto"/>
            </w:tcBorders>
            <w:shd w:val="clear" w:color="auto" w:fill="C6EFCE"/>
            <w:noWrap/>
          </w:tcPr>
          <w:p w14:paraId="4263C66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43" w:type="dxa"/>
            <w:tcBorders>
              <w:top w:val="single" w:sz="4" w:space="0" w:color="auto"/>
              <w:left w:val="nil"/>
              <w:bottom w:val="single" w:sz="4" w:space="0" w:color="auto"/>
              <w:right w:val="single" w:sz="4" w:space="0" w:color="auto"/>
            </w:tcBorders>
            <w:shd w:val="clear" w:color="auto" w:fill="C6EFCE"/>
            <w:noWrap/>
          </w:tcPr>
          <w:p w14:paraId="08BF3B6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48" w:type="dxa"/>
            <w:tcBorders>
              <w:top w:val="single" w:sz="4" w:space="0" w:color="auto"/>
              <w:left w:val="nil"/>
              <w:bottom w:val="single" w:sz="4" w:space="0" w:color="auto"/>
              <w:right w:val="single" w:sz="4" w:space="0" w:color="auto"/>
            </w:tcBorders>
            <w:shd w:val="clear" w:color="auto" w:fill="C6EFCE"/>
            <w:noWrap/>
          </w:tcPr>
          <w:p w14:paraId="2B55C989" w14:textId="77777777" w:rsidR="00A00259" w:rsidRDefault="00371282">
            <w:pPr>
              <w:pStyle w:val="P68B1DB1-Normal12"/>
              <w:spacing w:after="0" w:line="240" w:lineRule="auto"/>
              <w:rPr>
                <w:rFonts w:eastAsia="Times New Roman"/>
                <w:noProof/>
              </w:rPr>
            </w:pPr>
            <w:r>
              <w:rPr>
                <w:noProof/>
              </w:rPr>
              <w:t>T2</w:t>
            </w:r>
          </w:p>
        </w:tc>
        <w:tc>
          <w:tcPr>
            <w:tcW w:w="1009" w:type="dxa"/>
            <w:tcBorders>
              <w:top w:val="single" w:sz="4" w:space="0" w:color="auto"/>
              <w:left w:val="nil"/>
              <w:bottom w:val="single" w:sz="4" w:space="0" w:color="auto"/>
              <w:right w:val="single" w:sz="4" w:space="0" w:color="auto"/>
            </w:tcBorders>
            <w:shd w:val="clear" w:color="auto" w:fill="C6EFCE"/>
            <w:noWrap/>
          </w:tcPr>
          <w:p w14:paraId="152169AF" w14:textId="77777777" w:rsidR="00A00259" w:rsidRDefault="00371282">
            <w:pPr>
              <w:pStyle w:val="P68B1DB1-Normal12"/>
              <w:spacing w:after="0" w:line="240" w:lineRule="auto"/>
              <w:rPr>
                <w:rFonts w:eastAsia="Times New Roman"/>
                <w:noProof/>
              </w:rPr>
            </w:pPr>
            <w:r>
              <w:rPr>
                <w:noProof/>
              </w:rPr>
              <w:t>2022</w:t>
            </w:r>
          </w:p>
        </w:tc>
        <w:tc>
          <w:tcPr>
            <w:tcW w:w="2897" w:type="dxa"/>
            <w:tcBorders>
              <w:top w:val="single" w:sz="4" w:space="0" w:color="auto"/>
              <w:left w:val="nil"/>
              <w:bottom w:val="single" w:sz="4" w:space="0" w:color="auto"/>
              <w:right w:val="single" w:sz="4" w:space="0" w:color="auto"/>
            </w:tcBorders>
            <w:shd w:val="clear" w:color="auto" w:fill="C6EFCE"/>
            <w:noWrap/>
          </w:tcPr>
          <w:p w14:paraId="3DE01B0B" w14:textId="77777777" w:rsidR="00A00259" w:rsidRDefault="00371282">
            <w:pPr>
              <w:pStyle w:val="P68B1DB1-Normal12"/>
              <w:spacing w:after="0" w:line="240" w:lineRule="auto"/>
              <w:rPr>
                <w:rFonts w:eastAsia="Times New Roman"/>
                <w:noProof/>
              </w:rPr>
            </w:pPr>
            <w:r>
              <w:rPr>
                <w:noProof/>
              </w:rPr>
              <w:t>1) Création du nouveau compte des sources d'énergie renouvelables (SER), pour les unités mises en service à partir du 1er janvier 2021, y compris la législation modificative, la décision ministérielle et les décisions réglementaires (codes). Le nouveau compte SER comprendra des mécanismes visant à garantir sa viabilité financière, y compris en cas de déséquilibres imprévus.</w:t>
            </w:r>
          </w:p>
          <w:p w14:paraId="597A3EE0" w14:textId="77777777" w:rsidR="00A00259" w:rsidRDefault="00A00259">
            <w:pPr>
              <w:spacing w:after="0" w:line="240" w:lineRule="auto"/>
              <w:rPr>
                <w:rFonts w:ascii="Times New Roman" w:eastAsia="Times New Roman" w:hAnsi="Times New Roman" w:cs="Times New Roman"/>
                <w:noProof/>
                <w:color w:val="006100"/>
                <w:sz w:val="18"/>
                <w:szCs w:val="18"/>
              </w:rPr>
            </w:pPr>
          </w:p>
          <w:p w14:paraId="41CAF4F6" w14:textId="77777777" w:rsidR="00A00259" w:rsidRDefault="00371282">
            <w:pPr>
              <w:pStyle w:val="P68B1DB1-Normal12"/>
              <w:spacing w:after="0" w:line="240" w:lineRule="auto"/>
              <w:rPr>
                <w:rFonts w:eastAsia="Times New Roman"/>
                <w:noProof/>
              </w:rPr>
            </w:pPr>
            <w:r>
              <w:rPr>
                <w:noProof/>
              </w:rPr>
              <w:t>2) Entrée en vigueur d'un système d'échange de garanties d'origine qui permettra aux consommateurs de soutenir volontairement l'électricité SER.</w:t>
            </w:r>
          </w:p>
          <w:p w14:paraId="22245630" w14:textId="77777777" w:rsidR="00A00259" w:rsidRDefault="00371282">
            <w:pPr>
              <w:pStyle w:val="P68B1DB1-Normal12"/>
              <w:spacing w:after="0" w:line="240" w:lineRule="auto"/>
              <w:rPr>
                <w:rFonts w:eastAsia="Times New Roman"/>
                <w:noProof/>
              </w:rPr>
            </w:pPr>
            <w:r>
              <w:rPr>
                <w:noProof/>
              </w:rPr>
              <w:t xml:space="preserve">Le système des garanties d'origine (GO) comprend: </w:t>
            </w:r>
          </w:p>
          <w:p w14:paraId="670B3A97" w14:textId="77777777" w:rsidR="00A00259" w:rsidRDefault="00371282">
            <w:pPr>
              <w:pStyle w:val="P68B1DB1-Normal12"/>
              <w:numPr>
                <w:ilvl w:val="0"/>
                <w:numId w:val="21"/>
              </w:numPr>
              <w:spacing w:before="120" w:after="0" w:line="259" w:lineRule="auto"/>
              <w:contextualSpacing/>
              <w:jc w:val="both"/>
              <w:rPr>
                <w:rFonts w:eastAsia="Times New Roman"/>
                <w:noProof/>
              </w:rPr>
            </w:pPr>
            <w:r>
              <w:rPr>
                <w:noProof/>
              </w:rPr>
              <w:t>Adoption d’un système d’émission/d’enchères de GO pour les tarifs de rachat RES</w:t>
            </w:r>
          </w:p>
          <w:p w14:paraId="34D393D0" w14:textId="77777777" w:rsidR="00A00259" w:rsidRDefault="00371282">
            <w:pPr>
              <w:pStyle w:val="P68B1DB1-Normal12"/>
              <w:numPr>
                <w:ilvl w:val="0"/>
                <w:numId w:val="21"/>
              </w:numPr>
              <w:spacing w:before="120" w:after="0" w:line="259" w:lineRule="auto"/>
              <w:contextualSpacing/>
              <w:jc w:val="both"/>
              <w:rPr>
                <w:rFonts w:eastAsia="Times New Roman"/>
                <w:noProof/>
              </w:rPr>
            </w:pPr>
            <w:r>
              <w:rPr>
                <w:noProof/>
              </w:rPr>
              <w:t>Accréditation des produits de vente au détail «verts»</w:t>
            </w:r>
          </w:p>
          <w:p w14:paraId="5DBCBA3E" w14:textId="1A9B91D4" w:rsidR="00A00259" w:rsidRDefault="00371282">
            <w:pPr>
              <w:pStyle w:val="P68B1DB1-Normal12"/>
              <w:numPr>
                <w:ilvl w:val="0"/>
                <w:numId w:val="21"/>
              </w:numPr>
              <w:spacing w:before="120" w:after="0" w:line="259" w:lineRule="auto"/>
              <w:contextualSpacing/>
              <w:jc w:val="both"/>
              <w:rPr>
                <w:rFonts w:eastAsia="Times New Roman"/>
                <w:noProof/>
              </w:rPr>
            </w:pPr>
            <w:r>
              <w:rPr>
                <w:noProof/>
              </w:rPr>
              <w:t xml:space="preserve">Accréditation des normes «green business». </w:t>
            </w:r>
          </w:p>
        </w:tc>
      </w:tr>
      <w:tr w:rsidR="00A00259" w14:paraId="3299E0A7" w14:textId="77777777" w:rsidTr="00CE3F9A">
        <w:tc>
          <w:tcPr>
            <w:tcW w:w="786" w:type="dxa"/>
            <w:tcBorders>
              <w:top w:val="nil"/>
              <w:left w:val="single" w:sz="4" w:space="0" w:color="auto"/>
              <w:bottom w:val="single" w:sz="4" w:space="0" w:color="auto"/>
              <w:right w:val="single" w:sz="4" w:space="0" w:color="auto"/>
            </w:tcBorders>
            <w:shd w:val="clear" w:color="auto" w:fill="C6EFCE"/>
            <w:noWrap/>
          </w:tcPr>
          <w:p w14:paraId="7395B612" w14:textId="77777777" w:rsidR="00A00259" w:rsidRDefault="00371282">
            <w:pPr>
              <w:pStyle w:val="P68B1DB1-Normal12"/>
              <w:spacing w:after="0" w:line="240" w:lineRule="auto"/>
              <w:rPr>
                <w:rFonts w:eastAsia="Times New Roman"/>
                <w:noProof/>
              </w:rPr>
            </w:pPr>
            <w:r>
              <w:rPr>
                <w:noProof/>
              </w:rPr>
              <w:t>5</w:t>
            </w:r>
          </w:p>
        </w:tc>
        <w:tc>
          <w:tcPr>
            <w:tcW w:w="1855" w:type="dxa"/>
            <w:tcBorders>
              <w:top w:val="nil"/>
              <w:left w:val="nil"/>
              <w:bottom w:val="single" w:sz="4" w:space="0" w:color="auto"/>
              <w:right w:val="single" w:sz="4" w:space="0" w:color="auto"/>
            </w:tcBorders>
            <w:shd w:val="clear" w:color="auto" w:fill="C6EFCE"/>
            <w:noWrap/>
          </w:tcPr>
          <w:p w14:paraId="5176C1E8" w14:textId="77777777" w:rsidR="00A00259" w:rsidRDefault="00371282">
            <w:pPr>
              <w:pStyle w:val="P68B1DB1-Normal12"/>
              <w:spacing w:after="0" w:line="240" w:lineRule="auto"/>
              <w:rPr>
                <w:rFonts w:eastAsia="Times New Roman"/>
                <w:noProof/>
              </w:rPr>
            </w:pPr>
            <w:r>
              <w:rPr>
                <w:noProof/>
              </w:rPr>
              <w:t>1 - 1.1. 16860_Streamline l'exploitation efficace du nouveau modèle de marché de l'électricité et le développement de nouvelles centrales SER pour atteindre les objectifs du PNEC grâce à la mise en œuvre d'un mécanisme de suivi, à la participation active de la demande et à une réforme en profondeur de la procédure d'autorisation pour les nouvelles SER</w:t>
            </w:r>
          </w:p>
        </w:tc>
        <w:tc>
          <w:tcPr>
            <w:tcW w:w="1206" w:type="dxa"/>
            <w:tcBorders>
              <w:top w:val="nil"/>
              <w:left w:val="nil"/>
              <w:bottom w:val="single" w:sz="4" w:space="0" w:color="auto"/>
              <w:right w:val="single" w:sz="4" w:space="0" w:color="auto"/>
            </w:tcBorders>
            <w:shd w:val="clear" w:color="auto" w:fill="C6EFCE"/>
            <w:noWrap/>
          </w:tcPr>
          <w:p w14:paraId="53F9B460" w14:textId="77777777" w:rsidR="00A00259" w:rsidRDefault="00371282">
            <w:pPr>
              <w:pStyle w:val="P68B1DB1-Normal12"/>
              <w:spacing w:after="0" w:line="240" w:lineRule="auto"/>
              <w:rPr>
                <w:rFonts w:eastAsia="Times New Roman"/>
                <w:noProof/>
              </w:rPr>
            </w:pPr>
            <w:r>
              <w:rPr>
                <w:noProof/>
              </w:rPr>
              <w:t>Étape</w:t>
            </w:r>
          </w:p>
        </w:tc>
        <w:tc>
          <w:tcPr>
            <w:tcW w:w="1359" w:type="dxa"/>
            <w:tcBorders>
              <w:top w:val="nil"/>
              <w:left w:val="nil"/>
              <w:bottom w:val="single" w:sz="4" w:space="0" w:color="auto"/>
              <w:right w:val="single" w:sz="4" w:space="0" w:color="auto"/>
            </w:tcBorders>
            <w:shd w:val="clear" w:color="auto" w:fill="C6EFCE"/>
            <w:noWrap/>
          </w:tcPr>
          <w:p w14:paraId="2D89B193" w14:textId="77777777" w:rsidR="00A00259" w:rsidRDefault="00371282">
            <w:pPr>
              <w:pStyle w:val="P68B1DB1-Normal12"/>
              <w:spacing w:after="0" w:line="240" w:lineRule="auto"/>
              <w:rPr>
                <w:rFonts w:eastAsia="Times New Roman"/>
                <w:noProof/>
              </w:rPr>
            </w:pPr>
            <w:r>
              <w:rPr>
                <w:noProof/>
              </w:rPr>
              <w:t>Compte SER — réformes du marché et simplification de l’octroi de licences</w:t>
            </w:r>
          </w:p>
        </w:tc>
        <w:tc>
          <w:tcPr>
            <w:tcW w:w="1533" w:type="dxa"/>
            <w:tcBorders>
              <w:top w:val="nil"/>
              <w:left w:val="nil"/>
              <w:bottom w:val="single" w:sz="4" w:space="0" w:color="auto"/>
              <w:right w:val="single" w:sz="4" w:space="0" w:color="auto"/>
            </w:tcBorders>
            <w:shd w:val="clear" w:color="auto" w:fill="C6EFCE"/>
            <w:noWrap/>
          </w:tcPr>
          <w:p w14:paraId="166E210F" w14:textId="77777777" w:rsidR="00A00259" w:rsidRDefault="00371282">
            <w:pPr>
              <w:pStyle w:val="P68B1DB1-Normal12"/>
              <w:spacing w:after="0" w:line="240" w:lineRule="auto"/>
              <w:rPr>
                <w:rFonts w:eastAsia="Times New Roman"/>
                <w:noProof/>
              </w:rPr>
            </w:pPr>
            <w:r>
              <w:rPr>
                <w:noProof/>
              </w:rPr>
              <w:t>Entrée en vigueur de toutes les lois pertinentes, y compris les décisions ministérielles, et du cadre réglementaire par RAE et DAPEEP</w:t>
            </w:r>
          </w:p>
        </w:tc>
        <w:tc>
          <w:tcPr>
            <w:tcW w:w="1210" w:type="dxa"/>
            <w:tcBorders>
              <w:top w:val="nil"/>
              <w:left w:val="nil"/>
              <w:bottom w:val="single" w:sz="4" w:space="0" w:color="auto"/>
              <w:right w:val="single" w:sz="4" w:space="0" w:color="auto"/>
            </w:tcBorders>
            <w:shd w:val="clear" w:color="auto" w:fill="C6EFCE"/>
            <w:noWrap/>
          </w:tcPr>
          <w:p w14:paraId="19F6E8F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41" w:type="dxa"/>
            <w:tcBorders>
              <w:top w:val="nil"/>
              <w:left w:val="nil"/>
              <w:bottom w:val="single" w:sz="4" w:space="0" w:color="auto"/>
              <w:right w:val="single" w:sz="4" w:space="0" w:color="auto"/>
            </w:tcBorders>
            <w:shd w:val="clear" w:color="auto" w:fill="C6EFCE"/>
            <w:noWrap/>
          </w:tcPr>
          <w:p w14:paraId="3053D4C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43" w:type="dxa"/>
            <w:tcBorders>
              <w:top w:val="nil"/>
              <w:left w:val="nil"/>
              <w:bottom w:val="single" w:sz="4" w:space="0" w:color="auto"/>
              <w:right w:val="single" w:sz="4" w:space="0" w:color="auto"/>
            </w:tcBorders>
            <w:shd w:val="clear" w:color="auto" w:fill="C6EFCE"/>
            <w:noWrap/>
          </w:tcPr>
          <w:p w14:paraId="1B176F2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48" w:type="dxa"/>
            <w:tcBorders>
              <w:top w:val="nil"/>
              <w:left w:val="nil"/>
              <w:bottom w:val="single" w:sz="4" w:space="0" w:color="auto"/>
              <w:right w:val="single" w:sz="4" w:space="0" w:color="auto"/>
            </w:tcBorders>
            <w:shd w:val="clear" w:color="auto" w:fill="C6EFCE"/>
            <w:noWrap/>
          </w:tcPr>
          <w:p w14:paraId="6D0EF05F" w14:textId="77777777" w:rsidR="00A00259" w:rsidRDefault="00371282">
            <w:pPr>
              <w:pStyle w:val="P68B1DB1-Normal12"/>
              <w:spacing w:after="0" w:line="240" w:lineRule="auto"/>
              <w:rPr>
                <w:rFonts w:eastAsia="Times New Roman"/>
                <w:noProof/>
              </w:rPr>
            </w:pPr>
            <w:r>
              <w:rPr>
                <w:noProof/>
              </w:rPr>
              <w:t>T2</w:t>
            </w:r>
          </w:p>
        </w:tc>
        <w:tc>
          <w:tcPr>
            <w:tcW w:w="1009" w:type="dxa"/>
            <w:tcBorders>
              <w:top w:val="nil"/>
              <w:left w:val="nil"/>
              <w:bottom w:val="single" w:sz="4" w:space="0" w:color="auto"/>
              <w:right w:val="single" w:sz="4" w:space="0" w:color="auto"/>
            </w:tcBorders>
            <w:shd w:val="clear" w:color="auto" w:fill="C6EFCE"/>
            <w:noWrap/>
          </w:tcPr>
          <w:p w14:paraId="71284CDE" w14:textId="77777777" w:rsidR="00A00259" w:rsidRDefault="00371282">
            <w:pPr>
              <w:pStyle w:val="P68B1DB1-Normal12"/>
              <w:spacing w:after="0" w:line="240" w:lineRule="auto"/>
              <w:rPr>
                <w:rFonts w:eastAsia="Times New Roman"/>
                <w:noProof/>
              </w:rPr>
            </w:pPr>
            <w:r>
              <w:rPr>
                <w:noProof/>
              </w:rPr>
              <w:t>2022</w:t>
            </w:r>
          </w:p>
        </w:tc>
        <w:tc>
          <w:tcPr>
            <w:tcW w:w="2897" w:type="dxa"/>
            <w:tcBorders>
              <w:top w:val="nil"/>
              <w:left w:val="nil"/>
              <w:bottom w:val="single" w:sz="4" w:space="0" w:color="auto"/>
              <w:right w:val="single" w:sz="4" w:space="0" w:color="auto"/>
            </w:tcBorders>
            <w:shd w:val="clear" w:color="auto" w:fill="C6EFCE"/>
            <w:noWrap/>
          </w:tcPr>
          <w:p w14:paraId="3219D144" w14:textId="77777777" w:rsidR="00A00259" w:rsidRDefault="00371282">
            <w:pPr>
              <w:pStyle w:val="P68B1DB1-Normal12"/>
              <w:spacing w:after="0" w:line="240" w:lineRule="auto"/>
              <w:rPr>
                <w:rFonts w:eastAsia="Times New Roman"/>
                <w:noProof/>
              </w:rPr>
            </w:pPr>
            <w:r>
              <w:rPr>
                <w:noProof/>
              </w:rPr>
              <w:t>1) Mise en place et fonctionnement complet d'un mécanisme de surveillance et de surveillance du marché ainsi que participation pleine et entière de la participation active de la demande au marché de l'équilibrage.</w:t>
            </w:r>
          </w:p>
          <w:p w14:paraId="237DF7D8" w14:textId="77777777" w:rsidR="00A00259" w:rsidRDefault="00371282">
            <w:pPr>
              <w:pStyle w:val="P68B1DB1-Normal12"/>
              <w:spacing w:after="0" w:line="240" w:lineRule="auto"/>
              <w:rPr>
                <w:rFonts w:eastAsia="Times New Roman"/>
                <w:noProof/>
              </w:rPr>
            </w:pPr>
            <w:r>
              <w:rPr>
                <w:noProof/>
              </w:rPr>
              <w:t>2) Achèvement de la réforme relative à la simplification de l'octroi de licences pour les SER, y compris la simplification et la numérisation des procédures, des délais de réponse administratifs courts et contraignants et des procédures de responsabilité en cas de retards inutiles, la réduction de la documentation et des procédures nécessaires, ainsi qu'un nouveau cadre spécifique pour les centrales SER en mer.</w:t>
            </w:r>
          </w:p>
        </w:tc>
      </w:tr>
      <w:tr w:rsidR="00A00259" w14:paraId="3E0B6270" w14:textId="77777777" w:rsidTr="00CE3F9A">
        <w:tc>
          <w:tcPr>
            <w:tcW w:w="786" w:type="dxa"/>
            <w:tcBorders>
              <w:top w:val="nil"/>
              <w:left w:val="single" w:sz="4" w:space="0" w:color="auto"/>
              <w:bottom w:val="single" w:sz="4" w:space="0" w:color="auto"/>
              <w:right w:val="single" w:sz="4" w:space="0" w:color="auto"/>
            </w:tcBorders>
            <w:shd w:val="clear" w:color="auto" w:fill="C6EFCE"/>
            <w:noWrap/>
          </w:tcPr>
          <w:p w14:paraId="544C2F93" w14:textId="77777777" w:rsidR="00A00259" w:rsidRDefault="00371282">
            <w:pPr>
              <w:pStyle w:val="P68B1DB1-Normal12"/>
              <w:spacing w:after="0" w:line="240" w:lineRule="auto"/>
              <w:rPr>
                <w:rFonts w:eastAsia="Times New Roman"/>
                <w:noProof/>
              </w:rPr>
            </w:pPr>
            <w:r>
              <w:rPr>
                <w:noProof/>
              </w:rPr>
              <w:t>6</w:t>
            </w:r>
          </w:p>
        </w:tc>
        <w:tc>
          <w:tcPr>
            <w:tcW w:w="1855" w:type="dxa"/>
            <w:tcBorders>
              <w:top w:val="nil"/>
              <w:left w:val="nil"/>
              <w:bottom w:val="single" w:sz="4" w:space="0" w:color="auto"/>
              <w:right w:val="single" w:sz="4" w:space="0" w:color="auto"/>
            </w:tcBorders>
            <w:shd w:val="clear" w:color="auto" w:fill="C6EFCE"/>
            <w:noWrap/>
          </w:tcPr>
          <w:p w14:paraId="09C9EA21" w14:textId="77777777" w:rsidR="00A00259" w:rsidRDefault="00371282">
            <w:pPr>
              <w:pStyle w:val="P68B1DB1-Normal12"/>
              <w:spacing w:after="0" w:line="240" w:lineRule="auto"/>
              <w:rPr>
                <w:rFonts w:eastAsia="Times New Roman"/>
                <w:noProof/>
              </w:rPr>
            </w:pPr>
            <w:r>
              <w:rPr>
                <w:noProof/>
              </w:rPr>
              <w:t>1 - 1.1. 16865_Restructuration et amélioration des revenus du compte de cogénération SER</w:t>
            </w:r>
          </w:p>
        </w:tc>
        <w:tc>
          <w:tcPr>
            <w:tcW w:w="1206" w:type="dxa"/>
            <w:tcBorders>
              <w:top w:val="nil"/>
              <w:left w:val="nil"/>
              <w:bottom w:val="single" w:sz="4" w:space="0" w:color="auto"/>
              <w:right w:val="single" w:sz="4" w:space="0" w:color="auto"/>
            </w:tcBorders>
            <w:shd w:val="clear" w:color="auto" w:fill="C6EFCE"/>
            <w:noWrap/>
          </w:tcPr>
          <w:p w14:paraId="2227B1A8" w14:textId="77777777" w:rsidR="00A00259" w:rsidRDefault="00371282">
            <w:pPr>
              <w:pStyle w:val="P68B1DB1-Normal12"/>
              <w:spacing w:after="0" w:line="240" w:lineRule="auto"/>
              <w:rPr>
                <w:rFonts w:eastAsia="Times New Roman"/>
                <w:noProof/>
              </w:rPr>
            </w:pPr>
            <w:r>
              <w:rPr>
                <w:noProof/>
              </w:rPr>
              <w:t>Objectif</w:t>
            </w:r>
          </w:p>
        </w:tc>
        <w:tc>
          <w:tcPr>
            <w:tcW w:w="1359" w:type="dxa"/>
            <w:tcBorders>
              <w:top w:val="nil"/>
              <w:left w:val="nil"/>
              <w:bottom w:val="single" w:sz="4" w:space="0" w:color="auto"/>
              <w:right w:val="single" w:sz="4" w:space="0" w:color="auto"/>
            </w:tcBorders>
            <w:shd w:val="clear" w:color="auto" w:fill="C6EFCE"/>
            <w:noWrap/>
          </w:tcPr>
          <w:p w14:paraId="67D74050" w14:textId="77777777" w:rsidR="00A00259" w:rsidRDefault="00371282">
            <w:pPr>
              <w:pStyle w:val="P68B1DB1-Normal12"/>
              <w:spacing w:after="0" w:line="240" w:lineRule="auto"/>
              <w:rPr>
                <w:rFonts w:eastAsia="Times New Roman"/>
                <w:noProof/>
              </w:rPr>
            </w:pPr>
            <w:r>
              <w:rPr>
                <w:noProof/>
              </w:rPr>
              <w:t>Compte SER — objectif d’augmentation de la capacité 1</w:t>
            </w:r>
          </w:p>
        </w:tc>
        <w:tc>
          <w:tcPr>
            <w:tcW w:w="1533" w:type="dxa"/>
            <w:tcBorders>
              <w:top w:val="nil"/>
              <w:left w:val="nil"/>
              <w:bottom w:val="single" w:sz="4" w:space="0" w:color="auto"/>
              <w:right w:val="single" w:sz="4" w:space="0" w:color="auto"/>
            </w:tcBorders>
            <w:shd w:val="clear" w:color="auto" w:fill="C6EFCE"/>
            <w:noWrap/>
          </w:tcPr>
          <w:p w14:paraId="47CB257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210" w:type="dxa"/>
            <w:tcBorders>
              <w:top w:val="nil"/>
              <w:left w:val="nil"/>
              <w:bottom w:val="single" w:sz="4" w:space="0" w:color="auto"/>
              <w:right w:val="single" w:sz="4" w:space="0" w:color="auto"/>
            </w:tcBorders>
            <w:shd w:val="clear" w:color="auto" w:fill="C6EFCE"/>
            <w:noWrap/>
          </w:tcPr>
          <w:p w14:paraId="57681480" w14:textId="77777777" w:rsidR="00A00259" w:rsidRDefault="00371282">
            <w:pPr>
              <w:pStyle w:val="P68B1DB1-Normal12"/>
              <w:spacing w:after="0" w:line="240" w:lineRule="auto"/>
              <w:rPr>
                <w:rFonts w:eastAsia="Times New Roman"/>
                <w:noProof/>
              </w:rPr>
            </w:pPr>
            <w:r>
              <w:rPr>
                <w:noProof/>
              </w:rPr>
              <w:t>Mise en service de nouvelles capacités (GW) de sources d'énergie renouvelables</w:t>
            </w:r>
          </w:p>
        </w:tc>
        <w:tc>
          <w:tcPr>
            <w:tcW w:w="941" w:type="dxa"/>
            <w:tcBorders>
              <w:top w:val="nil"/>
              <w:left w:val="nil"/>
              <w:bottom w:val="single" w:sz="4" w:space="0" w:color="auto"/>
              <w:right w:val="single" w:sz="4" w:space="0" w:color="auto"/>
            </w:tcBorders>
            <w:shd w:val="clear" w:color="auto" w:fill="C6EFCE"/>
            <w:noWrap/>
          </w:tcPr>
          <w:p w14:paraId="4EE75208" w14:textId="77777777" w:rsidR="00A00259" w:rsidRDefault="00371282">
            <w:pPr>
              <w:pStyle w:val="P68B1DB1-Normal12"/>
              <w:spacing w:after="0" w:line="240" w:lineRule="auto"/>
              <w:rPr>
                <w:rFonts w:eastAsia="Times New Roman"/>
                <w:noProof/>
              </w:rPr>
            </w:pPr>
            <w:r>
              <w:rPr>
                <w:noProof/>
              </w:rPr>
              <w:t>0</w:t>
            </w:r>
          </w:p>
        </w:tc>
        <w:tc>
          <w:tcPr>
            <w:tcW w:w="943" w:type="dxa"/>
            <w:tcBorders>
              <w:top w:val="nil"/>
              <w:left w:val="nil"/>
              <w:bottom w:val="single" w:sz="4" w:space="0" w:color="auto"/>
              <w:right w:val="single" w:sz="4" w:space="0" w:color="auto"/>
            </w:tcBorders>
            <w:shd w:val="clear" w:color="auto" w:fill="C6EFCE"/>
            <w:noWrap/>
          </w:tcPr>
          <w:p w14:paraId="1B42ED73" w14:textId="77777777" w:rsidR="00A00259" w:rsidRDefault="00371282">
            <w:pPr>
              <w:pStyle w:val="P68B1DB1-Normal12"/>
              <w:spacing w:after="0" w:line="240" w:lineRule="auto"/>
              <w:rPr>
                <w:rFonts w:eastAsia="Times New Roman"/>
                <w:noProof/>
              </w:rPr>
            </w:pPr>
            <w:r>
              <w:rPr>
                <w:noProof/>
              </w:rPr>
              <w:t>1</w:t>
            </w:r>
          </w:p>
        </w:tc>
        <w:tc>
          <w:tcPr>
            <w:tcW w:w="1048" w:type="dxa"/>
            <w:tcBorders>
              <w:top w:val="nil"/>
              <w:left w:val="nil"/>
              <w:bottom w:val="single" w:sz="4" w:space="0" w:color="auto"/>
              <w:right w:val="single" w:sz="4" w:space="0" w:color="auto"/>
            </w:tcBorders>
            <w:shd w:val="clear" w:color="auto" w:fill="C6EFCE"/>
            <w:noWrap/>
          </w:tcPr>
          <w:p w14:paraId="719C27DF" w14:textId="77777777" w:rsidR="00A00259" w:rsidRDefault="00371282">
            <w:pPr>
              <w:pStyle w:val="P68B1DB1-Normal12"/>
              <w:spacing w:after="0" w:line="240" w:lineRule="auto"/>
              <w:rPr>
                <w:rFonts w:eastAsia="Times New Roman"/>
                <w:noProof/>
              </w:rPr>
            </w:pPr>
            <w:r>
              <w:rPr>
                <w:noProof/>
              </w:rPr>
              <w:t>T2</w:t>
            </w:r>
          </w:p>
        </w:tc>
        <w:tc>
          <w:tcPr>
            <w:tcW w:w="1009" w:type="dxa"/>
            <w:tcBorders>
              <w:top w:val="nil"/>
              <w:left w:val="nil"/>
              <w:bottom w:val="single" w:sz="4" w:space="0" w:color="auto"/>
              <w:right w:val="single" w:sz="4" w:space="0" w:color="auto"/>
            </w:tcBorders>
            <w:shd w:val="clear" w:color="auto" w:fill="C6EFCE"/>
            <w:noWrap/>
          </w:tcPr>
          <w:p w14:paraId="0EB280B7" w14:textId="77777777" w:rsidR="00A00259" w:rsidRDefault="00371282">
            <w:pPr>
              <w:pStyle w:val="P68B1DB1-Normal12"/>
              <w:spacing w:after="0" w:line="240" w:lineRule="auto"/>
              <w:rPr>
                <w:rFonts w:eastAsia="Times New Roman"/>
                <w:noProof/>
              </w:rPr>
            </w:pPr>
            <w:r>
              <w:rPr>
                <w:noProof/>
              </w:rPr>
              <w:t>2023</w:t>
            </w:r>
          </w:p>
        </w:tc>
        <w:tc>
          <w:tcPr>
            <w:tcW w:w="2897" w:type="dxa"/>
            <w:tcBorders>
              <w:top w:val="nil"/>
              <w:left w:val="nil"/>
              <w:bottom w:val="single" w:sz="4" w:space="0" w:color="auto"/>
              <w:right w:val="single" w:sz="4" w:space="0" w:color="auto"/>
            </w:tcBorders>
            <w:shd w:val="clear" w:color="auto" w:fill="C6EFCE"/>
            <w:noWrap/>
          </w:tcPr>
          <w:p w14:paraId="710092C4" w14:textId="77777777" w:rsidR="00A00259" w:rsidRDefault="00371282">
            <w:pPr>
              <w:pStyle w:val="P68B1DB1-Normal12"/>
              <w:spacing w:after="0" w:line="240" w:lineRule="auto"/>
              <w:rPr>
                <w:rFonts w:eastAsia="Times New Roman"/>
                <w:noProof/>
              </w:rPr>
            </w:pPr>
            <w:r>
              <w:rPr>
                <w:noProof/>
              </w:rPr>
              <w:t>Nouvelle capacité SER installée et opérationnelle</w:t>
            </w:r>
          </w:p>
        </w:tc>
      </w:tr>
      <w:tr w:rsidR="00A00259" w14:paraId="64FF008B" w14:textId="77777777" w:rsidTr="00CE3F9A">
        <w:tc>
          <w:tcPr>
            <w:tcW w:w="786" w:type="dxa"/>
            <w:tcBorders>
              <w:top w:val="nil"/>
              <w:left w:val="single" w:sz="4" w:space="0" w:color="auto"/>
              <w:bottom w:val="single" w:sz="4" w:space="0" w:color="auto"/>
              <w:right w:val="single" w:sz="4" w:space="0" w:color="auto"/>
            </w:tcBorders>
            <w:shd w:val="clear" w:color="auto" w:fill="C6EFCE"/>
            <w:noWrap/>
            <w:hideMark/>
          </w:tcPr>
          <w:p w14:paraId="55CC38A1" w14:textId="77777777" w:rsidR="00A00259" w:rsidRDefault="00371282">
            <w:pPr>
              <w:pStyle w:val="P68B1DB1-Normal12"/>
              <w:spacing w:after="0" w:line="240" w:lineRule="auto"/>
              <w:rPr>
                <w:rFonts w:eastAsia="Times New Roman"/>
                <w:noProof/>
              </w:rPr>
            </w:pPr>
            <w:r>
              <w:rPr>
                <w:noProof/>
              </w:rPr>
              <w:t> 7</w:t>
            </w:r>
          </w:p>
        </w:tc>
        <w:tc>
          <w:tcPr>
            <w:tcW w:w="1855" w:type="dxa"/>
            <w:tcBorders>
              <w:top w:val="nil"/>
              <w:left w:val="nil"/>
              <w:bottom w:val="single" w:sz="4" w:space="0" w:color="auto"/>
              <w:right w:val="single" w:sz="4" w:space="0" w:color="auto"/>
            </w:tcBorders>
            <w:shd w:val="clear" w:color="auto" w:fill="C6EFCE"/>
            <w:noWrap/>
          </w:tcPr>
          <w:p w14:paraId="16A55F71" w14:textId="77777777" w:rsidR="00A00259" w:rsidRDefault="00371282">
            <w:pPr>
              <w:pStyle w:val="P68B1DB1-Normal12"/>
              <w:spacing w:after="0" w:line="240" w:lineRule="auto"/>
              <w:rPr>
                <w:rFonts w:eastAsia="Times New Roman"/>
                <w:noProof/>
              </w:rPr>
            </w:pPr>
            <w:r>
              <w:rPr>
                <w:noProof/>
              </w:rPr>
              <w:t>1 - 1.1. 16865_Restructuration et amélioration des revenus du compte de cogénération SER</w:t>
            </w:r>
          </w:p>
        </w:tc>
        <w:tc>
          <w:tcPr>
            <w:tcW w:w="1206" w:type="dxa"/>
            <w:tcBorders>
              <w:top w:val="nil"/>
              <w:left w:val="nil"/>
              <w:bottom w:val="single" w:sz="4" w:space="0" w:color="auto"/>
              <w:right w:val="single" w:sz="4" w:space="0" w:color="auto"/>
            </w:tcBorders>
            <w:shd w:val="clear" w:color="auto" w:fill="C6EFCE"/>
            <w:noWrap/>
            <w:hideMark/>
          </w:tcPr>
          <w:p w14:paraId="614B3B8E" w14:textId="77777777" w:rsidR="00A00259" w:rsidRDefault="00371282">
            <w:pPr>
              <w:pStyle w:val="P68B1DB1-Normal12"/>
              <w:spacing w:after="0" w:line="240" w:lineRule="auto"/>
              <w:rPr>
                <w:rFonts w:eastAsia="Times New Roman"/>
                <w:noProof/>
              </w:rPr>
            </w:pPr>
            <w:r>
              <w:rPr>
                <w:noProof/>
              </w:rPr>
              <w:t> Objectif</w:t>
            </w:r>
          </w:p>
        </w:tc>
        <w:tc>
          <w:tcPr>
            <w:tcW w:w="1359" w:type="dxa"/>
            <w:tcBorders>
              <w:top w:val="nil"/>
              <w:left w:val="nil"/>
              <w:bottom w:val="single" w:sz="4" w:space="0" w:color="auto"/>
              <w:right w:val="single" w:sz="4" w:space="0" w:color="auto"/>
            </w:tcBorders>
            <w:shd w:val="clear" w:color="auto" w:fill="C6EFCE"/>
            <w:noWrap/>
            <w:hideMark/>
          </w:tcPr>
          <w:p w14:paraId="1E3897B2" w14:textId="77777777" w:rsidR="00A00259" w:rsidRDefault="00371282">
            <w:pPr>
              <w:pStyle w:val="P68B1DB1-Normal12"/>
              <w:spacing w:after="0" w:line="240" w:lineRule="auto"/>
              <w:rPr>
                <w:rFonts w:eastAsia="Times New Roman"/>
                <w:noProof/>
              </w:rPr>
            </w:pPr>
            <w:r>
              <w:rPr>
                <w:noProof/>
              </w:rPr>
              <w:t>Compte SER — objectif d’augmentation de la capacité 2</w:t>
            </w:r>
          </w:p>
        </w:tc>
        <w:tc>
          <w:tcPr>
            <w:tcW w:w="1533" w:type="dxa"/>
            <w:tcBorders>
              <w:top w:val="nil"/>
              <w:left w:val="nil"/>
              <w:bottom w:val="single" w:sz="4" w:space="0" w:color="auto"/>
              <w:right w:val="single" w:sz="4" w:space="0" w:color="auto"/>
            </w:tcBorders>
            <w:shd w:val="clear" w:color="auto" w:fill="C6EFCE"/>
            <w:noWrap/>
            <w:hideMark/>
          </w:tcPr>
          <w:p w14:paraId="7C204AB9" w14:textId="77777777" w:rsidR="00A00259" w:rsidRDefault="00371282">
            <w:pPr>
              <w:pStyle w:val="P68B1DB1-Normal12"/>
              <w:spacing w:after="0" w:line="240" w:lineRule="auto"/>
              <w:rPr>
                <w:rFonts w:eastAsia="Times New Roman"/>
                <w:noProof/>
              </w:rPr>
            </w:pPr>
            <w:r>
              <w:rPr>
                <w:noProof/>
              </w:rPr>
              <w:t xml:space="preserve"> </w:t>
            </w:r>
          </w:p>
        </w:tc>
        <w:tc>
          <w:tcPr>
            <w:tcW w:w="1210" w:type="dxa"/>
            <w:tcBorders>
              <w:top w:val="nil"/>
              <w:left w:val="nil"/>
              <w:bottom w:val="single" w:sz="4" w:space="0" w:color="auto"/>
              <w:right w:val="single" w:sz="4" w:space="0" w:color="auto"/>
            </w:tcBorders>
            <w:shd w:val="clear" w:color="auto" w:fill="C6EFCE"/>
            <w:noWrap/>
            <w:hideMark/>
          </w:tcPr>
          <w:p w14:paraId="7DDF8AD9" w14:textId="77777777" w:rsidR="00A00259" w:rsidRDefault="00371282">
            <w:pPr>
              <w:pStyle w:val="P68B1DB1-Normal12"/>
              <w:spacing w:after="0" w:line="240" w:lineRule="auto"/>
              <w:rPr>
                <w:rFonts w:eastAsia="Times New Roman"/>
                <w:noProof/>
              </w:rPr>
            </w:pPr>
            <w:r>
              <w:rPr>
                <w:noProof/>
              </w:rPr>
              <w:t>Mise en service de nouvelles capacités (GW) de sources d'énergie renouvelables</w:t>
            </w:r>
          </w:p>
        </w:tc>
        <w:tc>
          <w:tcPr>
            <w:tcW w:w="941" w:type="dxa"/>
            <w:tcBorders>
              <w:top w:val="nil"/>
              <w:left w:val="nil"/>
              <w:bottom w:val="single" w:sz="4" w:space="0" w:color="auto"/>
              <w:right w:val="single" w:sz="4" w:space="0" w:color="auto"/>
            </w:tcBorders>
            <w:shd w:val="clear" w:color="auto" w:fill="C6EFCE"/>
            <w:noWrap/>
            <w:hideMark/>
          </w:tcPr>
          <w:p w14:paraId="03DE998D" w14:textId="77777777" w:rsidR="00A00259" w:rsidRDefault="00371282">
            <w:pPr>
              <w:pStyle w:val="P68B1DB1-Normal12"/>
              <w:spacing w:after="0" w:line="240" w:lineRule="auto"/>
              <w:rPr>
                <w:rFonts w:eastAsia="Times New Roman"/>
                <w:noProof/>
              </w:rPr>
            </w:pPr>
            <w:r>
              <w:rPr>
                <w:noProof/>
              </w:rPr>
              <w:t> 1</w:t>
            </w:r>
          </w:p>
        </w:tc>
        <w:tc>
          <w:tcPr>
            <w:tcW w:w="943" w:type="dxa"/>
            <w:tcBorders>
              <w:top w:val="nil"/>
              <w:left w:val="nil"/>
              <w:bottom w:val="single" w:sz="4" w:space="0" w:color="auto"/>
              <w:right w:val="single" w:sz="4" w:space="0" w:color="auto"/>
            </w:tcBorders>
            <w:shd w:val="clear" w:color="auto" w:fill="C6EFCE"/>
            <w:noWrap/>
            <w:hideMark/>
          </w:tcPr>
          <w:p w14:paraId="0DB56D4C" w14:textId="77777777" w:rsidR="00A00259" w:rsidRDefault="00371282">
            <w:pPr>
              <w:pStyle w:val="P68B1DB1-Normal12"/>
              <w:spacing w:after="0" w:line="240" w:lineRule="auto"/>
              <w:rPr>
                <w:rFonts w:eastAsia="Times New Roman"/>
                <w:noProof/>
              </w:rPr>
            </w:pPr>
            <w:r>
              <w:rPr>
                <w:noProof/>
              </w:rPr>
              <w:t>2</w:t>
            </w:r>
          </w:p>
        </w:tc>
        <w:tc>
          <w:tcPr>
            <w:tcW w:w="1048" w:type="dxa"/>
            <w:tcBorders>
              <w:top w:val="nil"/>
              <w:left w:val="nil"/>
              <w:bottom w:val="single" w:sz="4" w:space="0" w:color="auto"/>
              <w:right w:val="single" w:sz="4" w:space="0" w:color="auto"/>
            </w:tcBorders>
            <w:shd w:val="clear" w:color="auto" w:fill="C6EFCE"/>
            <w:noWrap/>
            <w:hideMark/>
          </w:tcPr>
          <w:p w14:paraId="042EC37F" w14:textId="77777777" w:rsidR="00A00259" w:rsidRDefault="00371282">
            <w:pPr>
              <w:pStyle w:val="P68B1DB1-Normal12"/>
              <w:spacing w:after="0" w:line="240" w:lineRule="auto"/>
              <w:rPr>
                <w:rFonts w:eastAsia="Times New Roman"/>
                <w:noProof/>
              </w:rPr>
            </w:pPr>
            <w:r>
              <w:rPr>
                <w:noProof/>
              </w:rPr>
              <w:t>T2</w:t>
            </w:r>
          </w:p>
        </w:tc>
        <w:tc>
          <w:tcPr>
            <w:tcW w:w="1009" w:type="dxa"/>
            <w:tcBorders>
              <w:top w:val="nil"/>
              <w:left w:val="nil"/>
              <w:bottom w:val="single" w:sz="4" w:space="0" w:color="auto"/>
              <w:right w:val="single" w:sz="4" w:space="0" w:color="auto"/>
            </w:tcBorders>
            <w:shd w:val="clear" w:color="auto" w:fill="C6EFCE"/>
            <w:noWrap/>
            <w:hideMark/>
          </w:tcPr>
          <w:p w14:paraId="110E8C2C" w14:textId="77777777" w:rsidR="00A00259" w:rsidRDefault="00371282">
            <w:pPr>
              <w:pStyle w:val="P68B1DB1-Normal12"/>
              <w:spacing w:after="0" w:line="240" w:lineRule="auto"/>
              <w:rPr>
                <w:rFonts w:eastAsia="Times New Roman"/>
                <w:noProof/>
              </w:rPr>
            </w:pPr>
            <w:r>
              <w:rPr>
                <w:noProof/>
              </w:rPr>
              <w:t>2024</w:t>
            </w:r>
          </w:p>
        </w:tc>
        <w:tc>
          <w:tcPr>
            <w:tcW w:w="2897" w:type="dxa"/>
            <w:tcBorders>
              <w:top w:val="nil"/>
              <w:left w:val="nil"/>
              <w:bottom w:val="single" w:sz="4" w:space="0" w:color="auto"/>
              <w:right w:val="single" w:sz="4" w:space="0" w:color="auto"/>
            </w:tcBorders>
            <w:shd w:val="clear" w:color="auto" w:fill="C6EFCE"/>
            <w:noWrap/>
            <w:hideMark/>
          </w:tcPr>
          <w:p w14:paraId="76242DD3" w14:textId="77777777" w:rsidR="00A00259" w:rsidRDefault="00371282">
            <w:pPr>
              <w:pStyle w:val="P68B1DB1-Normal12"/>
              <w:spacing w:after="0" w:line="240" w:lineRule="auto"/>
              <w:rPr>
                <w:rFonts w:eastAsia="Times New Roman"/>
                <w:noProof/>
              </w:rPr>
            </w:pPr>
            <w:r>
              <w:rPr>
                <w:noProof/>
              </w:rPr>
              <w:t>Nouvelle capacité SER installée et opérationnelle</w:t>
            </w:r>
          </w:p>
        </w:tc>
      </w:tr>
      <w:tr w:rsidR="00A00259" w14:paraId="7C6258A9" w14:textId="77777777" w:rsidTr="00CE3F9A">
        <w:trPr>
          <w:trHeight w:val="1362"/>
        </w:trPr>
        <w:tc>
          <w:tcPr>
            <w:tcW w:w="786" w:type="dxa"/>
            <w:tcBorders>
              <w:top w:val="nil"/>
              <w:left w:val="single" w:sz="4" w:space="0" w:color="auto"/>
              <w:bottom w:val="single" w:sz="4" w:space="0" w:color="auto"/>
              <w:right w:val="single" w:sz="4" w:space="0" w:color="auto"/>
            </w:tcBorders>
            <w:shd w:val="clear" w:color="auto" w:fill="C6EFCE"/>
            <w:noWrap/>
            <w:hideMark/>
          </w:tcPr>
          <w:p w14:paraId="25C4CF4E" w14:textId="77777777" w:rsidR="00A00259" w:rsidRDefault="00371282">
            <w:pPr>
              <w:pStyle w:val="P68B1DB1-Normal12"/>
              <w:spacing w:after="0" w:line="240" w:lineRule="auto"/>
              <w:rPr>
                <w:rFonts w:eastAsia="Times New Roman"/>
                <w:noProof/>
              </w:rPr>
            </w:pPr>
            <w:r>
              <w:rPr>
                <w:noProof/>
              </w:rPr>
              <w:t> 8</w:t>
            </w:r>
          </w:p>
        </w:tc>
        <w:tc>
          <w:tcPr>
            <w:tcW w:w="1855" w:type="dxa"/>
            <w:tcBorders>
              <w:top w:val="nil"/>
              <w:left w:val="nil"/>
              <w:bottom w:val="single" w:sz="4" w:space="0" w:color="auto"/>
              <w:right w:val="single" w:sz="4" w:space="0" w:color="auto"/>
            </w:tcBorders>
            <w:shd w:val="clear" w:color="auto" w:fill="C6EFCE"/>
            <w:noWrap/>
          </w:tcPr>
          <w:p w14:paraId="0A51B204" w14:textId="77777777" w:rsidR="00A00259" w:rsidRDefault="00371282">
            <w:pPr>
              <w:pStyle w:val="P68B1DB1-Normal12"/>
              <w:spacing w:after="0" w:line="240" w:lineRule="auto"/>
              <w:rPr>
                <w:rFonts w:eastAsia="Times New Roman"/>
                <w:noProof/>
              </w:rPr>
            </w:pPr>
            <w:r>
              <w:rPr>
                <w:noProof/>
              </w:rPr>
              <w:t>1 - 1.1. 16865_Restructuration et amélioration des revenus du compte de cogénération SER</w:t>
            </w:r>
          </w:p>
        </w:tc>
        <w:tc>
          <w:tcPr>
            <w:tcW w:w="1206" w:type="dxa"/>
            <w:tcBorders>
              <w:top w:val="nil"/>
              <w:left w:val="nil"/>
              <w:bottom w:val="single" w:sz="4" w:space="0" w:color="auto"/>
              <w:right w:val="single" w:sz="4" w:space="0" w:color="auto"/>
            </w:tcBorders>
            <w:shd w:val="clear" w:color="auto" w:fill="C6EFCE"/>
            <w:noWrap/>
            <w:hideMark/>
          </w:tcPr>
          <w:p w14:paraId="7B26EC49" w14:textId="77777777" w:rsidR="00A00259" w:rsidRDefault="00371282">
            <w:pPr>
              <w:pStyle w:val="P68B1DB1-Normal12"/>
              <w:spacing w:after="0" w:line="240" w:lineRule="auto"/>
              <w:rPr>
                <w:rFonts w:eastAsia="Times New Roman"/>
                <w:noProof/>
              </w:rPr>
            </w:pPr>
            <w:r>
              <w:rPr>
                <w:noProof/>
              </w:rPr>
              <w:t> Objectif</w:t>
            </w:r>
          </w:p>
        </w:tc>
        <w:tc>
          <w:tcPr>
            <w:tcW w:w="1359" w:type="dxa"/>
            <w:tcBorders>
              <w:top w:val="nil"/>
              <w:left w:val="nil"/>
              <w:bottom w:val="single" w:sz="4" w:space="0" w:color="auto"/>
              <w:right w:val="single" w:sz="4" w:space="0" w:color="auto"/>
            </w:tcBorders>
            <w:shd w:val="clear" w:color="auto" w:fill="C6EFCE"/>
            <w:noWrap/>
            <w:hideMark/>
          </w:tcPr>
          <w:p w14:paraId="1F43AC80" w14:textId="77777777" w:rsidR="00A00259" w:rsidRDefault="00371282">
            <w:pPr>
              <w:pStyle w:val="P68B1DB1-Normal12"/>
              <w:spacing w:after="0" w:line="240" w:lineRule="auto"/>
              <w:rPr>
                <w:rFonts w:eastAsia="Times New Roman"/>
                <w:noProof/>
              </w:rPr>
            </w:pPr>
            <w:r>
              <w:rPr>
                <w:noProof/>
              </w:rPr>
              <w:t>Compte SER — objectif d’augmentation de la capacité 3 </w:t>
            </w:r>
          </w:p>
        </w:tc>
        <w:tc>
          <w:tcPr>
            <w:tcW w:w="1533" w:type="dxa"/>
            <w:tcBorders>
              <w:top w:val="nil"/>
              <w:left w:val="nil"/>
              <w:bottom w:val="single" w:sz="4" w:space="0" w:color="auto"/>
              <w:right w:val="single" w:sz="4" w:space="0" w:color="auto"/>
            </w:tcBorders>
            <w:shd w:val="clear" w:color="auto" w:fill="C6EFCE"/>
            <w:noWrap/>
            <w:hideMark/>
          </w:tcPr>
          <w:p w14:paraId="023D6745" w14:textId="77777777" w:rsidR="00A00259" w:rsidRDefault="00371282">
            <w:pPr>
              <w:pStyle w:val="P68B1DB1-Normal12"/>
              <w:spacing w:after="0" w:line="240" w:lineRule="auto"/>
              <w:rPr>
                <w:rFonts w:eastAsia="Times New Roman"/>
                <w:noProof/>
              </w:rPr>
            </w:pPr>
            <w:r>
              <w:rPr>
                <w:noProof/>
              </w:rPr>
              <w:t xml:space="preserve"> </w:t>
            </w:r>
          </w:p>
        </w:tc>
        <w:tc>
          <w:tcPr>
            <w:tcW w:w="1210" w:type="dxa"/>
            <w:tcBorders>
              <w:top w:val="nil"/>
              <w:left w:val="nil"/>
              <w:bottom w:val="single" w:sz="4" w:space="0" w:color="auto"/>
              <w:right w:val="single" w:sz="4" w:space="0" w:color="auto"/>
            </w:tcBorders>
            <w:shd w:val="clear" w:color="auto" w:fill="C6EFCE"/>
            <w:noWrap/>
            <w:hideMark/>
          </w:tcPr>
          <w:p w14:paraId="08AF8176" w14:textId="77777777" w:rsidR="00A00259" w:rsidRDefault="00371282">
            <w:pPr>
              <w:pStyle w:val="P68B1DB1-Normal12"/>
              <w:spacing w:after="0" w:line="240" w:lineRule="auto"/>
              <w:rPr>
                <w:rFonts w:eastAsia="Times New Roman"/>
                <w:noProof/>
              </w:rPr>
            </w:pPr>
            <w:r>
              <w:rPr>
                <w:noProof/>
              </w:rPr>
              <w:t>Mise en service de nouvelles capacités (GW) de sources d'énergie renouvelables</w:t>
            </w:r>
          </w:p>
        </w:tc>
        <w:tc>
          <w:tcPr>
            <w:tcW w:w="941" w:type="dxa"/>
            <w:tcBorders>
              <w:top w:val="nil"/>
              <w:left w:val="nil"/>
              <w:bottom w:val="single" w:sz="4" w:space="0" w:color="auto"/>
              <w:right w:val="single" w:sz="4" w:space="0" w:color="auto"/>
            </w:tcBorders>
            <w:shd w:val="clear" w:color="auto" w:fill="C6EFCE"/>
            <w:noWrap/>
            <w:hideMark/>
          </w:tcPr>
          <w:p w14:paraId="5006329B" w14:textId="77777777" w:rsidR="00A00259" w:rsidRDefault="00371282">
            <w:pPr>
              <w:pStyle w:val="P68B1DB1-Normal12"/>
              <w:spacing w:after="0" w:line="240" w:lineRule="auto"/>
              <w:rPr>
                <w:rFonts w:eastAsia="Times New Roman"/>
                <w:noProof/>
              </w:rPr>
            </w:pPr>
            <w:r>
              <w:rPr>
                <w:noProof/>
              </w:rPr>
              <w:t> 2</w:t>
            </w:r>
          </w:p>
        </w:tc>
        <w:tc>
          <w:tcPr>
            <w:tcW w:w="943" w:type="dxa"/>
            <w:tcBorders>
              <w:top w:val="nil"/>
              <w:left w:val="nil"/>
              <w:bottom w:val="single" w:sz="4" w:space="0" w:color="auto"/>
              <w:right w:val="single" w:sz="4" w:space="0" w:color="auto"/>
            </w:tcBorders>
            <w:shd w:val="clear" w:color="auto" w:fill="C6EFCE"/>
            <w:noWrap/>
            <w:hideMark/>
          </w:tcPr>
          <w:p w14:paraId="18D0519F" w14:textId="77777777" w:rsidR="00A00259" w:rsidRDefault="00371282">
            <w:pPr>
              <w:pStyle w:val="P68B1DB1-Normal12"/>
              <w:spacing w:after="0" w:line="240" w:lineRule="auto"/>
              <w:rPr>
                <w:rFonts w:eastAsia="Times New Roman"/>
                <w:noProof/>
              </w:rPr>
            </w:pPr>
            <w:r>
              <w:rPr>
                <w:noProof/>
              </w:rPr>
              <w:t>3</w:t>
            </w:r>
          </w:p>
        </w:tc>
        <w:tc>
          <w:tcPr>
            <w:tcW w:w="1048" w:type="dxa"/>
            <w:tcBorders>
              <w:top w:val="nil"/>
              <w:left w:val="nil"/>
              <w:bottom w:val="single" w:sz="4" w:space="0" w:color="auto"/>
              <w:right w:val="single" w:sz="4" w:space="0" w:color="auto"/>
            </w:tcBorders>
            <w:shd w:val="clear" w:color="auto" w:fill="C6EFCE"/>
            <w:noWrap/>
            <w:hideMark/>
          </w:tcPr>
          <w:p w14:paraId="0AD80BD8" w14:textId="77777777" w:rsidR="00A00259" w:rsidRDefault="00371282">
            <w:pPr>
              <w:pStyle w:val="P68B1DB1-Normal12"/>
              <w:spacing w:after="0" w:line="240" w:lineRule="auto"/>
              <w:rPr>
                <w:rFonts w:eastAsia="Times New Roman"/>
                <w:noProof/>
              </w:rPr>
            </w:pPr>
            <w:r>
              <w:rPr>
                <w:noProof/>
              </w:rPr>
              <w:t>T2</w:t>
            </w:r>
          </w:p>
        </w:tc>
        <w:tc>
          <w:tcPr>
            <w:tcW w:w="1009" w:type="dxa"/>
            <w:tcBorders>
              <w:top w:val="nil"/>
              <w:left w:val="nil"/>
              <w:bottom w:val="single" w:sz="4" w:space="0" w:color="auto"/>
              <w:right w:val="single" w:sz="4" w:space="0" w:color="auto"/>
            </w:tcBorders>
            <w:shd w:val="clear" w:color="auto" w:fill="C6EFCE"/>
            <w:noWrap/>
            <w:hideMark/>
          </w:tcPr>
          <w:p w14:paraId="1D4B1119" w14:textId="77777777" w:rsidR="00A00259" w:rsidRDefault="00371282">
            <w:pPr>
              <w:pStyle w:val="P68B1DB1-Normal12"/>
              <w:spacing w:after="0" w:line="240" w:lineRule="auto"/>
              <w:rPr>
                <w:rFonts w:eastAsia="Times New Roman"/>
                <w:noProof/>
              </w:rPr>
            </w:pPr>
            <w:r>
              <w:rPr>
                <w:noProof/>
              </w:rPr>
              <w:t>2024</w:t>
            </w:r>
          </w:p>
        </w:tc>
        <w:tc>
          <w:tcPr>
            <w:tcW w:w="2897" w:type="dxa"/>
            <w:tcBorders>
              <w:top w:val="nil"/>
              <w:left w:val="nil"/>
              <w:bottom w:val="single" w:sz="4" w:space="0" w:color="auto"/>
              <w:right w:val="single" w:sz="4" w:space="0" w:color="auto"/>
            </w:tcBorders>
            <w:shd w:val="clear" w:color="auto" w:fill="C6EFCE"/>
            <w:noWrap/>
            <w:hideMark/>
          </w:tcPr>
          <w:p w14:paraId="63DBA553" w14:textId="77777777" w:rsidR="00A00259" w:rsidRDefault="00371282">
            <w:pPr>
              <w:pStyle w:val="P68B1DB1-Normal12"/>
              <w:spacing w:after="0" w:line="240" w:lineRule="auto"/>
              <w:rPr>
                <w:rFonts w:eastAsia="Times New Roman"/>
                <w:noProof/>
              </w:rPr>
            </w:pPr>
            <w:r>
              <w:rPr>
                <w:noProof/>
              </w:rPr>
              <w:t>Nouvelle capacité SER installée et opérationnelle</w:t>
            </w:r>
          </w:p>
        </w:tc>
      </w:tr>
    </w:tbl>
    <w:p w14:paraId="63F040BB" w14:textId="77777777" w:rsidR="00A00259" w:rsidRDefault="00A00259">
      <w:pPr>
        <w:keepNext/>
        <w:keepLines/>
        <w:spacing w:before="40" w:after="0" w:line="240" w:lineRule="auto"/>
        <w:jc w:val="both"/>
        <w:outlineLvl w:val="4"/>
        <w:rPr>
          <w:rFonts w:ascii="Cambria" w:hAnsi="Cambria"/>
          <w:noProof/>
          <w:color w:val="365F91"/>
          <w:sz w:val="24"/>
        </w:rPr>
      </w:pPr>
    </w:p>
    <w:p w14:paraId="12F03129" w14:textId="77777777" w:rsidR="00A00259" w:rsidRDefault="00371282">
      <w:pPr>
        <w:pStyle w:val="P68B1DB1-Normal9"/>
        <w:spacing w:after="0" w:line="240" w:lineRule="auto"/>
        <w:rPr>
          <w:noProof/>
        </w:rPr>
      </w:pPr>
      <w:r>
        <w:rPr>
          <w:noProof/>
        </w:rPr>
        <w:br w:type="page"/>
      </w:r>
    </w:p>
    <w:p w14:paraId="239AA29A" w14:textId="77777777" w:rsidR="00A00259" w:rsidRDefault="00371282">
      <w:pPr>
        <w:pStyle w:val="P68B1DB1-Normal9"/>
        <w:keepNext/>
        <w:keepLines/>
        <w:spacing w:before="40" w:after="0" w:line="240" w:lineRule="auto"/>
        <w:jc w:val="both"/>
        <w:outlineLvl w:val="4"/>
        <w:rPr>
          <w:rFonts w:eastAsia="Times New Roman"/>
          <w:noProof/>
        </w:rPr>
      </w:pPr>
      <w:r>
        <w:rPr>
          <w:noProof/>
        </w:rPr>
        <w:t>Groupe 1: Mise sous tension</w:t>
      </w:r>
    </w:p>
    <w:p w14:paraId="7E5CA3F7" w14:textId="77777777" w:rsidR="00A00259" w:rsidRDefault="00371282">
      <w:pPr>
        <w:pStyle w:val="P68B1DB1-Normal5"/>
        <w:spacing w:before="120" w:after="120" w:line="240" w:lineRule="auto"/>
        <w:rPr>
          <w:rFonts w:cs="Times New Roman"/>
          <w:noProof/>
        </w:rPr>
      </w:pPr>
      <w:r>
        <w:rPr>
          <w:noProof/>
        </w:rPr>
        <w:t>Les mesures incluses dans ce groupe sont les suivantes:</w:t>
      </w:r>
    </w:p>
    <w:p w14:paraId="430B3982" w14:textId="77777777" w:rsidR="00A00259" w:rsidRDefault="00371282">
      <w:pPr>
        <w:spacing w:before="120" w:after="120" w:line="240" w:lineRule="auto"/>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Soutien à l’installation de systèmes de stockage pour améliorer la pénétration des SER (ID: 16926)</w:t>
      </w:r>
    </w:p>
    <w:p w14:paraId="20AA16F5" w14:textId="77777777" w:rsidR="00A00259" w:rsidRDefault="00371282">
      <w:pPr>
        <w:spacing w:before="120" w:after="120" w:line="240" w:lineRule="auto"/>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Actions de revitalisation des territoires les plus touchés (Territoires de transition juste) (ID: 16871)</w:t>
      </w:r>
    </w:p>
    <w:p w14:paraId="383F699B" w14:textId="77777777" w:rsidR="00A00259" w:rsidRDefault="00371282">
      <w:pPr>
        <w:spacing w:before="120" w:after="120" w:line="240" w:lineRule="auto"/>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Mises à niveau du réseau HEDNO visant à renforcer la résilience et à protéger l’environnement (ID: 16901)</w:t>
      </w:r>
    </w:p>
    <w:p w14:paraId="73C3266A" w14:textId="6119979E" w:rsidR="00A00259" w:rsidRDefault="00371282">
      <w:pPr>
        <w:pStyle w:val="P68B1DB1-Normal14"/>
        <w:spacing w:before="120" w:after="120" w:line="240" w:lineRule="auto"/>
        <w:rPr>
          <w:rFonts w:ascii="Times New Roman" w:hAnsi="Times New Roman" w:cs="Times New Roman"/>
          <w:noProof/>
        </w:rPr>
      </w:pPr>
      <w:r>
        <w:rPr>
          <w:rFonts w:ascii="Times New Roman" w:hAnsi="Times New Roman"/>
          <w:noProof/>
        </w:rPr>
        <w:t>●</w:t>
      </w:r>
      <w:r>
        <w:rPr>
          <w:rFonts w:ascii="Times New Roman" w:hAnsi="Times New Roman" w:cs="Times New Roman"/>
          <w:noProof/>
          <w:szCs w:val="24"/>
        </w:rPr>
        <w:tab/>
        <w:t>Mises à niveau du réseau HEDNO (ID: 16900)</w:t>
      </w:r>
    </w:p>
    <w:p w14:paraId="20A598CF" w14:textId="2DDA76D8" w:rsidR="00A00259" w:rsidRDefault="00371282">
      <w:pPr>
        <w:spacing w:before="120" w:after="120" w:line="240" w:lineRule="auto"/>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Gestionnaire de réseau de distribution d'électricité hellénique (HEDNO) Sous-stations haute tension/moyenne tension (ID: 16899)</w:t>
      </w:r>
    </w:p>
    <w:tbl>
      <w:tblPr>
        <w:tblW w:w="14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2032"/>
        <w:gridCol w:w="1077"/>
        <w:gridCol w:w="1324"/>
        <w:gridCol w:w="1527"/>
        <w:gridCol w:w="1316"/>
        <w:gridCol w:w="1100"/>
        <w:gridCol w:w="993"/>
        <w:gridCol w:w="992"/>
        <w:gridCol w:w="709"/>
        <w:gridCol w:w="2913"/>
      </w:tblGrid>
      <w:tr w:rsidR="00A00259" w14:paraId="7762C1C1" w14:textId="77777777" w:rsidTr="00CE3F9A">
        <w:trPr>
          <w:trHeight w:val="679"/>
          <w:tblHeader/>
          <w:jc w:val="center"/>
        </w:trPr>
        <w:tc>
          <w:tcPr>
            <w:tcW w:w="804" w:type="dxa"/>
            <w:vMerge w:val="restart"/>
            <w:shd w:val="clear" w:color="auto" w:fill="BDD7EE"/>
            <w:vAlign w:val="center"/>
            <w:hideMark/>
          </w:tcPr>
          <w:p w14:paraId="0BE4110C" w14:textId="77777777" w:rsidR="00A00259" w:rsidRDefault="00371282">
            <w:pPr>
              <w:pStyle w:val="P68B1DB1-Normal10"/>
              <w:spacing w:after="0" w:line="240" w:lineRule="auto"/>
              <w:jc w:val="center"/>
              <w:rPr>
                <w:rFonts w:eastAsia="Times New Roman" w:cs="Times New Roman"/>
                <w:bCs/>
                <w:noProof/>
                <w:szCs w:val="18"/>
              </w:rPr>
            </w:pPr>
            <w:r>
              <w:rPr>
                <w:noProof/>
              </w:rPr>
              <w:t>Seq.</w:t>
            </w:r>
            <w:r>
              <w:rPr>
                <w:noProof/>
              </w:rPr>
              <w:br/>
              <w:t>Non</w:t>
            </w:r>
          </w:p>
        </w:tc>
        <w:tc>
          <w:tcPr>
            <w:tcW w:w="2032" w:type="dxa"/>
            <w:vMerge w:val="restart"/>
            <w:shd w:val="clear" w:color="auto" w:fill="BDD7EE"/>
            <w:vAlign w:val="center"/>
            <w:hideMark/>
          </w:tcPr>
          <w:p w14:paraId="476EB6A7" w14:textId="77777777" w:rsidR="00A00259" w:rsidRDefault="00371282">
            <w:pPr>
              <w:pStyle w:val="P68B1DB1-Normal15"/>
              <w:spacing w:after="0" w:line="240" w:lineRule="auto"/>
              <w:jc w:val="center"/>
              <w:rPr>
                <w:rFonts w:eastAsia="Times New Roman"/>
                <w:bCs/>
                <w:noProof/>
              </w:rPr>
            </w:pPr>
            <w:r>
              <w:rPr>
                <w:noProof/>
              </w:rPr>
              <w:t>Mesure connexe (réforme ou investissement)</w:t>
            </w:r>
          </w:p>
        </w:tc>
        <w:tc>
          <w:tcPr>
            <w:tcW w:w="1077" w:type="dxa"/>
            <w:vMerge w:val="restart"/>
            <w:shd w:val="clear" w:color="auto" w:fill="BDD7EE"/>
            <w:vAlign w:val="center"/>
            <w:hideMark/>
          </w:tcPr>
          <w:p w14:paraId="7D61EE78" w14:textId="77777777" w:rsidR="00A00259" w:rsidRDefault="00371282">
            <w:pPr>
              <w:pStyle w:val="P68B1DB1-Normal15"/>
              <w:spacing w:after="0" w:line="240" w:lineRule="auto"/>
              <w:jc w:val="center"/>
              <w:rPr>
                <w:rFonts w:eastAsia="Times New Roman"/>
                <w:bCs/>
                <w:noProof/>
              </w:rPr>
            </w:pPr>
            <w:r>
              <w:rPr>
                <w:noProof/>
              </w:rPr>
              <w:t>Étape/cible</w:t>
            </w:r>
          </w:p>
        </w:tc>
        <w:tc>
          <w:tcPr>
            <w:tcW w:w="1324" w:type="dxa"/>
            <w:vMerge w:val="restart"/>
            <w:shd w:val="clear" w:color="auto" w:fill="BDD7EE"/>
            <w:vAlign w:val="center"/>
            <w:hideMark/>
          </w:tcPr>
          <w:p w14:paraId="31066E93" w14:textId="77777777" w:rsidR="00A00259" w:rsidRDefault="00371282">
            <w:pPr>
              <w:pStyle w:val="P68B1DB1-Normal15"/>
              <w:spacing w:after="0" w:line="240" w:lineRule="auto"/>
              <w:jc w:val="center"/>
              <w:rPr>
                <w:rFonts w:eastAsia="Times New Roman"/>
                <w:bCs/>
                <w:noProof/>
              </w:rPr>
            </w:pPr>
            <w:r>
              <w:rPr>
                <w:noProof/>
              </w:rPr>
              <w:t>Nom</w:t>
            </w:r>
          </w:p>
        </w:tc>
        <w:tc>
          <w:tcPr>
            <w:tcW w:w="1527" w:type="dxa"/>
            <w:vMerge w:val="restart"/>
            <w:shd w:val="clear" w:color="auto" w:fill="BDD7EE"/>
            <w:vAlign w:val="center"/>
            <w:hideMark/>
          </w:tcPr>
          <w:p w14:paraId="5ECCD657" w14:textId="77777777" w:rsidR="00A00259" w:rsidRDefault="00371282">
            <w:pPr>
              <w:pStyle w:val="P68B1DB1-Normal15"/>
              <w:spacing w:after="0" w:line="240" w:lineRule="auto"/>
              <w:jc w:val="center"/>
              <w:rPr>
                <w:rFonts w:eastAsia="Times New Roman"/>
                <w:bCs/>
                <w:noProof/>
              </w:rPr>
            </w:pPr>
            <w:r>
              <w:rPr>
                <w:noProof/>
              </w:rPr>
              <w:t>Indicateurs qualitatifs (pour les jalons)</w:t>
            </w:r>
          </w:p>
        </w:tc>
        <w:tc>
          <w:tcPr>
            <w:tcW w:w="3409" w:type="dxa"/>
            <w:gridSpan w:val="3"/>
            <w:shd w:val="clear" w:color="auto" w:fill="BDD7EE"/>
            <w:vAlign w:val="center"/>
            <w:hideMark/>
          </w:tcPr>
          <w:p w14:paraId="7347B8BF" w14:textId="77777777" w:rsidR="00A00259" w:rsidRDefault="00371282">
            <w:pPr>
              <w:pStyle w:val="P68B1DB1-Normal15"/>
              <w:spacing w:after="0" w:line="240" w:lineRule="auto"/>
              <w:jc w:val="center"/>
              <w:rPr>
                <w:rFonts w:eastAsia="Times New Roman"/>
                <w:bCs/>
                <w:noProof/>
              </w:rPr>
            </w:pPr>
            <w:r>
              <w:rPr>
                <w:noProof/>
              </w:rPr>
              <w:t xml:space="preserve">Indicateurs quantitatifs </w:t>
            </w:r>
            <w:r>
              <w:rPr>
                <w:noProof/>
              </w:rPr>
              <w:br/>
              <w:t>(pour les objectifs)</w:t>
            </w:r>
          </w:p>
        </w:tc>
        <w:tc>
          <w:tcPr>
            <w:tcW w:w="1701" w:type="dxa"/>
            <w:gridSpan w:val="2"/>
            <w:shd w:val="clear" w:color="auto" w:fill="BDD7EE"/>
            <w:vAlign w:val="center"/>
            <w:hideMark/>
          </w:tcPr>
          <w:p w14:paraId="21875BDE" w14:textId="77777777" w:rsidR="00A00259" w:rsidRDefault="00371282">
            <w:pPr>
              <w:pStyle w:val="P68B1DB1-Normal15"/>
              <w:spacing w:after="0" w:line="240" w:lineRule="auto"/>
              <w:jc w:val="center"/>
              <w:rPr>
                <w:rFonts w:eastAsia="Times New Roman"/>
                <w:bCs/>
                <w:noProof/>
              </w:rPr>
            </w:pPr>
            <w:r>
              <w:rPr>
                <w:noProof/>
              </w:rPr>
              <w:t xml:space="preserve">Calendrier indicatif d'achèvement </w:t>
            </w:r>
          </w:p>
        </w:tc>
        <w:tc>
          <w:tcPr>
            <w:tcW w:w="2913" w:type="dxa"/>
            <w:vMerge w:val="restart"/>
            <w:shd w:val="clear" w:color="auto" w:fill="BDD7EE"/>
            <w:vAlign w:val="center"/>
            <w:hideMark/>
          </w:tcPr>
          <w:p w14:paraId="60DC1D73" w14:textId="77777777" w:rsidR="00A00259" w:rsidRDefault="00371282">
            <w:pPr>
              <w:pStyle w:val="P68B1DB1-Normal15"/>
              <w:spacing w:after="0" w:line="240" w:lineRule="auto"/>
              <w:jc w:val="center"/>
              <w:rPr>
                <w:rFonts w:eastAsia="Times New Roman"/>
                <w:bCs/>
                <w:noProof/>
              </w:rPr>
            </w:pPr>
            <w:r>
              <w:rPr>
                <w:noProof/>
              </w:rPr>
              <w:t>Description de chaque jalon et cible</w:t>
            </w:r>
          </w:p>
        </w:tc>
      </w:tr>
      <w:tr w:rsidR="00A00259" w14:paraId="2376F889" w14:textId="77777777" w:rsidTr="00CE3F9A">
        <w:trPr>
          <w:trHeight w:val="593"/>
          <w:tblHeader/>
          <w:jc w:val="center"/>
        </w:trPr>
        <w:tc>
          <w:tcPr>
            <w:tcW w:w="804" w:type="dxa"/>
            <w:vMerge/>
            <w:vAlign w:val="center"/>
            <w:hideMark/>
          </w:tcPr>
          <w:p w14:paraId="22B0086B" w14:textId="77777777" w:rsidR="00A00259" w:rsidRDefault="00A00259">
            <w:pPr>
              <w:spacing w:after="0" w:line="240" w:lineRule="auto"/>
              <w:rPr>
                <w:rFonts w:ascii="Times New Roman" w:eastAsia="Times New Roman" w:hAnsi="Times New Roman" w:cs="Times New Roman"/>
                <w:b/>
                <w:bCs/>
                <w:noProof/>
                <w:sz w:val="18"/>
                <w:szCs w:val="18"/>
              </w:rPr>
            </w:pPr>
          </w:p>
        </w:tc>
        <w:tc>
          <w:tcPr>
            <w:tcW w:w="2032" w:type="dxa"/>
            <w:vMerge/>
            <w:vAlign w:val="center"/>
            <w:hideMark/>
          </w:tcPr>
          <w:p w14:paraId="563FBBB9" w14:textId="77777777" w:rsidR="00A00259" w:rsidRDefault="00A00259">
            <w:pPr>
              <w:spacing w:after="0" w:line="240" w:lineRule="auto"/>
              <w:rPr>
                <w:rFonts w:ascii="Times New Roman" w:eastAsia="Times New Roman" w:hAnsi="Times New Roman" w:cs="Times New Roman"/>
                <w:b/>
                <w:bCs/>
                <w:noProof/>
                <w:sz w:val="18"/>
                <w:szCs w:val="18"/>
              </w:rPr>
            </w:pPr>
          </w:p>
        </w:tc>
        <w:tc>
          <w:tcPr>
            <w:tcW w:w="1077" w:type="dxa"/>
            <w:vMerge/>
            <w:vAlign w:val="center"/>
            <w:hideMark/>
          </w:tcPr>
          <w:p w14:paraId="661193A7" w14:textId="77777777" w:rsidR="00A00259" w:rsidRDefault="00A00259">
            <w:pPr>
              <w:spacing w:after="0" w:line="240" w:lineRule="auto"/>
              <w:rPr>
                <w:rFonts w:ascii="Times New Roman" w:eastAsia="Times New Roman" w:hAnsi="Times New Roman" w:cs="Times New Roman"/>
                <w:b/>
                <w:bCs/>
                <w:noProof/>
                <w:sz w:val="18"/>
                <w:szCs w:val="18"/>
              </w:rPr>
            </w:pPr>
          </w:p>
        </w:tc>
        <w:tc>
          <w:tcPr>
            <w:tcW w:w="1324" w:type="dxa"/>
            <w:vMerge/>
            <w:vAlign w:val="center"/>
            <w:hideMark/>
          </w:tcPr>
          <w:p w14:paraId="4B5A59A4" w14:textId="77777777" w:rsidR="00A00259" w:rsidRDefault="00A00259">
            <w:pPr>
              <w:spacing w:after="0" w:line="240" w:lineRule="auto"/>
              <w:rPr>
                <w:rFonts w:ascii="Times New Roman" w:eastAsia="Times New Roman" w:hAnsi="Times New Roman" w:cs="Times New Roman"/>
                <w:b/>
                <w:bCs/>
                <w:noProof/>
                <w:sz w:val="18"/>
                <w:szCs w:val="18"/>
              </w:rPr>
            </w:pPr>
          </w:p>
        </w:tc>
        <w:tc>
          <w:tcPr>
            <w:tcW w:w="1527" w:type="dxa"/>
            <w:vMerge/>
            <w:vAlign w:val="center"/>
            <w:hideMark/>
          </w:tcPr>
          <w:p w14:paraId="642DB89A" w14:textId="77777777" w:rsidR="00A00259" w:rsidRDefault="00A00259">
            <w:pPr>
              <w:spacing w:after="0" w:line="240" w:lineRule="auto"/>
              <w:rPr>
                <w:rFonts w:ascii="Times New Roman" w:eastAsia="Times New Roman" w:hAnsi="Times New Roman" w:cs="Times New Roman"/>
                <w:b/>
                <w:bCs/>
                <w:noProof/>
                <w:sz w:val="18"/>
                <w:szCs w:val="18"/>
              </w:rPr>
            </w:pPr>
          </w:p>
        </w:tc>
        <w:tc>
          <w:tcPr>
            <w:tcW w:w="1316" w:type="dxa"/>
            <w:shd w:val="clear" w:color="auto" w:fill="BDD7EE"/>
            <w:vAlign w:val="center"/>
            <w:hideMark/>
          </w:tcPr>
          <w:p w14:paraId="490FC57C" w14:textId="77777777" w:rsidR="00A00259" w:rsidRDefault="00371282">
            <w:pPr>
              <w:pStyle w:val="P68B1DB1-Normal15"/>
              <w:spacing w:after="0" w:line="240" w:lineRule="auto"/>
              <w:jc w:val="center"/>
              <w:rPr>
                <w:rFonts w:eastAsia="Times New Roman"/>
                <w:bCs/>
                <w:noProof/>
              </w:rPr>
            </w:pPr>
            <w:r>
              <w:rPr>
                <w:noProof/>
              </w:rPr>
              <w:t>Unité de mesure</w:t>
            </w:r>
          </w:p>
        </w:tc>
        <w:tc>
          <w:tcPr>
            <w:tcW w:w="1100" w:type="dxa"/>
            <w:shd w:val="clear" w:color="auto" w:fill="BDD7EE"/>
            <w:vAlign w:val="center"/>
            <w:hideMark/>
          </w:tcPr>
          <w:p w14:paraId="7D180235" w14:textId="77777777" w:rsidR="00A00259" w:rsidRDefault="00371282">
            <w:pPr>
              <w:pStyle w:val="P68B1DB1-Normal15"/>
              <w:spacing w:after="0" w:line="240" w:lineRule="auto"/>
              <w:jc w:val="center"/>
              <w:rPr>
                <w:rFonts w:eastAsia="Times New Roman"/>
                <w:bCs/>
                <w:noProof/>
              </w:rPr>
            </w:pPr>
            <w:r>
              <w:rPr>
                <w:noProof/>
              </w:rPr>
              <w:t xml:space="preserve">Données de référence </w:t>
            </w:r>
          </w:p>
        </w:tc>
        <w:tc>
          <w:tcPr>
            <w:tcW w:w="993" w:type="dxa"/>
            <w:shd w:val="clear" w:color="auto" w:fill="BDD7EE"/>
            <w:vAlign w:val="center"/>
            <w:hideMark/>
          </w:tcPr>
          <w:p w14:paraId="1D199521" w14:textId="77777777" w:rsidR="00A00259" w:rsidRDefault="00371282">
            <w:pPr>
              <w:pStyle w:val="P68B1DB1-Normal15"/>
              <w:spacing w:after="0" w:line="240" w:lineRule="auto"/>
              <w:jc w:val="center"/>
              <w:rPr>
                <w:rFonts w:eastAsia="Times New Roman"/>
                <w:bCs/>
                <w:noProof/>
              </w:rPr>
            </w:pPr>
            <w:r>
              <w:rPr>
                <w:noProof/>
              </w:rPr>
              <w:t xml:space="preserve">Objectif </w:t>
            </w:r>
          </w:p>
        </w:tc>
        <w:tc>
          <w:tcPr>
            <w:tcW w:w="992" w:type="dxa"/>
            <w:shd w:val="clear" w:color="auto" w:fill="BDD7EE"/>
            <w:vAlign w:val="center"/>
            <w:hideMark/>
          </w:tcPr>
          <w:p w14:paraId="797ADFC9" w14:textId="77777777" w:rsidR="00A00259" w:rsidRDefault="00371282">
            <w:pPr>
              <w:pStyle w:val="P68B1DB1-Normal15"/>
              <w:spacing w:after="0" w:line="240" w:lineRule="auto"/>
              <w:jc w:val="center"/>
              <w:rPr>
                <w:rFonts w:eastAsia="Times New Roman"/>
                <w:bCs/>
                <w:noProof/>
              </w:rPr>
            </w:pPr>
            <w:r>
              <w:rPr>
                <w:noProof/>
              </w:rPr>
              <w:t>Trimestre</w:t>
            </w:r>
          </w:p>
        </w:tc>
        <w:tc>
          <w:tcPr>
            <w:tcW w:w="709" w:type="dxa"/>
            <w:shd w:val="clear" w:color="auto" w:fill="BDD7EE"/>
            <w:vAlign w:val="center"/>
            <w:hideMark/>
          </w:tcPr>
          <w:p w14:paraId="79E82930" w14:textId="77777777" w:rsidR="00A00259" w:rsidRDefault="00371282">
            <w:pPr>
              <w:pStyle w:val="P68B1DB1-Normal15"/>
              <w:spacing w:after="0" w:line="240" w:lineRule="auto"/>
              <w:jc w:val="center"/>
              <w:rPr>
                <w:rFonts w:eastAsia="Times New Roman"/>
                <w:bCs/>
                <w:noProof/>
              </w:rPr>
            </w:pPr>
            <w:r>
              <w:rPr>
                <w:noProof/>
              </w:rPr>
              <w:t>Année</w:t>
            </w:r>
          </w:p>
        </w:tc>
        <w:tc>
          <w:tcPr>
            <w:tcW w:w="2913" w:type="dxa"/>
            <w:vMerge/>
            <w:vAlign w:val="center"/>
            <w:hideMark/>
          </w:tcPr>
          <w:p w14:paraId="5A810A5A"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2C075B51" w14:textId="77777777" w:rsidTr="00CE3F9A">
        <w:trPr>
          <w:jc w:val="center"/>
        </w:trPr>
        <w:tc>
          <w:tcPr>
            <w:tcW w:w="804" w:type="dxa"/>
            <w:shd w:val="clear" w:color="auto" w:fill="C6EFCE"/>
            <w:noWrap/>
          </w:tcPr>
          <w:p w14:paraId="26297171" w14:textId="77777777" w:rsidR="00A00259" w:rsidRDefault="00371282">
            <w:pPr>
              <w:pStyle w:val="P68B1DB1-Normal12"/>
              <w:spacing w:after="0" w:line="240" w:lineRule="auto"/>
              <w:rPr>
                <w:rFonts w:eastAsia="Times New Roman"/>
                <w:noProof/>
              </w:rPr>
            </w:pPr>
            <w:r>
              <w:rPr>
                <w:noProof/>
              </w:rPr>
              <w:t>9</w:t>
            </w:r>
          </w:p>
        </w:tc>
        <w:tc>
          <w:tcPr>
            <w:tcW w:w="2032" w:type="dxa"/>
            <w:shd w:val="clear" w:color="auto" w:fill="C6EFCE"/>
            <w:noWrap/>
          </w:tcPr>
          <w:p w14:paraId="1EF1D571" w14:textId="77777777" w:rsidR="00A00259" w:rsidRDefault="00371282">
            <w:pPr>
              <w:pStyle w:val="P68B1DB1-Normal12"/>
              <w:spacing w:after="0" w:line="240" w:lineRule="auto"/>
              <w:rPr>
                <w:rFonts w:eastAsia="Times New Roman"/>
                <w:noProof/>
              </w:rPr>
            </w:pPr>
            <w:r>
              <w:rPr>
                <w:noProof/>
              </w:rPr>
              <w:t>1 - 1.1. 16871_Actions de revitalisation des territoires les plus touchés (Territoires de transition juste)</w:t>
            </w:r>
          </w:p>
        </w:tc>
        <w:tc>
          <w:tcPr>
            <w:tcW w:w="1077" w:type="dxa"/>
            <w:shd w:val="clear" w:color="auto" w:fill="C6EFCE"/>
            <w:noWrap/>
          </w:tcPr>
          <w:p w14:paraId="3E961E47" w14:textId="77777777" w:rsidR="00A00259" w:rsidRDefault="00371282">
            <w:pPr>
              <w:pStyle w:val="P68B1DB1-Normal12"/>
              <w:spacing w:after="0" w:line="240" w:lineRule="auto"/>
              <w:rPr>
                <w:rFonts w:eastAsia="Times New Roman"/>
                <w:noProof/>
              </w:rPr>
            </w:pPr>
            <w:r>
              <w:rPr>
                <w:noProof/>
              </w:rPr>
              <w:t>Étape</w:t>
            </w:r>
          </w:p>
        </w:tc>
        <w:tc>
          <w:tcPr>
            <w:tcW w:w="1324" w:type="dxa"/>
            <w:shd w:val="clear" w:color="auto" w:fill="C6EFCE"/>
            <w:noWrap/>
          </w:tcPr>
          <w:p w14:paraId="2014558C" w14:textId="77777777" w:rsidR="00A00259" w:rsidRDefault="00371282">
            <w:pPr>
              <w:pStyle w:val="P68B1DB1-Normal12"/>
              <w:spacing w:after="0" w:line="240" w:lineRule="auto"/>
              <w:rPr>
                <w:rFonts w:eastAsia="Times New Roman"/>
                <w:noProof/>
              </w:rPr>
            </w:pPr>
            <w:r>
              <w:rPr>
                <w:noProof/>
              </w:rPr>
              <w:t>Réhabilitation des terres — loi-cadre</w:t>
            </w:r>
          </w:p>
        </w:tc>
        <w:tc>
          <w:tcPr>
            <w:tcW w:w="1527" w:type="dxa"/>
            <w:shd w:val="clear" w:color="auto" w:fill="C6EFCE"/>
            <w:noWrap/>
          </w:tcPr>
          <w:p w14:paraId="4722A7D6" w14:textId="77777777" w:rsidR="00A00259" w:rsidRDefault="00371282">
            <w:pPr>
              <w:pStyle w:val="P68B1DB1-Normal12"/>
              <w:spacing w:after="0" w:line="240" w:lineRule="auto"/>
              <w:rPr>
                <w:rFonts w:eastAsia="Times New Roman"/>
                <w:noProof/>
              </w:rPr>
            </w:pPr>
            <w:r>
              <w:rPr>
                <w:noProof/>
              </w:rPr>
              <w:t>Entrée en vigueur</w:t>
            </w:r>
          </w:p>
        </w:tc>
        <w:tc>
          <w:tcPr>
            <w:tcW w:w="1316" w:type="dxa"/>
            <w:shd w:val="clear" w:color="auto" w:fill="C6EFCE"/>
            <w:noWrap/>
          </w:tcPr>
          <w:p w14:paraId="178D9DA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00" w:type="dxa"/>
            <w:shd w:val="clear" w:color="auto" w:fill="C6EFCE"/>
            <w:noWrap/>
          </w:tcPr>
          <w:p w14:paraId="2EE4D7A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1C31AA9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386A0792" w14:textId="77777777" w:rsidR="00A00259" w:rsidRDefault="00371282">
            <w:pPr>
              <w:pStyle w:val="P68B1DB1-Normal12"/>
              <w:spacing w:after="0" w:line="240" w:lineRule="auto"/>
              <w:rPr>
                <w:rFonts w:eastAsia="Times New Roman"/>
                <w:noProof/>
              </w:rPr>
            </w:pPr>
            <w:r>
              <w:rPr>
                <w:noProof/>
              </w:rPr>
              <w:t>T1</w:t>
            </w:r>
          </w:p>
        </w:tc>
        <w:tc>
          <w:tcPr>
            <w:tcW w:w="709" w:type="dxa"/>
            <w:shd w:val="clear" w:color="auto" w:fill="C6EFCE"/>
            <w:noWrap/>
          </w:tcPr>
          <w:p w14:paraId="56B14607" w14:textId="77777777" w:rsidR="00A00259" w:rsidRDefault="00371282">
            <w:pPr>
              <w:pStyle w:val="P68B1DB1-Normal12"/>
              <w:spacing w:after="0" w:line="240" w:lineRule="auto"/>
              <w:rPr>
                <w:rFonts w:eastAsia="Times New Roman"/>
                <w:noProof/>
              </w:rPr>
            </w:pPr>
            <w:r>
              <w:rPr>
                <w:noProof/>
              </w:rPr>
              <w:t>2022</w:t>
            </w:r>
          </w:p>
        </w:tc>
        <w:tc>
          <w:tcPr>
            <w:tcW w:w="2913" w:type="dxa"/>
            <w:shd w:val="clear" w:color="auto" w:fill="C6EFCE"/>
            <w:noWrap/>
          </w:tcPr>
          <w:p w14:paraId="69D85A26" w14:textId="77777777" w:rsidR="00A00259" w:rsidRDefault="00371282">
            <w:pPr>
              <w:pStyle w:val="P68B1DB1-Normal12"/>
              <w:spacing w:after="0" w:line="240" w:lineRule="auto"/>
              <w:rPr>
                <w:rFonts w:eastAsia="Times New Roman"/>
                <w:noProof/>
              </w:rPr>
            </w:pPr>
            <w:r>
              <w:rPr>
                <w:noProof/>
              </w:rPr>
              <w:t>Approbation et entrée en vigueur de la loi-cadre sur les contrats-programmes déterminant les zones géographiques à transférer de la société publique d’électricité à l’État, le contenu des études des projets, la répartition des responsabilités entre toutes les parties concernées, les modalités de gouvernance, le calendrier de mise en œuvre et le budget.</w:t>
            </w:r>
          </w:p>
        </w:tc>
      </w:tr>
      <w:tr w:rsidR="00A00259" w14:paraId="18957338" w14:textId="77777777" w:rsidTr="00CE3F9A">
        <w:trPr>
          <w:jc w:val="center"/>
        </w:trPr>
        <w:tc>
          <w:tcPr>
            <w:tcW w:w="804" w:type="dxa"/>
            <w:shd w:val="clear" w:color="auto" w:fill="C6EFCE"/>
            <w:noWrap/>
          </w:tcPr>
          <w:p w14:paraId="31470167" w14:textId="77777777" w:rsidR="00A00259" w:rsidRDefault="00371282">
            <w:pPr>
              <w:pStyle w:val="P68B1DB1-Normal12"/>
              <w:spacing w:after="0" w:line="240" w:lineRule="auto"/>
              <w:rPr>
                <w:rFonts w:eastAsia="Times New Roman"/>
                <w:noProof/>
              </w:rPr>
            </w:pPr>
            <w:r>
              <w:rPr>
                <w:noProof/>
              </w:rPr>
              <w:t>10</w:t>
            </w:r>
          </w:p>
        </w:tc>
        <w:tc>
          <w:tcPr>
            <w:tcW w:w="2032" w:type="dxa"/>
            <w:shd w:val="clear" w:color="auto" w:fill="C6EFCE"/>
            <w:noWrap/>
          </w:tcPr>
          <w:p w14:paraId="0C0D9121" w14:textId="77777777" w:rsidR="00A00259" w:rsidRDefault="00371282">
            <w:pPr>
              <w:pStyle w:val="P68B1DB1-Normal12"/>
              <w:spacing w:after="0" w:line="240" w:lineRule="auto"/>
              <w:rPr>
                <w:noProof/>
              </w:rPr>
            </w:pPr>
            <w:r>
              <w:rPr>
                <w:noProof/>
              </w:rPr>
              <w:t>1 - 1.1. 16871_Actions de revitalisation des territoires les plus touchés (Territoires de transition juste)</w:t>
            </w:r>
          </w:p>
        </w:tc>
        <w:tc>
          <w:tcPr>
            <w:tcW w:w="1077" w:type="dxa"/>
            <w:shd w:val="clear" w:color="auto" w:fill="C6EFCE"/>
            <w:noWrap/>
          </w:tcPr>
          <w:p w14:paraId="7F85681D" w14:textId="77777777" w:rsidR="00A00259" w:rsidRDefault="00371282">
            <w:pPr>
              <w:pStyle w:val="P68B1DB1-Normal12"/>
              <w:spacing w:after="0" w:line="240" w:lineRule="auto"/>
              <w:rPr>
                <w:rFonts w:eastAsia="Times New Roman"/>
                <w:noProof/>
              </w:rPr>
            </w:pPr>
            <w:r>
              <w:rPr>
                <w:noProof/>
              </w:rPr>
              <w:t>Étape</w:t>
            </w:r>
          </w:p>
        </w:tc>
        <w:tc>
          <w:tcPr>
            <w:tcW w:w="1324" w:type="dxa"/>
            <w:shd w:val="clear" w:color="auto" w:fill="C6EFCE"/>
            <w:noWrap/>
          </w:tcPr>
          <w:p w14:paraId="3BF82B87" w14:textId="77777777" w:rsidR="00A00259" w:rsidRDefault="00371282">
            <w:pPr>
              <w:pStyle w:val="P68B1DB1-Normal12"/>
              <w:spacing w:after="0" w:line="240" w:lineRule="auto"/>
              <w:rPr>
                <w:rFonts w:eastAsia="Times New Roman"/>
                <w:noProof/>
              </w:rPr>
            </w:pPr>
            <w:r>
              <w:rPr>
                <w:noProof/>
              </w:rPr>
              <w:t>Réhabilitation des terres — plans d’urbanisme</w:t>
            </w:r>
          </w:p>
        </w:tc>
        <w:tc>
          <w:tcPr>
            <w:tcW w:w="1527" w:type="dxa"/>
            <w:shd w:val="clear" w:color="auto" w:fill="C6EFCE"/>
            <w:noWrap/>
          </w:tcPr>
          <w:p w14:paraId="3AAAB1C9" w14:textId="77777777" w:rsidR="00A00259" w:rsidRDefault="00371282">
            <w:pPr>
              <w:pStyle w:val="P68B1DB1-Normal12"/>
              <w:spacing w:after="0" w:line="240" w:lineRule="auto"/>
              <w:rPr>
                <w:rFonts w:eastAsia="Times New Roman"/>
                <w:noProof/>
              </w:rPr>
            </w:pPr>
            <w:r>
              <w:rPr>
                <w:noProof/>
              </w:rPr>
              <w:t>Approbation des plans urbains spéciaux par le Conseil central des questions d'urbanisme et des différends; Réhabilitation des terres (ha) achevée et certifiée par le certificateur indépendant</w:t>
            </w:r>
          </w:p>
        </w:tc>
        <w:tc>
          <w:tcPr>
            <w:tcW w:w="1316" w:type="dxa"/>
            <w:shd w:val="clear" w:color="auto" w:fill="C6EFCE"/>
            <w:noWrap/>
          </w:tcPr>
          <w:p w14:paraId="41733A6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00" w:type="dxa"/>
            <w:shd w:val="clear" w:color="auto" w:fill="C6EFCE"/>
            <w:noWrap/>
          </w:tcPr>
          <w:p w14:paraId="7C940E6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56F8895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7B989E0" w14:textId="77777777" w:rsidR="00A00259" w:rsidRDefault="00371282">
            <w:pPr>
              <w:pStyle w:val="P68B1DB1-Normal12"/>
              <w:spacing w:after="0" w:line="240" w:lineRule="auto"/>
              <w:rPr>
                <w:rFonts w:eastAsia="Times New Roman"/>
                <w:noProof/>
              </w:rPr>
            </w:pPr>
            <w:r>
              <w:rPr>
                <w:noProof/>
              </w:rPr>
              <w:t>T1</w:t>
            </w:r>
          </w:p>
        </w:tc>
        <w:tc>
          <w:tcPr>
            <w:tcW w:w="709" w:type="dxa"/>
            <w:shd w:val="clear" w:color="auto" w:fill="C6EFCE"/>
            <w:noWrap/>
          </w:tcPr>
          <w:p w14:paraId="43EB23DA" w14:textId="77777777" w:rsidR="00A00259" w:rsidRDefault="00371282">
            <w:pPr>
              <w:pStyle w:val="P68B1DB1-Normal12"/>
              <w:spacing w:after="0" w:line="240" w:lineRule="auto"/>
              <w:rPr>
                <w:rFonts w:eastAsia="Times New Roman"/>
                <w:noProof/>
              </w:rPr>
            </w:pPr>
            <w:r>
              <w:rPr>
                <w:noProof/>
              </w:rPr>
              <w:t>2024</w:t>
            </w:r>
          </w:p>
        </w:tc>
        <w:tc>
          <w:tcPr>
            <w:tcW w:w="2913" w:type="dxa"/>
            <w:shd w:val="clear" w:color="auto" w:fill="C6EFCE"/>
            <w:noWrap/>
          </w:tcPr>
          <w:p w14:paraId="2ECB34FE" w14:textId="77777777" w:rsidR="00A00259" w:rsidRDefault="00371282">
            <w:pPr>
              <w:pStyle w:val="P68B1DB1-Normal12"/>
              <w:spacing w:after="0" w:line="240" w:lineRule="auto"/>
              <w:rPr>
                <w:rFonts w:eastAsia="Times New Roman"/>
                <w:noProof/>
              </w:rPr>
            </w:pPr>
            <w:r>
              <w:rPr>
                <w:noProof/>
              </w:rPr>
              <w:t>1) Approbation des Plans Urbains Spéciaux par le Conseil Central des Questions et Litiges d'Urbanisme. Les plans urbains spéciaux définissent les utilisations autorisées des terres, les conditions générales de construction et les restrictions ainsi que toute autre mesure, terme ou restriction requis.</w:t>
            </w:r>
          </w:p>
          <w:p w14:paraId="44BCC319" w14:textId="77777777" w:rsidR="00A00259" w:rsidRDefault="00371282">
            <w:pPr>
              <w:pStyle w:val="P68B1DB1-Normal12"/>
              <w:spacing w:after="0" w:line="240" w:lineRule="auto"/>
              <w:rPr>
                <w:rFonts w:eastAsia="Times New Roman"/>
                <w:noProof/>
              </w:rPr>
            </w:pPr>
            <w:r>
              <w:rPr>
                <w:noProof/>
              </w:rPr>
              <w:t xml:space="preserve">2) Appel de PPC SA (conformément à l’article 6.5.3 de l’accord-cadre – ratifié par la loi 4956/2022) aux parties contractantes, pour l’acceptation de 5 438 ha de terres restaurées ou non perturbées, suivi de la certification par le certificateur indépendant. </w:t>
            </w:r>
          </w:p>
        </w:tc>
      </w:tr>
      <w:tr w:rsidR="00A00259" w14:paraId="1FF5A84B" w14:textId="77777777" w:rsidTr="00CE3F9A">
        <w:trPr>
          <w:jc w:val="center"/>
        </w:trPr>
        <w:tc>
          <w:tcPr>
            <w:tcW w:w="804" w:type="dxa"/>
            <w:shd w:val="clear" w:color="auto" w:fill="C6EFCE"/>
            <w:noWrap/>
          </w:tcPr>
          <w:p w14:paraId="3871FCB7" w14:textId="77777777" w:rsidR="00A00259" w:rsidRDefault="00371282">
            <w:pPr>
              <w:pStyle w:val="P68B1DB1-Normal12"/>
              <w:spacing w:after="0" w:line="240" w:lineRule="auto"/>
              <w:rPr>
                <w:rFonts w:eastAsia="Times New Roman"/>
                <w:noProof/>
              </w:rPr>
            </w:pPr>
            <w:r>
              <w:rPr>
                <w:noProof/>
              </w:rPr>
              <w:t>11</w:t>
            </w:r>
          </w:p>
        </w:tc>
        <w:tc>
          <w:tcPr>
            <w:tcW w:w="2032" w:type="dxa"/>
            <w:shd w:val="clear" w:color="auto" w:fill="C6EFCE"/>
            <w:noWrap/>
          </w:tcPr>
          <w:p w14:paraId="07F8DC5D" w14:textId="77777777" w:rsidR="00A00259" w:rsidRDefault="00371282">
            <w:pPr>
              <w:pStyle w:val="P68B1DB1-Normal12"/>
              <w:spacing w:after="0" w:line="240" w:lineRule="auto"/>
              <w:rPr>
                <w:rFonts w:eastAsia="Times New Roman"/>
                <w:noProof/>
              </w:rPr>
            </w:pPr>
            <w:r>
              <w:rPr>
                <w:noProof/>
              </w:rPr>
              <w:t>1 - 1.1. 16926_Soutien à l'installation de systèmes de stockage pour améliorer la pénétration des SER</w:t>
            </w:r>
          </w:p>
        </w:tc>
        <w:tc>
          <w:tcPr>
            <w:tcW w:w="1077" w:type="dxa"/>
            <w:shd w:val="clear" w:color="auto" w:fill="C6EFCE"/>
            <w:noWrap/>
          </w:tcPr>
          <w:p w14:paraId="712A9421" w14:textId="77777777" w:rsidR="00A00259" w:rsidRDefault="00371282">
            <w:pPr>
              <w:pStyle w:val="P68B1DB1-Normal12"/>
              <w:spacing w:after="0" w:line="240" w:lineRule="auto"/>
              <w:rPr>
                <w:rFonts w:eastAsia="Times New Roman"/>
                <w:noProof/>
              </w:rPr>
            </w:pPr>
            <w:r>
              <w:rPr>
                <w:noProof/>
              </w:rPr>
              <w:t>Étape</w:t>
            </w:r>
          </w:p>
        </w:tc>
        <w:tc>
          <w:tcPr>
            <w:tcW w:w="1324" w:type="dxa"/>
            <w:shd w:val="clear" w:color="auto" w:fill="C6EFCE"/>
            <w:noWrap/>
          </w:tcPr>
          <w:p w14:paraId="0981A69C" w14:textId="77777777" w:rsidR="00A00259" w:rsidRDefault="00371282">
            <w:pPr>
              <w:pStyle w:val="P68B1DB1-Normal12"/>
              <w:spacing w:after="0" w:line="240" w:lineRule="auto"/>
              <w:rPr>
                <w:rFonts w:eastAsia="Times New Roman"/>
                <w:noProof/>
              </w:rPr>
            </w:pPr>
            <w:r>
              <w:rPr>
                <w:noProof/>
              </w:rPr>
              <w:t>Stockage — contrats</w:t>
            </w:r>
          </w:p>
        </w:tc>
        <w:tc>
          <w:tcPr>
            <w:tcW w:w="1527" w:type="dxa"/>
            <w:shd w:val="clear" w:color="auto" w:fill="C6EFCE"/>
            <w:noWrap/>
          </w:tcPr>
          <w:p w14:paraId="4DE16272" w14:textId="77777777" w:rsidR="00A00259" w:rsidRDefault="00371282">
            <w:pPr>
              <w:pStyle w:val="P68B1DB1-Normal12"/>
              <w:spacing w:after="0" w:line="240" w:lineRule="auto"/>
              <w:rPr>
                <w:rFonts w:eastAsia="Times New Roman"/>
                <w:noProof/>
              </w:rPr>
            </w:pPr>
            <w:r>
              <w:rPr>
                <w:noProof/>
              </w:rPr>
              <w:t>Notification de l'attribution de tous les marchés</w:t>
            </w:r>
          </w:p>
        </w:tc>
        <w:tc>
          <w:tcPr>
            <w:tcW w:w="1316" w:type="dxa"/>
            <w:shd w:val="clear" w:color="auto" w:fill="C6EFCE"/>
            <w:noWrap/>
          </w:tcPr>
          <w:p w14:paraId="5A8A9CF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00" w:type="dxa"/>
            <w:shd w:val="clear" w:color="auto" w:fill="C6EFCE"/>
            <w:noWrap/>
          </w:tcPr>
          <w:p w14:paraId="12B4524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2AC5172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66161732" w14:textId="77777777" w:rsidR="00A00259" w:rsidRDefault="00371282">
            <w:pPr>
              <w:pStyle w:val="P68B1DB1-Normal12"/>
              <w:spacing w:after="0" w:line="240" w:lineRule="auto"/>
              <w:rPr>
                <w:rFonts w:eastAsia="Times New Roman"/>
                <w:noProof/>
              </w:rPr>
            </w:pPr>
            <w:r>
              <w:rPr>
                <w:noProof/>
              </w:rPr>
              <w:t>T2</w:t>
            </w:r>
          </w:p>
        </w:tc>
        <w:tc>
          <w:tcPr>
            <w:tcW w:w="709" w:type="dxa"/>
            <w:shd w:val="clear" w:color="auto" w:fill="C6EFCE"/>
            <w:noWrap/>
          </w:tcPr>
          <w:p w14:paraId="7884C5CF" w14:textId="77777777" w:rsidR="00A00259" w:rsidRDefault="00371282">
            <w:pPr>
              <w:pStyle w:val="P68B1DB1-Normal12"/>
              <w:spacing w:after="0" w:line="240" w:lineRule="auto"/>
              <w:rPr>
                <w:rFonts w:eastAsia="Times New Roman"/>
                <w:noProof/>
              </w:rPr>
            </w:pPr>
            <w:r>
              <w:rPr>
                <w:noProof/>
              </w:rPr>
              <w:t>2023</w:t>
            </w:r>
          </w:p>
        </w:tc>
        <w:tc>
          <w:tcPr>
            <w:tcW w:w="2913" w:type="dxa"/>
            <w:shd w:val="clear" w:color="auto" w:fill="C6EFCE"/>
            <w:noWrap/>
          </w:tcPr>
          <w:p w14:paraId="18A57E94" w14:textId="77777777" w:rsidR="00A00259" w:rsidRDefault="00371282">
            <w:pPr>
              <w:pStyle w:val="P68B1DB1-Normal12"/>
              <w:spacing w:after="0" w:line="240" w:lineRule="auto"/>
              <w:rPr>
                <w:rFonts w:eastAsia="Times New Roman"/>
                <w:noProof/>
              </w:rPr>
            </w:pPr>
            <w:r>
              <w:rPr>
                <w:noProof/>
              </w:rPr>
              <w:t>Notification de l’attribution de tous les contrats pour les projets sélectionnés (c’est-à-dire en plus du stockage hydroélectrique par pompage Amfilochia de longue durée sélectionné au moyen d’un processus individuel), pour une capacité totale maximale de 700 MW (et une capacité minimale de 500 MW).</w:t>
            </w:r>
          </w:p>
        </w:tc>
      </w:tr>
      <w:tr w:rsidR="00A00259" w14:paraId="79B52FE8" w14:textId="77777777" w:rsidTr="00CE3F9A">
        <w:trPr>
          <w:jc w:val="center"/>
        </w:trPr>
        <w:tc>
          <w:tcPr>
            <w:tcW w:w="804" w:type="dxa"/>
            <w:shd w:val="clear" w:color="auto" w:fill="C6EFCE"/>
            <w:noWrap/>
          </w:tcPr>
          <w:p w14:paraId="2E460563" w14:textId="77777777" w:rsidR="00A00259" w:rsidRDefault="00371282">
            <w:pPr>
              <w:pStyle w:val="P68B1DB1-Normal12"/>
              <w:spacing w:after="0" w:line="240" w:lineRule="auto"/>
              <w:rPr>
                <w:rFonts w:eastAsia="Times New Roman"/>
                <w:noProof/>
              </w:rPr>
            </w:pPr>
            <w:r>
              <w:rPr>
                <w:noProof/>
              </w:rPr>
              <w:t>12</w:t>
            </w:r>
          </w:p>
        </w:tc>
        <w:tc>
          <w:tcPr>
            <w:tcW w:w="2032" w:type="dxa"/>
            <w:shd w:val="clear" w:color="auto" w:fill="C6EFCE"/>
            <w:noWrap/>
          </w:tcPr>
          <w:p w14:paraId="4F496D06" w14:textId="77777777" w:rsidR="00A00259" w:rsidRDefault="00371282">
            <w:pPr>
              <w:pStyle w:val="P68B1DB1-Normal12"/>
              <w:spacing w:after="0" w:line="240" w:lineRule="auto"/>
              <w:rPr>
                <w:rFonts w:eastAsia="Times New Roman"/>
                <w:noProof/>
              </w:rPr>
            </w:pPr>
            <w:r>
              <w:rPr>
                <w:noProof/>
              </w:rPr>
              <w:t>1 - 1.1. 16901 Mises à niveau du réseau _HEDNO visant à améliorer la résilience et à protéger l'environnement</w:t>
            </w:r>
          </w:p>
        </w:tc>
        <w:tc>
          <w:tcPr>
            <w:tcW w:w="1077" w:type="dxa"/>
            <w:shd w:val="clear" w:color="auto" w:fill="C6EFCE"/>
            <w:noWrap/>
          </w:tcPr>
          <w:p w14:paraId="4EE852A6" w14:textId="77777777" w:rsidR="00A00259" w:rsidRDefault="00371282">
            <w:pPr>
              <w:pStyle w:val="P68B1DB1-Normal12"/>
              <w:spacing w:after="0" w:line="240" w:lineRule="auto"/>
              <w:rPr>
                <w:rFonts w:eastAsia="Times New Roman"/>
                <w:noProof/>
              </w:rPr>
            </w:pPr>
            <w:r>
              <w:rPr>
                <w:noProof/>
              </w:rPr>
              <w:t>Étape</w:t>
            </w:r>
          </w:p>
        </w:tc>
        <w:tc>
          <w:tcPr>
            <w:tcW w:w="1324" w:type="dxa"/>
            <w:shd w:val="clear" w:color="auto" w:fill="C6EFCE"/>
            <w:noWrap/>
          </w:tcPr>
          <w:p w14:paraId="41B7917B" w14:textId="77777777" w:rsidR="00A00259" w:rsidRDefault="00371282">
            <w:pPr>
              <w:pStyle w:val="P68B1DB1-Normal12"/>
              <w:spacing w:after="0" w:line="240" w:lineRule="auto"/>
              <w:rPr>
                <w:rFonts w:eastAsia="Times New Roman"/>
                <w:noProof/>
              </w:rPr>
            </w:pPr>
            <w:r>
              <w:rPr>
                <w:noProof/>
              </w:rPr>
              <w:t>HEDNO — contrats 1</w:t>
            </w:r>
          </w:p>
        </w:tc>
        <w:tc>
          <w:tcPr>
            <w:tcW w:w="1527" w:type="dxa"/>
            <w:shd w:val="clear" w:color="auto" w:fill="C6EFCE"/>
            <w:noWrap/>
          </w:tcPr>
          <w:p w14:paraId="3A54FA18" w14:textId="77777777" w:rsidR="00A00259" w:rsidRDefault="00371282">
            <w:pPr>
              <w:pStyle w:val="P68B1DB1-Normal12"/>
              <w:spacing w:after="0" w:line="240" w:lineRule="auto"/>
              <w:rPr>
                <w:rFonts w:eastAsia="Times New Roman"/>
                <w:noProof/>
              </w:rPr>
            </w:pPr>
            <w:r>
              <w:rPr>
                <w:noProof/>
              </w:rPr>
              <w:t>Notification de l'attribution de tous les marchés</w:t>
            </w:r>
          </w:p>
        </w:tc>
        <w:tc>
          <w:tcPr>
            <w:tcW w:w="1316" w:type="dxa"/>
            <w:shd w:val="clear" w:color="auto" w:fill="C6EFCE"/>
            <w:noWrap/>
          </w:tcPr>
          <w:p w14:paraId="690B3F7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00" w:type="dxa"/>
            <w:shd w:val="clear" w:color="auto" w:fill="C6EFCE"/>
            <w:noWrap/>
          </w:tcPr>
          <w:p w14:paraId="6F8E7C6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4847D39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068CFCAF"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69C67B38" w14:textId="77777777" w:rsidR="00A00259" w:rsidRDefault="00371282">
            <w:pPr>
              <w:pStyle w:val="P68B1DB1-Normal12"/>
              <w:spacing w:after="0" w:line="240" w:lineRule="auto"/>
              <w:rPr>
                <w:rFonts w:eastAsia="Times New Roman"/>
                <w:noProof/>
              </w:rPr>
            </w:pPr>
            <w:r>
              <w:rPr>
                <w:noProof/>
              </w:rPr>
              <w:t>2023</w:t>
            </w:r>
          </w:p>
        </w:tc>
        <w:tc>
          <w:tcPr>
            <w:tcW w:w="2913" w:type="dxa"/>
            <w:shd w:val="clear" w:color="auto" w:fill="C6EFCE"/>
            <w:noWrap/>
          </w:tcPr>
          <w:p w14:paraId="7E7215A4" w14:textId="2379533C" w:rsidR="00A00259" w:rsidRDefault="00371282">
            <w:pPr>
              <w:pStyle w:val="P68B1DB1-Normal12"/>
              <w:spacing w:after="0" w:line="240" w:lineRule="auto"/>
              <w:rPr>
                <w:rFonts w:eastAsia="Times New Roman"/>
                <w:noProof/>
              </w:rPr>
            </w:pPr>
            <w:r>
              <w:rPr>
                <w:noProof/>
              </w:rPr>
              <w:t>Notification de l’attribution de tous les contrats liés aux projets de mise à niveau pour la résilience et l’environnement du gestionnaire de réseau grec de distribution d’électricité (HEDNO), qui visent à faciliter la pénétration des énergies renouvelables et à améliorer la fiabilité et la résilience du réseau, tout en protégeant l’environnement.</w:t>
            </w:r>
          </w:p>
        </w:tc>
      </w:tr>
      <w:tr w:rsidR="00A00259" w14:paraId="5B0C090F" w14:textId="77777777" w:rsidTr="00CE3F9A">
        <w:trPr>
          <w:jc w:val="center"/>
        </w:trPr>
        <w:tc>
          <w:tcPr>
            <w:tcW w:w="804" w:type="dxa"/>
            <w:shd w:val="clear" w:color="auto" w:fill="C6EFCE"/>
            <w:noWrap/>
          </w:tcPr>
          <w:p w14:paraId="36FBD6E3" w14:textId="77777777" w:rsidR="00A00259" w:rsidRDefault="00371282">
            <w:pPr>
              <w:pStyle w:val="P68B1DB1-Normal12"/>
              <w:spacing w:after="0" w:line="240" w:lineRule="auto"/>
              <w:rPr>
                <w:rFonts w:eastAsia="Times New Roman"/>
                <w:noProof/>
              </w:rPr>
            </w:pPr>
            <w:r>
              <w:rPr>
                <w:noProof/>
              </w:rPr>
              <w:t>13</w:t>
            </w:r>
          </w:p>
        </w:tc>
        <w:tc>
          <w:tcPr>
            <w:tcW w:w="2032" w:type="dxa"/>
            <w:shd w:val="clear" w:color="auto" w:fill="C6EFCE"/>
            <w:noWrap/>
          </w:tcPr>
          <w:p w14:paraId="766F82D3" w14:textId="19D6D0EB" w:rsidR="00A00259" w:rsidRDefault="00371282">
            <w:pPr>
              <w:pStyle w:val="P68B1DB1-Normal12"/>
              <w:spacing w:after="0" w:line="240" w:lineRule="auto"/>
              <w:rPr>
                <w:rFonts w:eastAsia="Times New Roman"/>
                <w:noProof/>
              </w:rPr>
            </w:pPr>
            <w:r>
              <w:rPr>
                <w:noProof/>
              </w:rPr>
              <w:t>1 - 1.1. Mise à niveau du réseau 16900__HEDNO</w:t>
            </w:r>
          </w:p>
        </w:tc>
        <w:tc>
          <w:tcPr>
            <w:tcW w:w="1077" w:type="dxa"/>
            <w:shd w:val="clear" w:color="auto" w:fill="C6EFCE"/>
            <w:noWrap/>
          </w:tcPr>
          <w:p w14:paraId="2EFAD9FB" w14:textId="77777777" w:rsidR="00A00259" w:rsidRDefault="00371282">
            <w:pPr>
              <w:pStyle w:val="P68B1DB1-Normal12"/>
              <w:spacing w:after="0" w:line="240" w:lineRule="auto"/>
              <w:rPr>
                <w:rFonts w:eastAsia="Times New Roman"/>
                <w:noProof/>
              </w:rPr>
            </w:pPr>
            <w:r>
              <w:rPr>
                <w:noProof/>
              </w:rPr>
              <w:t>Étape</w:t>
            </w:r>
          </w:p>
        </w:tc>
        <w:tc>
          <w:tcPr>
            <w:tcW w:w="1324" w:type="dxa"/>
            <w:shd w:val="clear" w:color="auto" w:fill="C6EFCE"/>
            <w:noWrap/>
          </w:tcPr>
          <w:p w14:paraId="68893970" w14:textId="77777777" w:rsidR="00A00259" w:rsidRDefault="00371282">
            <w:pPr>
              <w:pStyle w:val="P68B1DB1-Normal12"/>
              <w:spacing w:after="0" w:line="240" w:lineRule="auto"/>
              <w:rPr>
                <w:rFonts w:eastAsia="Times New Roman"/>
                <w:noProof/>
              </w:rPr>
            </w:pPr>
            <w:r>
              <w:rPr>
                <w:noProof/>
              </w:rPr>
              <w:t>HEDNO — contrats 2</w:t>
            </w:r>
          </w:p>
        </w:tc>
        <w:tc>
          <w:tcPr>
            <w:tcW w:w="1527" w:type="dxa"/>
            <w:shd w:val="clear" w:color="auto" w:fill="C6EFCE"/>
            <w:noWrap/>
          </w:tcPr>
          <w:p w14:paraId="736D73EC" w14:textId="77777777" w:rsidR="00A00259" w:rsidRDefault="00371282">
            <w:pPr>
              <w:pStyle w:val="P68B1DB1-Normal12"/>
              <w:spacing w:after="0" w:line="240" w:lineRule="auto"/>
              <w:rPr>
                <w:rFonts w:eastAsia="Times New Roman"/>
                <w:noProof/>
              </w:rPr>
            </w:pPr>
            <w:r>
              <w:rPr>
                <w:noProof/>
              </w:rPr>
              <w:t>Notification de l'attribution de tous les marchés</w:t>
            </w:r>
          </w:p>
        </w:tc>
        <w:tc>
          <w:tcPr>
            <w:tcW w:w="1316" w:type="dxa"/>
            <w:shd w:val="clear" w:color="auto" w:fill="C6EFCE"/>
            <w:noWrap/>
          </w:tcPr>
          <w:p w14:paraId="490516B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00" w:type="dxa"/>
            <w:shd w:val="clear" w:color="auto" w:fill="C6EFCE"/>
            <w:noWrap/>
          </w:tcPr>
          <w:p w14:paraId="6344B58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5DF405F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759557A6"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7D507EBA" w14:textId="77777777" w:rsidR="00A00259" w:rsidRDefault="00371282">
            <w:pPr>
              <w:pStyle w:val="P68B1DB1-Normal12"/>
              <w:spacing w:after="0" w:line="240" w:lineRule="auto"/>
              <w:rPr>
                <w:rFonts w:eastAsia="Times New Roman"/>
                <w:noProof/>
              </w:rPr>
            </w:pPr>
            <w:r>
              <w:rPr>
                <w:noProof/>
              </w:rPr>
              <w:t>2023</w:t>
            </w:r>
          </w:p>
        </w:tc>
        <w:tc>
          <w:tcPr>
            <w:tcW w:w="2913" w:type="dxa"/>
            <w:shd w:val="clear" w:color="auto" w:fill="C6EFCE"/>
            <w:noWrap/>
          </w:tcPr>
          <w:p w14:paraId="141A967E" w14:textId="77777777" w:rsidR="00A00259" w:rsidRDefault="00371282">
            <w:pPr>
              <w:pStyle w:val="P68B1DB1-Normal12"/>
              <w:spacing w:after="0" w:line="240" w:lineRule="auto"/>
              <w:rPr>
                <w:rFonts w:eastAsia="Times New Roman"/>
                <w:noProof/>
              </w:rPr>
            </w:pPr>
            <w:r>
              <w:rPr>
                <w:noProof/>
              </w:rPr>
              <w:t>Notification de l’attribution de tous les contrats liés aux projets HEDNO sur les réseaux aériens dans les zones forestières, qui vise à faciliter la pénétration des énergies renouvelables et à améliorer la fiabilité et la résilience du réseau, tout en protégeant l’environnement.</w:t>
            </w:r>
          </w:p>
        </w:tc>
      </w:tr>
      <w:tr w:rsidR="00A00259" w14:paraId="58793484" w14:textId="77777777" w:rsidTr="00CE3F9A">
        <w:trPr>
          <w:jc w:val="center"/>
        </w:trPr>
        <w:tc>
          <w:tcPr>
            <w:tcW w:w="804" w:type="dxa"/>
            <w:shd w:val="clear" w:color="auto" w:fill="C6EFCE"/>
            <w:noWrap/>
          </w:tcPr>
          <w:p w14:paraId="77C46182" w14:textId="77777777" w:rsidR="00A00259" w:rsidRDefault="00371282">
            <w:pPr>
              <w:pStyle w:val="P68B1DB1-Normal12"/>
              <w:spacing w:after="0" w:line="240" w:lineRule="auto"/>
              <w:rPr>
                <w:rFonts w:eastAsia="Times New Roman"/>
                <w:noProof/>
              </w:rPr>
            </w:pPr>
            <w:r>
              <w:rPr>
                <w:noProof/>
              </w:rPr>
              <w:t>14</w:t>
            </w:r>
          </w:p>
        </w:tc>
        <w:tc>
          <w:tcPr>
            <w:tcW w:w="2032" w:type="dxa"/>
            <w:shd w:val="clear" w:color="auto" w:fill="C6EFCE"/>
            <w:noWrap/>
          </w:tcPr>
          <w:p w14:paraId="43DDA8FE" w14:textId="77777777" w:rsidR="00A00259" w:rsidRDefault="00371282">
            <w:pPr>
              <w:pStyle w:val="P68B1DB1-Normal12"/>
              <w:spacing w:after="0" w:line="240" w:lineRule="auto"/>
              <w:rPr>
                <w:rFonts w:eastAsia="Times New Roman"/>
                <w:noProof/>
              </w:rPr>
            </w:pPr>
            <w:r>
              <w:rPr>
                <w:noProof/>
              </w:rPr>
              <w:t>1 - 1.1. 16899_Augmentation de la capacité installée des sous-stations HV/MV du HEDNO (Hellenic Electricity Distribution Network Operator) pour la nouvelle connexion SER</w:t>
            </w:r>
          </w:p>
        </w:tc>
        <w:tc>
          <w:tcPr>
            <w:tcW w:w="1077" w:type="dxa"/>
            <w:shd w:val="clear" w:color="auto" w:fill="C6EFCE"/>
            <w:noWrap/>
          </w:tcPr>
          <w:p w14:paraId="29A9005A" w14:textId="77777777" w:rsidR="00A00259" w:rsidRDefault="00371282">
            <w:pPr>
              <w:pStyle w:val="P68B1DB1-Normal12"/>
              <w:spacing w:after="0" w:line="240" w:lineRule="auto"/>
              <w:rPr>
                <w:rFonts w:eastAsia="Times New Roman"/>
                <w:noProof/>
              </w:rPr>
            </w:pPr>
            <w:r>
              <w:rPr>
                <w:noProof/>
              </w:rPr>
              <w:t>Étape</w:t>
            </w:r>
          </w:p>
        </w:tc>
        <w:tc>
          <w:tcPr>
            <w:tcW w:w="1324" w:type="dxa"/>
            <w:shd w:val="clear" w:color="auto" w:fill="C6EFCE"/>
            <w:noWrap/>
          </w:tcPr>
          <w:p w14:paraId="537F3BA2" w14:textId="77777777" w:rsidR="00A00259" w:rsidRDefault="00371282">
            <w:pPr>
              <w:pStyle w:val="P68B1DB1-Normal12"/>
              <w:spacing w:after="0" w:line="240" w:lineRule="auto"/>
              <w:rPr>
                <w:rFonts w:eastAsia="Times New Roman"/>
                <w:noProof/>
              </w:rPr>
            </w:pPr>
            <w:r>
              <w:rPr>
                <w:noProof/>
              </w:rPr>
              <w:t>HEDNO — contrats 3</w:t>
            </w:r>
          </w:p>
        </w:tc>
        <w:tc>
          <w:tcPr>
            <w:tcW w:w="1527" w:type="dxa"/>
            <w:shd w:val="clear" w:color="auto" w:fill="C6EFCE"/>
            <w:noWrap/>
          </w:tcPr>
          <w:p w14:paraId="531FA5DE" w14:textId="77777777" w:rsidR="00A00259" w:rsidRDefault="00371282">
            <w:pPr>
              <w:pStyle w:val="P68B1DB1-Normal12"/>
              <w:spacing w:after="0" w:line="240" w:lineRule="auto"/>
              <w:rPr>
                <w:rFonts w:eastAsia="Times New Roman"/>
                <w:noProof/>
              </w:rPr>
            </w:pPr>
            <w:r>
              <w:rPr>
                <w:noProof/>
              </w:rPr>
              <w:t>Notification de l'attribution de tous les marchés</w:t>
            </w:r>
          </w:p>
        </w:tc>
        <w:tc>
          <w:tcPr>
            <w:tcW w:w="1316" w:type="dxa"/>
            <w:shd w:val="clear" w:color="auto" w:fill="C6EFCE"/>
            <w:noWrap/>
          </w:tcPr>
          <w:p w14:paraId="002B24B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00" w:type="dxa"/>
            <w:shd w:val="clear" w:color="auto" w:fill="C6EFCE"/>
            <w:noWrap/>
          </w:tcPr>
          <w:p w14:paraId="122B7B7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292D0E1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081E8CB"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52CC8365" w14:textId="77777777" w:rsidR="00A00259" w:rsidRDefault="00371282">
            <w:pPr>
              <w:pStyle w:val="P68B1DB1-Normal12"/>
              <w:spacing w:after="0" w:line="240" w:lineRule="auto"/>
              <w:rPr>
                <w:rFonts w:eastAsia="Times New Roman"/>
                <w:noProof/>
              </w:rPr>
            </w:pPr>
            <w:r>
              <w:rPr>
                <w:noProof/>
              </w:rPr>
              <w:t>2023</w:t>
            </w:r>
          </w:p>
        </w:tc>
        <w:tc>
          <w:tcPr>
            <w:tcW w:w="2913" w:type="dxa"/>
            <w:shd w:val="clear" w:color="auto" w:fill="C6EFCE"/>
            <w:noWrap/>
          </w:tcPr>
          <w:p w14:paraId="0AD996C2" w14:textId="77777777" w:rsidR="00A00259" w:rsidRDefault="00371282">
            <w:pPr>
              <w:pStyle w:val="P68B1DB1-Normal12"/>
              <w:spacing w:after="0" w:line="240" w:lineRule="auto"/>
              <w:rPr>
                <w:rFonts w:eastAsia="Times New Roman"/>
                <w:noProof/>
              </w:rPr>
            </w:pPr>
            <w:r>
              <w:rPr>
                <w:noProof/>
              </w:rPr>
              <w:t>Notification de l’attribution de tous les contrats liés aux projets HEDNO sur l’augmentation de la capacité des sous-stations haute tension/moyenne tension, qui vise à faciliter la pénétration des énergies renouvelables et à améliorer la fiabilité et la résilience du réseau, tout en protégeant l’environnement.</w:t>
            </w:r>
          </w:p>
        </w:tc>
      </w:tr>
      <w:tr w:rsidR="00A00259" w14:paraId="6639D3CD" w14:textId="77777777" w:rsidTr="00CE3F9A">
        <w:trPr>
          <w:jc w:val="center"/>
        </w:trPr>
        <w:tc>
          <w:tcPr>
            <w:tcW w:w="804" w:type="dxa"/>
            <w:shd w:val="clear" w:color="auto" w:fill="C6EFCE"/>
            <w:noWrap/>
          </w:tcPr>
          <w:p w14:paraId="3CE093F4" w14:textId="77777777" w:rsidR="00A00259" w:rsidRDefault="00371282">
            <w:pPr>
              <w:pStyle w:val="P68B1DB1-Normal12"/>
              <w:spacing w:after="0" w:line="240" w:lineRule="auto"/>
              <w:rPr>
                <w:rFonts w:eastAsia="Times New Roman"/>
                <w:noProof/>
              </w:rPr>
            </w:pPr>
            <w:r>
              <w:rPr>
                <w:noProof/>
              </w:rPr>
              <w:t>15</w:t>
            </w:r>
          </w:p>
        </w:tc>
        <w:tc>
          <w:tcPr>
            <w:tcW w:w="2032" w:type="dxa"/>
            <w:shd w:val="clear" w:color="auto" w:fill="C6EFCE"/>
            <w:noWrap/>
          </w:tcPr>
          <w:p w14:paraId="0E98D5FB" w14:textId="77777777" w:rsidR="00A00259" w:rsidRDefault="00371282">
            <w:pPr>
              <w:pStyle w:val="P68B1DB1-Normal12"/>
              <w:spacing w:after="0" w:line="240" w:lineRule="auto"/>
              <w:rPr>
                <w:rFonts w:eastAsia="Times New Roman"/>
                <w:noProof/>
              </w:rPr>
            </w:pPr>
            <w:r>
              <w:rPr>
                <w:noProof/>
              </w:rPr>
              <w:t>1 - 1.1. 16871_Actions de revitalisation des territoires les plus touchés (Territoires de transition juste)</w:t>
            </w:r>
          </w:p>
        </w:tc>
        <w:tc>
          <w:tcPr>
            <w:tcW w:w="1077" w:type="dxa"/>
            <w:shd w:val="clear" w:color="auto" w:fill="C6EFCE"/>
            <w:noWrap/>
          </w:tcPr>
          <w:p w14:paraId="1855A599" w14:textId="77777777" w:rsidR="00A00259" w:rsidRDefault="00371282">
            <w:pPr>
              <w:pStyle w:val="P68B1DB1-Normal12"/>
              <w:spacing w:after="0" w:line="240" w:lineRule="auto"/>
              <w:rPr>
                <w:rFonts w:eastAsia="Times New Roman"/>
                <w:noProof/>
              </w:rPr>
            </w:pPr>
            <w:r>
              <w:rPr>
                <w:noProof/>
              </w:rPr>
              <w:t>Objectif</w:t>
            </w:r>
          </w:p>
        </w:tc>
        <w:tc>
          <w:tcPr>
            <w:tcW w:w="1324" w:type="dxa"/>
            <w:shd w:val="clear" w:color="auto" w:fill="C6EFCE"/>
            <w:noWrap/>
          </w:tcPr>
          <w:p w14:paraId="28BEA6E4" w14:textId="77777777" w:rsidR="00A00259" w:rsidRDefault="00371282">
            <w:pPr>
              <w:pStyle w:val="P68B1DB1-Normal12"/>
              <w:spacing w:after="0" w:line="240" w:lineRule="auto"/>
              <w:rPr>
                <w:rFonts w:eastAsia="Times New Roman"/>
                <w:noProof/>
              </w:rPr>
            </w:pPr>
            <w:r>
              <w:rPr>
                <w:noProof/>
              </w:rPr>
              <w:t xml:space="preserve">Réhabilitation des terres </w:t>
            </w:r>
          </w:p>
        </w:tc>
        <w:tc>
          <w:tcPr>
            <w:tcW w:w="1527" w:type="dxa"/>
            <w:shd w:val="clear" w:color="auto" w:fill="C6EFCE"/>
            <w:noWrap/>
          </w:tcPr>
          <w:p w14:paraId="3515372B" w14:textId="77777777" w:rsidR="00A00259" w:rsidRDefault="00A00259">
            <w:pPr>
              <w:spacing w:before="120" w:after="0" w:line="240" w:lineRule="auto"/>
              <w:jc w:val="both"/>
              <w:rPr>
                <w:rFonts w:ascii="Times New Roman" w:eastAsia="Times New Roman" w:hAnsi="Times New Roman" w:cs="Times New Roman"/>
                <w:noProof/>
                <w:color w:val="006100"/>
                <w:sz w:val="18"/>
                <w:szCs w:val="18"/>
              </w:rPr>
            </w:pPr>
          </w:p>
        </w:tc>
        <w:tc>
          <w:tcPr>
            <w:tcW w:w="1316" w:type="dxa"/>
            <w:shd w:val="clear" w:color="auto" w:fill="C6EFCE"/>
            <w:noWrap/>
          </w:tcPr>
          <w:p w14:paraId="09F24B42" w14:textId="77777777" w:rsidR="00A00259" w:rsidRDefault="00371282">
            <w:pPr>
              <w:pStyle w:val="P68B1DB1-Normal12"/>
              <w:spacing w:after="0" w:line="240" w:lineRule="auto"/>
              <w:rPr>
                <w:rFonts w:eastAsia="Times New Roman"/>
                <w:noProof/>
              </w:rPr>
            </w:pPr>
            <w:r>
              <w:rPr>
                <w:noProof/>
              </w:rPr>
              <w:t xml:space="preserve">Nombre d'hectares </w:t>
            </w:r>
          </w:p>
        </w:tc>
        <w:tc>
          <w:tcPr>
            <w:tcW w:w="1100" w:type="dxa"/>
            <w:shd w:val="clear" w:color="auto" w:fill="C6EFCE"/>
            <w:noWrap/>
          </w:tcPr>
          <w:p w14:paraId="2F3DE643" w14:textId="77777777" w:rsidR="00A00259" w:rsidRDefault="00371282">
            <w:pPr>
              <w:pStyle w:val="P68B1DB1-Normal12"/>
              <w:spacing w:after="0" w:line="240" w:lineRule="auto"/>
              <w:rPr>
                <w:rFonts w:eastAsia="Times New Roman"/>
                <w:noProof/>
              </w:rPr>
            </w:pPr>
            <w:r>
              <w:rPr>
                <w:noProof/>
              </w:rPr>
              <w:t>0</w:t>
            </w:r>
          </w:p>
        </w:tc>
        <w:tc>
          <w:tcPr>
            <w:tcW w:w="993" w:type="dxa"/>
            <w:shd w:val="clear" w:color="auto" w:fill="C6EFCE"/>
            <w:noWrap/>
          </w:tcPr>
          <w:p w14:paraId="74B77686" w14:textId="77777777" w:rsidR="00A00259" w:rsidRDefault="00371282">
            <w:pPr>
              <w:pStyle w:val="P68B1DB1-Normal12"/>
              <w:spacing w:after="0" w:line="240" w:lineRule="auto"/>
              <w:rPr>
                <w:rFonts w:eastAsia="Times New Roman"/>
                <w:noProof/>
              </w:rPr>
            </w:pPr>
            <w:r>
              <w:rPr>
                <w:noProof/>
              </w:rPr>
              <w:t>8 102</w:t>
            </w:r>
          </w:p>
        </w:tc>
        <w:tc>
          <w:tcPr>
            <w:tcW w:w="992" w:type="dxa"/>
            <w:shd w:val="clear" w:color="auto" w:fill="C6EFCE"/>
            <w:noWrap/>
          </w:tcPr>
          <w:p w14:paraId="3D4AD8E2"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7B6F26A5" w14:textId="77777777" w:rsidR="00A00259" w:rsidRDefault="00371282">
            <w:pPr>
              <w:pStyle w:val="P68B1DB1-Normal12"/>
              <w:spacing w:after="0" w:line="240" w:lineRule="auto"/>
              <w:rPr>
                <w:rFonts w:eastAsia="Times New Roman"/>
                <w:noProof/>
              </w:rPr>
            </w:pPr>
            <w:r>
              <w:rPr>
                <w:noProof/>
              </w:rPr>
              <w:t>2025</w:t>
            </w:r>
          </w:p>
        </w:tc>
        <w:tc>
          <w:tcPr>
            <w:tcW w:w="2913" w:type="dxa"/>
            <w:shd w:val="clear" w:color="auto" w:fill="C6EFCE"/>
            <w:noWrap/>
          </w:tcPr>
          <w:p w14:paraId="722A9242" w14:textId="77777777" w:rsidR="00A00259" w:rsidRDefault="00371282">
            <w:pPr>
              <w:pStyle w:val="P68B1DB1-Normal12"/>
              <w:spacing w:after="0" w:line="240" w:lineRule="auto"/>
              <w:rPr>
                <w:rFonts w:eastAsia="Times New Roman"/>
                <w:noProof/>
              </w:rPr>
            </w:pPr>
            <w:r>
              <w:rPr>
                <w:noProof/>
              </w:rPr>
              <w:t>Appel de Public Power Corporation (PPC SA) aux parties contractantes pour l'acceptation d'un total de 8 102 ha de terres restaurées ou non perturbées. Les travaux de réhabilitation peuvent comprendre, sans s'y limiter, des travaux de terrassement, de plantation, de démantèlement ou de démolition d'infrastructures.</w:t>
            </w:r>
          </w:p>
        </w:tc>
      </w:tr>
      <w:tr w:rsidR="00A00259" w14:paraId="6C9A4A65" w14:textId="77777777" w:rsidTr="00CE3F9A">
        <w:trPr>
          <w:jc w:val="center"/>
        </w:trPr>
        <w:tc>
          <w:tcPr>
            <w:tcW w:w="804" w:type="dxa"/>
            <w:shd w:val="clear" w:color="auto" w:fill="C6EFCE"/>
            <w:noWrap/>
          </w:tcPr>
          <w:p w14:paraId="537F59FB" w14:textId="77777777" w:rsidR="00A00259" w:rsidRDefault="00371282">
            <w:pPr>
              <w:pStyle w:val="P68B1DB1-Normal12"/>
              <w:spacing w:after="0" w:line="240" w:lineRule="auto"/>
              <w:rPr>
                <w:rFonts w:eastAsia="Times New Roman"/>
                <w:noProof/>
              </w:rPr>
            </w:pPr>
            <w:r>
              <w:rPr>
                <w:noProof/>
              </w:rPr>
              <w:t>16</w:t>
            </w:r>
          </w:p>
        </w:tc>
        <w:tc>
          <w:tcPr>
            <w:tcW w:w="2032" w:type="dxa"/>
            <w:shd w:val="clear" w:color="auto" w:fill="C6EFCE"/>
            <w:noWrap/>
          </w:tcPr>
          <w:p w14:paraId="57ABCB59" w14:textId="77777777" w:rsidR="00A00259" w:rsidRDefault="00371282">
            <w:pPr>
              <w:pStyle w:val="P68B1DB1-Normal12"/>
              <w:spacing w:after="0" w:line="240" w:lineRule="auto"/>
              <w:rPr>
                <w:rFonts w:eastAsia="Times New Roman"/>
                <w:noProof/>
              </w:rPr>
            </w:pPr>
            <w:r>
              <w:rPr>
                <w:noProof/>
              </w:rPr>
              <w:t>1 - 1.1. 16926_Soutien à l'installation de systèmes de stockage pour améliorer la pénétration des SER</w:t>
            </w:r>
          </w:p>
        </w:tc>
        <w:tc>
          <w:tcPr>
            <w:tcW w:w="1077" w:type="dxa"/>
            <w:shd w:val="clear" w:color="auto" w:fill="C6EFCE"/>
            <w:noWrap/>
          </w:tcPr>
          <w:p w14:paraId="74A4F503" w14:textId="77777777" w:rsidR="00A00259" w:rsidRDefault="00371282">
            <w:pPr>
              <w:pStyle w:val="P68B1DB1-Normal12"/>
              <w:spacing w:after="0" w:line="240" w:lineRule="auto"/>
              <w:rPr>
                <w:rFonts w:eastAsia="Times New Roman"/>
                <w:noProof/>
              </w:rPr>
            </w:pPr>
            <w:r>
              <w:rPr>
                <w:noProof/>
              </w:rPr>
              <w:t>Étape</w:t>
            </w:r>
          </w:p>
        </w:tc>
        <w:tc>
          <w:tcPr>
            <w:tcW w:w="1324" w:type="dxa"/>
            <w:shd w:val="clear" w:color="auto" w:fill="C6EFCE"/>
            <w:noWrap/>
          </w:tcPr>
          <w:p w14:paraId="77587291" w14:textId="0631CB4D" w:rsidR="00A00259" w:rsidRDefault="00371282">
            <w:pPr>
              <w:pStyle w:val="P68B1DB1-Normal12"/>
              <w:spacing w:after="0" w:line="240" w:lineRule="auto"/>
              <w:rPr>
                <w:rFonts w:eastAsia="Times New Roman"/>
                <w:noProof/>
              </w:rPr>
            </w:pPr>
            <w:r>
              <w:rPr>
                <w:noProof/>
              </w:rPr>
              <w:t>Stockage de l’énergie — stockage par batterie installé et travaux de génie civil de la station de stockage hydroélectrique pompée d’Amfilochia</w:t>
            </w:r>
          </w:p>
        </w:tc>
        <w:tc>
          <w:tcPr>
            <w:tcW w:w="1527" w:type="dxa"/>
            <w:shd w:val="clear" w:color="auto" w:fill="C6EFCE"/>
            <w:noWrap/>
          </w:tcPr>
          <w:p w14:paraId="173015E5" w14:textId="51DA1E0E" w:rsidR="00A00259" w:rsidRDefault="00371282">
            <w:pPr>
              <w:pStyle w:val="P68B1DB1-Normal12"/>
              <w:spacing w:after="0" w:line="240" w:lineRule="auto"/>
              <w:rPr>
                <w:rFonts w:eastAsia="Times New Roman"/>
                <w:noProof/>
              </w:rPr>
            </w:pPr>
            <w:r>
              <w:rPr>
                <w:noProof/>
              </w:rPr>
              <w:t>Installation de projets de stockage d'énergie pour 700 MW et travaux de génie civil pour huit sous-projets de la station de stockage hydroélectrique pompée d'Amfilochia exécutés.</w:t>
            </w:r>
          </w:p>
        </w:tc>
        <w:tc>
          <w:tcPr>
            <w:tcW w:w="1316" w:type="dxa"/>
            <w:shd w:val="clear" w:color="auto" w:fill="C6EFCE"/>
            <w:noWrap/>
          </w:tcPr>
          <w:p w14:paraId="2AC4B75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00" w:type="dxa"/>
            <w:shd w:val="clear" w:color="auto" w:fill="C6EFCE"/>
            <w:noWrap/>
          </w:tcPr>
          <w:p w14:paraId="57BAC44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33087D5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67BCFFCA"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58ADE763" w14:textId="77777777" w:rsidR="00A00259" w:rsidRDefault="00371282">
            <w:pPr>
              <w:pStyle w:val="P68B1DB1-Normal12"/>
              <w:spacing w:after="0" w:line="240" w:lineRule="auto"/>
              <w:rPr>
                <w:rFonts w:eastAsia="Times New Roman"/>
                <w:noProof/>
              </w:rPr>
            </w:pPr>
            <w:r>
              <w:rPr>
                <w:noProof/>
              </w:rPr>
              <w:t>2025</w:t>
            </w:r>
          </w:p>
        </w:tc>
        <w:tc>
          <w:tcPr>
            <w:tcW w:w="2913" w:type="dxa"/>
            <w:shd w:val="clear" w:color="auto" w:fill="C6EFCE"/>
            <w:noWrap/>
          </w:tcPr>
          <w:p w14:paraId="2292963C" w14:textId="56FD21BE" w:rsidR="00A00259" w:rsidRDefault="00371282">
            <w:pPr>
              <w:pStyle w:val="P68B1DB1-Normal16"/>
              <w:spacing w:after="0" w:line="240" w:lineRule="auto"/>
              <w:rPr>
                <w:rFonts w:eastAsia="Times New Roman"/>
                <w:noProof/>
                <w:color w:val="006100"/>
              </w:rPr>
            </w:pPr>
            <w:r>
              <w:rPr>
                <w:noProof/>
                <w:color w:val="006100"/>
              </w:rPr>
              <w:t>Installation de projets de stockage d'énergie pour 700 MW</w:t>
            </w:r>
            <w:r>
              <w:rPr>
                <w:noProof/>
              </w:rPr>
              <w:t xml:space="preserve"> </w:t>
            </w:r>
            <w:r>
              <w:rPr>
                <w:noProof/>
                <w:color w:val="006100"/>
              </w:rPr>
              <w:t xml:space="preserve">et travaux de génie civil pour huit sous-projets de la station de stockage hydroélectrique pompée d'Amfilochia exécutés. </w:t>
            </w:r>
          </w:p>
        </w:tc>
      </w:tr>
      <w:tr w:rsidR="00A00259" w14:paraId="79326025" w14:textId="77777777" w:rsidTr="00CE3F9A">
        <w:trPr>
          <w:jc w:val="center"/>
        </w:trPr>
        <w:tc>
          <w:tcPr>
            <w:tcW w:w="804" w:type="dxa"/>
            <w:shd w:val="clear" w:color="auto" w:fill="C6EFCE"/>
            <w:noWrap/>
          </w:tcPr>
          <w:p w14:paraId="7624F348" w14:textId="77777777" w:rsidR="00A00259" w:rsidRDefault="00371282">
            <w:pPr>
              <w:pStyle w:val="P68B1DB1-Normal12"/>
              <w:spacing w:after="0" w:line="240" w:lineRule="auto"/>
              <w:rPr>
                <w:rFonts w:eastAsia="Times New Roman"/>
                <w:noProof/>
              </w:rPr>
            </w:pPr>
            <w:r>
              <w:rPr>
                <w:noProof/>
              </w:rPr>
              <w:t>18</w:t>
            </w:r>
          </w:p>
        </w:tc>
        <w:tc>
          <w:tcPr>
            <w:tcW w:w="2032" w:type="dxa"/>
            <w:shd w:val="clear" w:color="auto" w:fill="C6EFCE"/>
            <w:noWrap/>
          </w:tcPr>
          <w:p w14:paraId="02961542" w14:textId="48044FCA" w:rsidR="00A00259" w:rsidRDefault="00371282">
            <w:pPr>
              <w:pStyle w:val="P68B1DB1-Normal12"/>
              <w:spacing w:after="0" w:line="240" w:lineRule="auto"/>
              <w:rPr>
                <w:rFonts w:eastAsia="Times New Roman"/>
                <w:noProof/>
              </w:rPr>
            </w:pPr>
            <w:r>
              <w:rPr>
                <w:noProof/>
              </w:rPr>
              <w:t>1 - 1.1. Mise à niveau du réseau 16900_HEDNO</w:t>
            </w:r>
          </w:p>
        </w:tc>
        <w:tc>
          <w:tcPr>
            <w:tcW w:w="1077" w:type="dxa"/>
            <w:shd w:val="clear" w:color="auto" w:fill="C6EFCE"/>
            <w:noWrap/>
          </w:tcPr>
          <w:p w14:paraId="52BA4171" w14:textId="77777777" w:rsidR="00A00259" w:rsidRDefault="00371282">
            <w:pPr>
              <w:pStyle w:val="P68B1DB1-Normal12"/>
              <w:spacing w:after="0" w:line="240" w:lineRule="auto"/>
              <w:rPr>
                <w:rFonts w:eastAsia="Times New Roman"/>
                <w:noProof/>
              </w:rPr>
            </w:pPr>
            <w:r>
              <w:rPr>
                <w:noProof/>
              </w:rPr>
              <w:t>Étape</w:t>
            </w:r>
          </w:p>
        </w:tc>
        <w:tc>
          <w:tcPr>
            <w:tcW w:w="1324" w:type="dxa"/>
            <w:shd w:val="clear" w:color="auto" w:fill="C6EFCE"/>
            <w:noWrap/>
          </w:tcPr>
          <w:p w14:paraId="4E6D7C4C" w14:textId="6875C316" w:rsidR="00A00259" w:rsidRDefault="00371282">
            <w:pPr>
              <w:pStyle w:val="P68B1DB1-Normal12"/>
              <w:spacing w:after="0" w:line="240" w:lineRule="auto"/>
              <w:rPr>
                <w:rFonts w:eastAsia="Times New Roman"/>
                <w:noProof/>
              </w:rPr>
            </w:pPr>
            <w:r>
              <w:rPr>
                <w:noProof/>
              </w:rPr>
              <w:t>Mises à niveau du réseau HEDNO</w:t>
            </w:r>
          </w:p>
        </w:tc>
        <w:tc>
          <w:tcPr>
            <w:tcW w:w="1527" w:type="dxa"/>
            <w:shd w:val="clear" w:color="auto" w:fill="C6EFCE"/>
            <w:noWrap/>
          </w:tcPr>
          <w:p w14:paraId="59463DD5" w14:textId="5F163527" w:rsidR="00A00259" w:rsidRDefault="00371282">
            <w:pPr>
              <w:pStyle w:val="P68B1DB1-Normal12"/>
              <w:spacing w:after="0" w:line="240" w:lineRule="auto"/>
              <w:rPr>
                <w:rFonts w:eastAsia="Times New Roman"/>
                <w:noProof/>
              </w:rPr>
            </w:pPr>
            <w:r>
              <w:rPr>
                <w:noProof/>
              </w:rPr>
              <w:t xml:space="preserve">Interventions dans le réseau de distribution </w:t>
            </w:r>
          </w:p>
        </w:tc>
        <w:tc>
          <w:tcPr>
            <w:tcW w:w="1316" w:type="dxa"/>
            <w:shd w:val="clear" w:color="auto" w:fill="C6EFCE"/>
            <w:noWrap/>
          </w:tcPr>
          <w:p w14:paraId="76BF067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00" w:type="dxa"/>
            <w:shd w:val="clear" w:color="auto" w:fill="C6EFCE"/>
            <w:noWrap/>
          </w:tcPr>
          <w:p w14:paraId="1969021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6C82F39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76C6E421"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472AB9E7" w14:textId="77777777" w:rsidR="00A00259" w:rsidRDefault="00371282">
            <w:pPr>
              <w:pStyle w:val="P68B1DB1-Normal12"/>
              <w:spacing w:after="0" w:line="240" w:lineRule="auto"/>
              <w:rPr>
                <w:rFonts w:eastAsia="Times New Roman"/>
                <w:noProof/>
              </w:rPr>
            </w:pPr>
            <w:r>
              <w:rPr>
                <w:noProof/>
              </w:rPr>
              <w:t>2025</w:t>
            </w:r>
          </w:p>
        </w:tc>
        <w:tc>
          <w:tcPr>
            <w:tcW w:w="2913" w:type="dxa"/>
            <w:shd w:val="clear" w:color="auto" w:fill="C6EFCE"/>
            <w:noWrap/>
          </w:tcPr>
          <w:p w14:paraId="4D2AACC2" w14:textId="03A153BD" w:rsidR="00A00259" w:rsidRDefault="00371282">
            <w:pPr>
              <w:pStyle w:val="P68B1DB1-Normal12"/>
              <w:spacing w:after="0" w:line="240" w:lineRule="auto"/>
              <w:rPr>
                <w:rFonts w:eastAsia="Times New Roman"/>
                <w:noProof/>
              </w:rPr>
            </w:pPr>
            <w:r>
              <w:rPr>
                <w:noProof/>
              </w:rPr>
              <w:t>Certificat d'achèvement pour les interventions de 3 370 km de réseau de distribution d'électricité</w:t>
            </w:r>
          </w:p>
        </w:tc>
      </w:tr>
      <w:tr w:rsidR="00A00259" w14:paraId="5C93EF4C" w14:textId="77777777" w:rsidTr="00CE3F9A">
        <w:trPr>
          <w:jc w:val="center"/>
        </w:trPr>
        <w:tc>
          <w:tcPr>
            <w:tcW w:w="804" w:type="dxa"/>
            <w:shd w:val="clear" w:color="auto" w:fill="C6EFCE"/>
            <w:noWrap/>
          </w:tcPr>
          <w:p w14:paraId="1C9F6B32" w14:textId="77777777" w:rsidR="00A00259" w:rsidRDefault="00371282">
            <w:pPr>
              <w:pStyle w:val="P68B1DB1-Normal12"/>
              <w:spacing w:after="0" w:line="240" w:lineRule="auto"/>
              <w:rPr>
                <w:rFonts w:eastAsia="Times New Roman"/>
                <w:noProof/>
              </w:rPr>
            </w:pPr>
            <w:r>
              <w:rPr>
                <w:noProof/>
              </w:rPr>
              <w:t>19</w:t>
            </w:r>
          </w:p>
        </w:tc>
        <w:tc>
          <w:tcPr>
            <w:tcW w:w="2032" w:type="dxa"/>
            <w:shd w:val="clear" w:color="auto" w:fill="C6EFCE"/>
            <w:noWrap/>
          </w:tcPr>
          <w:p w14:paraId="2AE02B77" w14:textId="64ACFC9B" w:rsidR="00A00259" w:rsidRPr="00D64FD7" w:rsidRDefault="00371282">
            <w:pPr>
              <w:pStyle w:val="P68B1DB1-Normal12"/>
              <w:spacing w:after="0" w:line="240" w:lineRule="auto"/>
              <w:rPr>
                <w:rFonts w:eastAsia="Times New Roman"/>
                <w:noProof/>
                <w:lang w:val="en-GB"/>
              </w:rPr>
            </w:pPr>
            <w:r w:rsidRPr="00D64FD7">
              <w:rPr>
                <w:noProof/>
                <w:lang w:val="en-GB"/>
              </w:rPr>
              <w:t xml:space="preserve">1 - 1.1. 16899_ Hellenic Electricity Distribution Network Operator (HEDNO) Sous-stations HV/MV </w:t>
            </w:r>
          </w:p>
        </w:tc>
        <w:tc>
          <w:tcPr>
            <w:tcW w:w="1077" w:type="dxa"/>
            <w:shd w:val="clear" w:color="auto" w:fill="C6EFCE"/>
            <w:noWrap/>
          </w:tcPr>
          <w:p w14:paraId="74F046F3" w14:textId="77777777" w:rsidR="00A00259" w:rsidRDefault="00371282">
            <w:pPr>
              <w:pStyle w:val="P68B1DB1-Normal12"/>
              <w:spacing w:after="0" w:line="240" w:lineRule="auto"/>
              <w:rPr>
                <w:rFonts w:eastAsia="Times New Roman"/>
                <w:noProof/>
              </w:rPr>
            </w:pPr>
            <w:r>
              <w:rPr>
                <w:noProof/>
              </w:rPr>
              <w:t>Étape</w:t>
            </w:r>
          </w:p>
        </w:tc>
        <w:tc>
          <w:tcPr>
            <w:tcW w:w="1324" w:type="dxa"/>
            <w:shd w:val="clear" w:color="auto" w:fill="C6EFCE"/>
            <w:noWrap/>
          </w:tcPr>
          <w:p w14:paraId="40DEC67F" w14:textId="77777777" w:rsidR="00A00259" w:rsidRDefault="00371282">
            <w:pPr>
              <w:pStyle w:val="P68B1DB1-Normal12"/>
              <w:spacing w:after="0" w:line="240" w:lineRule="auto"/>
              <w:rPr>
                <w:rFonts w:eastAsia="Times New Roman"/>
                <w:noProof/>
              </w:rPr>
            </w:pPr>
            <w:r>
              <w:rPr>
                <w:noProof/>
              </w:rPr>
              <w:t>Sous-stations HEDNO — HV/MV</w:t>
            </w:r>
          </w:p>
        </w:tc>
        <w:tc>
          <w:tcPr>
            <w:tcW w:w="1527" w:type="dxa"/>
            <w:shd w:val="clear" w:color="auto" w:fill="C6EFCE"/>
            <w:noWrap/>
          </w:tcPr>
          <w:p w14:paraId="3D71D778" w14:textId="77777777" w:rsidR="00A00259" w:rsidRDefault="00371282">
            <w:pPr>
              <w:pStyle w:val="P68B1DB1-Normal12"/>
              <w:spacing w:after="0" w:line="240" w:lineRule="auto"/>
              <w:rPr>
                <w:rFonts w:eastAsia="Times New Roman"/>
                <w:noProof/>
              </w:rPr>
            </w:pPr>
            <w:r>
              <w:rPr>
                <w:noProof/>
              </w:rPr>
              <w:t xml:space="preserve">Interventions dans le réseau de distribution </w:t>
            </w:r>
          </w:p>
        </w:tc>
        <w:tc>
          <w:tcPr>
            <w:tcW w:w="1316" w:type="dxa"/>
            <w:shd w:val="clear" w:color="auto" w:fill="C6EFCE"/>
            <w:noWrap/>
          </w:tcPr>
          <w:p w14:paraId="5363EE8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00" w:type="dxa"/>
            <w:shd w:val="clear" w:color="auto" w:fill="C6EFCE"/>
            <w:noWrap/>
          </w:tcPr>
          <w:p w14:paraId="3BC3C73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60BEEFC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800D0B4"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72533A17" w14:textId="77777777" w:rsidR="00A00259" w:rsidRDefault="00371282">
            <w:pPr>
              <w:pStyle w:val="P68B1DB1-Normal12"/>
              <w:spacing w:after="0" w:line="240" w:lineRule="auto"/>
              <w:rPr>
                <w:rFonts w:eastAsia="Times New Roman"/>
                <w:noProof/>
              </w:rPr>
            </w:pPr>
            <w:r>
              <w:rPr>
                <w:noProof/>
              </w:rPr>
              <w:t>2025</w:t>
            </w:r>
          </w:p>
        </w:tc>
        <w:tc>
          <w:tcPr>
            <w:tcW w:w="2913" w:type="dxa"/>
            <w:shd w:val="clear" w:color="auto" w:fill="C6EFCE"/>
            <w:noWrap/>
          </w:tcPr>
          <w:p w14:paraId="7DE8871A" w14:textId="4FFBA2CC" w:rsidR="00A00259" w:rsidRDefault="00371282">
            <w:pPr>
              <w:pStyle w:val="P68B1DB1-Normal12"/>
              <w:spacing w:after="0" w:line="240" w:lineRule="auto"/>
              <w:rPr>
                <w:rFonts w:eastAsia="Times New Roman"/>
                <w:noProof/>
              </w:rPr>
            </w:pPr>
            <w:r>
              <w:rPr>
                <w:noProof/>
              </w:rPr>
              <w:t>Certificat d'achèvement des interventions pour 14 sous-stations HV/MV.</w:t>
            </w:r>
          </w:p>
        </w:tc>
      </w:tr>
      <w:tr w:rsidR="00A00259" w14:paraId="5DEAD808" w14:textId="77777777" w:rsidTr="00CE3F9A">
        <w:trPr>
          <w:trHeight w:val="300"/>
          <w:jc w:val="center"/>
        </w:trPr>
        <w:tc>
          <w:tcPr>
            <w:tcW w:w="804" w:type="dxa"/>
            <w:shd w:val="clear" w:color="auto" w:fill="C6EFCE"/>
            <w:noWrap/>
          </w:tcPr>
          <w:p w14:paraId="1950E23C" w14:textId="128ECA90" w:rsidR="00A00259" w:rsidRDefault="00371282">
            <w:pPr>
              <w:pStyle w:val="P68B1DB1-Normal12"/>
              <w:spacing w:line="240" w:lineRule="auto"/>
              <w:rPr>
                <w:noProof/>
              </w:rPr>
            </w:pPr>
            <w:r>
              <w:rPr>
                <w:noProof/>
              </w:rPr>
              <w:t>387</w:t>
            </w:r>
          </w:p>
        </w:tc>
        <w:tc>
          <w:tcPr>
            <w:tcW w:w="2032" w:type="dxa"/>
            <w:shd w:val="clear" w:color="auto" w:fill="C6EFCE"/>
            <w:noWrap/>
          </w:tcPr>
          <w:p w14:paraId="250B689A" w14:textId="2F5DB57B" w:rsidR="00A00259" w:rsidRDefault="00371282">
            <w:pPr>
              <w:pStyle w:val="P68B1DB1-Normal12"/>
              <w:spacing w:after="0" w:line="240" w:lineRule="auto"/>
              <w:rPr>
                <w:noProof/>
              </w:rPr>
            </w:pPr>
            <w:r>
              <w:rPr>
                <w:noProof/>
              </w:rPr>
              <w:t xml:space="preserve">1 - 1.1 Power up- 16880_Contribution de DES ADMIE à l’augmentation de capital d’IPTO </w:t>
            </w:r>
          </w:p>
        </w:tc>
        <w:tc>
          <w:tcPr>
            <w:tcW w:w="1077" w:type="dxa"/>
            <w:shd w:val="clear" w:color="auto" w:fill="C6EFCE"/>
            <w:noWrap/>
          </w:tcPr>
          <w:p w14:paraId="5B82E37F" w14:textId="3A5B15E4" w:rsidR="00A00259" w:rsidRDefault="00371282">
            <w:pPr>
              <w:pStyle w:val="P68B1DB1-Normal12"/>
              <w:spacing w:line="240" w:lineRule="auto"/>
              <w:rPr>
                <w:noProof/>
              </w:rPr>
            </w:pPr>
            <w:r>
              <w:rPr>
                <w:noProof/>
              </w:rPr>
              <w:t xml:space="preserve">Étape </w:t>
            </w:r>
          </w:p>
        </w:tc>
        <w:tc>
          <w:tcPr>
            <w:tcW w:w="1324" w:type="dxa"/>
            <w:shd w:val="clear" w:color="auto" w:fill="C6EFCE"/>
            <w:noWrap/>
          </w:tcPr>
          <w:p w14:paraId="500D2A1A" w14:textId="2C325877" w:rsidR="00A00259" w:rsidRDefault="00371282">
            <w:pPr>
              <w:pStyle w:val="P68B1DB1-Normal12"/>
              <w:spacing w:line="240" w:lineRule="auto"/>
              <w:rPr>
                <w:noProof/>
              </w:rPr>
            </w:pPr>
            <w:r>
              <w:rPr>
                <w:noProof/>
              </w:rPr>
              <w:t>Augmentation de capital d'IPTO</w:t>
            </w:r>
          </w:p>
        </w:tc>
        <w:tc>
          <w:tcPr>
            <w:tcW w:w="1527" w:type="dxa"/>
            <w:shd w:val="clear" w:color="auto" w:fill="C6EFCE"/>
            <w:noWrap/>
          </w:tcPr>
          <w:p w14:paraId="588A1F33" w14:textId="65D7B5A6" w:rsidR="00A00259" w:rsidRDefault="00371282">
            <w:pPr>
              <w:pStyle w:val="P68B1DB1-Normal12"/>
              <w:spacing w:line="240" w:lineRule="auto"/>
              <w:rPr>
                <w:noProof/>
              </w:rPr>
            </w:pPr>
            <w:r>
              <w:rPr>
                <w:noProof/>
              </w:rPr>
              <w:t>L'augmentation de capital d'IPTO</w:t>
            </w:r>
          </w:p>
        </w:tc>
        <w:tc>
          <w:tcPr>
            <w:tcW w:w="1316" w:type="dxa"/>
            <w:shd w:val="clear" w:color="auto" w:fill="C6EFCE"/>
            <w:noWrap/>
          </w:tcPr>
          <w:p w14:paraId="72CE8969" w14:textId="3A45E086" w:rsidR="00A00259" w:rsidRDefault="00A00259">
            <w:pPr>
              <w:spacing w:line="240" w:lineRule="auto"/>
              <w:rPr>
                <w:rFonts w:ascii="Times New Roman" w:eastAsia="Times New Roman" w:hAnsi="Times New Roman" w:cs="Times New Roman"/>
                <w:noProof/>
                <w:color w:val="006100"/>
                <w:sz w:val="18"/>
                <w:szCs w:val="18"/>
              </w:rPr>
            </w:pPr>
          </w:p>
        </w:tc>
        <w:tc>
          <w:tcPr>
            <w:tcW w:w="1100" w:type="dxa"/>
            <w:shd w:val="clear" w:color="auto" w:fill="C6EFCE"/>
            <w:noWrap/>
          </w:tcPr>
          <w:p w14:paraId="6E87F55E" w14:textId="4FF72214" w:rsidR="00A00259" w:rsidRDefault="00A00259">
            <w:pPr>
              <w:spacing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66BEFDFD" w14:textId="5F1A78BB" w:rsidR="00A00259" w:rsidRDefault="00A00259">
            <w:pPr>
              <w:spacing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5EF55012" w14:textId="06863791" w:rsidR="00A00259" w:rsidRDefault="00371282">
            <w:pPr>
              <w:pStyle w:val="P68B1DB1-Normal12"/>
              <w:spacing w:line="240" w:lineRule="auto"/>
              <w:rPr>
                <w:noProof/>
              </w:rPr>
            </w:pPr>
            <w:r>
              <w:rPr>
                <w:noProof/>
              </w:rPr>
              <w:t xml:space="preserve">T2 </w:t>
            </w:r>
          </w:p>
        </w:tc>
        <w:tc>
          <w:tcPr>
            <w:tcW w:w="709" w:type="dxa"/>
            <w:shd w:val="clear" w:color="auto" w:fill="C6EFCE"/>
            <w:noWrap/>
          </w:tcPr>
          <w:p w14:paraId="4F6FC211" w14:textId="7A5E3775" w:rsidR="00A00259" w:rsidRDefault="00371282">
            <w:pPr>
              <w:pStyle w:val="P68B1DB1-Normal12"/>
              <w:spacing w:line="240" w:lineRule="auto"/>
              <w:rPr>
                <w:noProof/>
              </w:rPr>
            </w:pPr>
            <w:r>
              <w:rPr>
                <w:noProof/>
              </w:rPr>
              <w:t>2026</w:t>
            </w:r>
          </w:p>
        </w:tc>
        <w:tc>
          <w:tcPr>
            <w:tcW w:w="2913" w:type="dxa"/>
            <w:shd w:val="clear" w:color="auto" w:fill="C6EFCE"/>
            <w:noWrap/>
          </w:tcPr>
          <w:p w14:paraId="30D59D10" w14:textId="77777777" w:rsidR="00A00259" w:rsidRDefault="00371282">
            <w:pPr>
              <w:pStyle w:val="P68B1DB1-Normal12"/>
              <w:spacing w:after="40"/>
              <w:jc w:val="both"/>
              <w:rPr>
                <w:noProof/>
              </w:rPr>
            </w:pPr>
            <w:r>
              <w:rPr>
                <w:noProof/>
              </w:rPr>
              <w:t xml:space="preserve"> Pour que le jalon soit atteint, il faut:</w:t>
            </w:r>
          </w:p>
          <w:p w14:paraId="0DF74668" w14:textId="1F77B8C8" w:rsidR="00A00259" w:rsidRDefault="00371282">
            <w:pPr>
              <w:pStyle w:val="P68B1DB1-Normal12"/>
              <w:spacing w:after="40"/>
              <w:jc w:val="both"/>
              <w:rPr>
                <w:noProof/>
              </w:rPr>
            </w:pPr>
            <w:r>
              <w:rPr>
                <w:noProof/>
              </w:rPr>
              <w:t xml:space="preserve">Approbation du plan décennal de développement du réseau du gestionnaire indépendant de transport d’électricité (IPTO) (2025-2034) par la décision de l’autorité de régulation de l’énergie, des déchets et de l’eau (RAAEY). </w:t>
            </w:r>
          </w:p>
          <w:p w14:paraId="6254C438" w14:textId="1967F9AA" w:rsidR="00A00259" w:rsidRDefault="00371282">
            <w:pPr>
              <w:pStyle w:val="P68B1DB1-Normal12"/>
              <w:spacing w:after="40"/>
              <w:jc w:val="both"/>
              <w:rPr>
                <w:noProof/>
              </w:rPr>
            </w:pPr>
            <w:r>
              <w:rPr>
                <w:noProof/>
              </w:rPr>
              <w:t xml:space="preserve">-La Grèce transfère un montant de 370,9 millions d’EUR à DES ADMIE (entité détenant des actions pour le compte de l’État grec dans IPTO) afin de contribuer à l’augmentation de capital d’IPTO, y compris par l’intermédiaire d’ADMIE Holding. </w:t>
            </w:r>
          </w:p>
          <w:p w14:paraId="2CFF78D7" w14:textId="312B046B" w:rsidR="00A00259" w:rsidRDefault="00371282">
            <w:pPr>
              <w:pStyle w:val="P68B1DB1-Normal12"/>
              <w:spacing w:after="40"/>
              <w:jc w:val="both"/>
              <w:rPr>
                <w:noProof/>
              </w:rPr>
            </w:pPr>
            <w:r>
              <w:rPr>
                <w:noProof/>
              </w:rPr>
              <w:t>-Le capital social de l’IPTO augmente de 1 milliard d’EUR.</w:t>
            </w:r>
          </w:p>
          <w:p w14:paraId="3BEE3860" w14:textId="5BB51EBF" w:rsidR="00A00259" w:rsidRDefault="00A00259">
            <w:pPr>
              <w:spacing w:after="40"/>
              <w:jc w:val="both"/>
              <w:rPr>
                <w:rFonts w:ascii="Times New Roman" w:hAnsi="Times New Roman" w:cs="Times New Roman"/>
                <w:noProof/>
                <w:color w:val="006100"/>
                <w:sz w:val="18"/>
                <w:szCs w:val="18"/>
              </w:rPr>
            </w:pPr>
          </w:p>
        </w:tc>
      </w:tr>
    </w:tbl>
    <w:p w14:paraId="32502461" w14:textId="77777777" w:rsidR="00A00259" w:rsidRDefault="00371282">
      <w:pPr>
        <w:pStyle w:val="NormalLeft"/>
        <w:rPr>
          <w:noProof/>
        </w:rPr>
        <w:sectPr w:rsidR="00A00259">
          <w:headerReference w:type="even" r:id="rId30"/>
          <w:headerReference w:type="default" r:id="rId31"/>
          <w:footerReference w:type="even" r:id="rId32"/>
          <w:footerReference w:type="default" r:id="rId33"/>
          <w:headerReference w:type="first" r:id="rId34"/>
          <w:footerReference w:type="first" r:id="rId35"/>
          <w:pgSz w:w="16839" w:h="11907" w:orient="landscape"/>
          <w:pgMar w:top="1134" w:right="1134" w:bottom="1134" w:left="1134" w:header="567" w:footer="567" w:gutter="0"/>
          <w:cols w:space="720"/>
          <w:docGrid w:linePitch="360"/>
        </w:sectPr>
      </w:pPr>
      <w:r>
        <w:rPr>
          <w:noProof/>
        </w:rPr>
        <w:br/>
      </w:r>
    </w:p>
    <w:p w14:paraId="47907B0C" w14:textId="77777777" w:rsidR="00A00259" w:rsidRDefault="00371282">
      <w:pPr>
        <w:pStyle w:val="P68B1DB1-Normal17"/>
        <w:spacing w:before="120" w:after="120" w:line="240" w:lineRule="auto"/>
        <w:ind w:firstLine="6"/>
        <w:jc w:val="both"/>
        <w:outlineLvl w:val="3"/>
        <w:rPr>
          <w:rFonts w:cs="Times New Roman"/>
          <w:bCs/>
          <w:noProof/>
        </w:rPr>
      </w:pPr>
      <w:r>
        <w:rPr>
          <w:noProof/>
        </w:rPr>
        <w:t>B. ÉLÉMENT 1.2: RÉNOVER</w:t>
      </w:r>
    </w:p>
    <w:p w14:paraId="0CCD6516" w14:textId="77777777" w:rsidR="00A00259" w:rsidRDefault="00371282">
      <w:pPr>
        <w:pStyle w:val="P68B1DB1-Normal5"/>
        <w:spacing w:before="120" w:after="120" w:line="240" w:lineRule="auto"/>
        <w:jc w:val="both"/>
        <w:rPr>
          <w:rFonts w:cs="Times New Roman"/>
          <w:noProof/>
        </w:rPr>
      </w:pPr>
      <w:r>
        <w:rPr>
          <w:noProof/>
        </w:rPr>
        <w:t>Le volet «rénovation» du plan grec pour la reprise et la résilience au titre du pilier vert doit accroître l’efficacité énergétique, renforcer la croissance économique, créer des possibilités d’emploi et promouvoir la résilience sociale. Il comprend des réformes et des investissements ciblés visant à réduire les émissions de CO</w:t>
      </w:r>
      <w:r>
        <w:rPr>
          <w:noProof/>
          <w:vertAlign w:val="subscript"/>
        </w:rPr>
        <w:t xml:space="preserve"> 2,</w:t>
      </w:r>
      <w:r>
        <w:rPr>
          <w:noProof/>
        </w:rPr>
        <w:t xml:space="preserve"> un soutien à la réalisation de la «neutralité climatique» des zones urbaines et au renforcement de la résilience climatique des villes et de leur parc immobilier. Ce volet prévoit des incitations à la rénovation des bâtiments et à la mise à niveau énergétique qui jouent un rôle déterminant dans la régénération des zones urbaines et l’atténuation de la précarité énergétique et contribuent à la réalisation des objectifs fixés dans le plan national en matière d’énergie et de climat (PNEC) de la Grèce. Le volet soutient la mise en œuvre de la recommandation par pays no 3 de 2020 et de la recommandation par pays no 2 de 2019 sur les investissements publics et privés. 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3EABBBC8" w14:textId="77777777" w:rsidR="00A00259" w:rsidRDefault="00371282">
      <w:pPr>
        <w:pStyle w:val="P68B1DB1-Normal6"/>
        <w:spacing w:before="120" w:after="120" w:line="240" w:lineRule="auto"/>
        <w:jc w:val="both"/>
        <w:rPr>
          <w:rFonts w:cs="Times New Roman"/>
          <w:bCs/>
          <w:i/>
          <w:iCs/>
          <w:noProof/>
          <w:color w:val="4F81BD"/>
        </w:rPr>
      </w:pPr>
      <w:r>
        <w:rPr>
          <w:noProof/>
        </w:rPr>
        <w:t>B.1. Description des réformes et des investissements pour le soutien financier non remboursable</w:t>
      </w:r>
    </w:p>
    <w:p w14:paraId="5D4FC9BC"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Plan d’action en matière de précarité énergétique (mesure ID: 16920)</w:t>
      </w:r>
    </w:p>
    <w:p w14:paraId="58FB2895" w14:textId="77777777" w:rsidR="00A00259" w:rsidRDefault="00371282">
      <w:pPr>
        <w:pStyle w:val="P68B1DB1-Normal7"/>
        <w:spacing w:before="120" w:after="120" w:line="240" w:lineRule="auto"/>
        <w:jc w:val="both"/>
        <w:rPr>
          <w:rFonts w:cs="Times New Roman"/>
          <w:noProof/>
        </w:rPr>
      </w:pPr>
      <w:r>
        <w:rPr>
          <w:noProof/>
        </w:rPr>
        <w:t>La réforme consiste en l’adoption d’un plan d’action pour relever le défi de la précarité énergétique. En 2019, environ 18 % de la population totale ne seraient pas en mesure de chauffer leur logement, contre environ 34 % dans le sous-ensemble de la population économiquement vulnérable (Eurostat, enquête EU-SILC). La stratégie définit des mesures ciblées visant à améliorer l’efficacité énergétique des bâtiments résidentiels parmi les ménages économiquement vulnérables. La mise en œuvre de la réforme est achevée au plus tard le 30 septembre 2021.</w:t>
      </w:r>
    </w:p>
    <w:p w14:paraId="3650BC90"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Rénovation énergétique des bâtiments résidentiels (mesure ID: 16872)</w:t>
      </w:r>
    </w:p>
    <w:p w14:paraId="525EB162" w14:textId="77777777" w:rsidR="00A00259" w:rsidRDefault="00371282">
      <w:pPr>
        <w:pStyle w:val="P68B1DB1-Normal7"/>
        <w:spacing w:before="120" w:after="120" w:line="240" w:lineRule="auto"/>
        <w:jc w:val="both"/>
        <w:rPr>
          <w:noProof/>
        </w:rPr>
      </w:pPr>
      <w:r>
        <w:rPr>
          <w:noProof/>
        </w:rPr>
        <w:t xml:space="preserve">L’objectif de la mesure est d’améliorer l’efficacité énergétique des bâtiments résidentiels. </w:t>
      </w:r>
    </w:p>
    <w:p w14:paraId="15C7EAF9" w14:textId="77777777" w:rsidR="00A00259" w:rsidRDefault="00371282">
      <w:pPr>
        <w:pStyle w:val="P68B1DB1-Normal7"/>
        <w:spacing w:before="120" w:after="120" w:line="240" w:lineRule="auto"/>
        <w:jc w:val="both"/>
        <w:rPr>
          <w:rFonts w:cs="Times New Roman"/>
          <w:noProof/>
        </w:rPr>
      </w:pPr>
      <w:r>
        <w:rPr>
          <w:noProof/>
        </w:rPr>
        <w:t>La mesure consiste en des rénovations visant à réaliser au moins 30 % d’économies d’énergie primaire. Il prévoit également des incitations ciblées pour les ménages vulnérables.</w:t>
      </w:r>
    </w:p>
    <w:p w14:paraId="318E1B4A"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Interventions dans les zones résidentielles et dans le parc immobilier (mesure ID: 16873)</w:t>
      </w:r>
    </w:p>
    <w:p w14:paraId="158D79AF" w14:textId="076C7B2C" w:rsidR="00A00259" w:rsidRDefault="00371282">
      <w:pPr>
        <w:pStyle w:val="P68B1DB1-Normal7"/>
        <w:spacing w:before="120" w:after="120" w:line="240" w:lineRule="auto"/>
        <w:jc w:val="both"/>
        <w:rPr>
          <w:noProof/>
        </w:rPr>
      </w:pPr>
      <w:r>
        <w:rPr>
          <w:noProof/>
        </w:rPr>
        <w:t xml:space="preserve">L’objectif de cette mesure est de mener des interventions dans les zones résidentielles et dans le parc immobilier, en contribuant à l’adaptation au changement climatique et à l’atténuation de ses effets, ainsi qu’à l’amélioration de l’efficacité énergétique. L'investissement consiste en des interventions dans l'environnement urbain, y compris les zones extérieures du campus de l'Université agricole d'Athènes. </w:t>
      </w:r>
    </w:p>
    <w:p w14:paraId="756D8B5D" w14:textId="77777777" w:rsidR="00A00259" w:rsidRDefault="00371282">
      <w:pPr>
        <w:pStyle w:val="P68B1DB1-Normal7"/>
        <w:spacing w:before="120" w:after="120" w:line="240" w:lineRule="auto"/>
        <w:jc w:val="both"/>
        <w:rPr>
          <w:rFonts w:cs="Times New Roman"/>
          <w:noProof/>
        </w:rPr>
      </w:pPr>
      <w:r>
        <w:rPr>
          <w:b/>
          <w:noProof/>
        </w:rPr>
        <w:t>Investissement</w:t>
      </w:r>
      <w:r>
        <w:rPr>
          <w:noProof/>
        </w:rPr>
        <w:t>: Énergie et entrepreneuriat (mesure ID: 16874)</w:t>
      </w:r>
    </w:p>
    <w:p w14:paraId="06885B0F" w14:textId="4955629A" w:rsidR="00A00259" w:rsidRDefault="00371282">
      <w:pPr>
        <w:pStyle w:val="P68B1DB1-Normal5"/>
        <w:spacing w:before="120" w:after="120" w:line="240" w:lineRule="auto"/>
        <w:jc w:val="both"/>
        <w:rPr>
          <w:rFonts w:cs="Times New Roman"/>
          <w:noProof/>
        </w:rPr>
      </w:pPr>
      <w:r>
        <w:rPr>
          <w:noProof/>
          <w:szCs w:val="24"/>
        </w:rPr>
        <w:t>L’objectif de la mesure est d’apporter un soutien financier aux entreprises privées afin d’améliorer leur efficacité énergétique. La mesure consiste à apporter un soutien aux rénovations économes en énergie et à la mise à niveau et/ou au remplacement d’équipements et de systèmes pour le secteur privé.</w:t>
      </w:r>
    </w:p>
    <w:p w14:paraId="381A140F"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Modernisation énergétique des bâtiments du secteur public (mesure ID: 16876)</w:t>
      </w:r>
    </w:p>
    <w:p w14:paraId="5B805379" w14:textId="77777777" w:rsidR="00A00259" w:rsidRDefault="00371282">
      <w:pPr>
        <w:pStyle w:val="P68B1DB1-Normal7"/>
        <w:spacing w:before="120" w:after="120" w:line="240" w:lineRule="auto"/>
        <w:jc w:val="both"/>
        <w:rPr>
          <w:rFonts w:cs="Times New Roman"/>
          <w:noProof/>
        </w:rPr>
      </w:pPr>
      <w:r>
        <w:rPr>
          <w:noProof/>
        </w:rPr>
        <w:t>Cet investissement comprend la rénovation de bâtiments du secteur public en vue d'accroître leur efficacité énergétique, grâce à la participation d'entreprises d'économies d'énergie (ESCO). L'investissement comprend également la mise à niveau énergétique des infrastructures d'éclairage public. Cet investissement vise à contribuer à la réalisation des objectifs d’efficacité énergétique adoptés dans le PNEC et à la réduction des émissions de CO2. Cette mesure ne devrait pas causer de préjudice important aux objectifs environnementaux au sens de l’article 17 du règlement (UE) 2020/852, compte tenu de la description de la mesure et des mesures d’atténuation énoncées dans le plan pour la reprise et la résilience conformément aux orientations techniques «Ne pas causer de préjudice important» (2021/C58/01). En particulier, la mesure impose aux opérateurs économiques effectuant les travaux de construction de veiller à ce qu’au moins 70 % (en poids) des déchets de construction et de démolition non dangereux [à l’exclusion des matériaux naturels visés dans la catégorie 17 05 04 de la liste européenne des déchets établie par la décision 2000/532/CE du 3 mai 2000 remplaçant la décision 94/3/CE établissant une liste de déchets conformément à l’article 1er, point a), de la directive 75/442/CEE du Conseil relative aux déchets et la décision 94/904/CE du Conseil établissant une liste de déchets dangereux conformément à l’article 1er, paragraphe 4, de la directive 91/689/CEE du Conseil relative aux déchets dangereux [notifiée sous le numéro C(2000) 1147]] produits sur le site de construction soient préparés en vue du réemploi, du recyclage et d’autres opérations de valorisation des matériaux, y compris les opérations de remblayage utilisant des déchets pour remplacer d’autres matériaux, conformément à la hiérarchie des déchets et au protocole de gestion des déchets de construction et de démolition de l’UE. La mise en œuvre de l’investissement est achevée au plus tard le 31 décembre 2025.</w:t>
      </w:r>
    </w:p>
    <w:p w14:paraId="650F227F"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Développement des infrastructures et restauration de bâtiments dans l’ancien domaine royal de Tatoi (mesure ID: 16875)</w:t>
      </w:r>
    </w:p>
    <w:p w14:paraId="10AB3E4D" w14:textId="430C25EB" w:rsidR="00A00259" w:rsidRDefault="00371282">
      <w:pPr>
        <w:pStyle w:val="P68B1DB1-Normal5"/>
        <w:spacing w:before="120" w:after="120" w:line="240" w:lineRule="auto"/>
        <w:jc w:val="both"/>
        <w:rPr>
          <w:rFonts w:cs="Times New Roman"/>
          <w:noProof/>
        </w:rPr>
      </w:pPr>
      <w:r>
        <w:rPr>
          <w:noProof/>
        </w:rPr>
        <w:t xml:space="preserve">L'objectif de la mesure est de fournir un espace vert et librement accessible pour les loisirs aux habitants de l'Attique, ainsi qu'un nouveau point de repère pour les touristes. La mesure consiste en la rénovation de l’efficacité énergétique et la restauration de bâtiments de l’ancien domaine royal de Tatoi. </w:t>
      </w:r>
    </w:p>
    <w:p w14:paraId="1481D37C"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Centre olympique d'athlétisme d'Athènes (mesure ID: 16932)</w:t>
      </w:r>
    </w:p>
    <w:p w14:paraId="539B08C6" w14:textId="338BADFD" w:rsidR="00A00259" w:rsidRDefault="00371282">
      <w:pPr>
        <w:pStyle w:val="P68B1DB1-Normal7"/>
        <w:spacing w:before="120" w:after="120" w:line="240" w:lineRule="auto"/>
        <w:jc w:val="both"/>
        <w:rPr>
          <w:rFonts w:cs="Times New Roman"/>
          <w:noProof/>
        </w:rPr>
      </w:pPr>
      <w:r>
        <w:rPr>
          <w:noProof/>
        </w:rPr>
        <w:t xml:space="preserve">L’objectif de la mesure est de restaurer l’image du Centre olympique d’athlétisme d’Athènes (OAKA), de réduire ses coûts énergétiques et d’assurer sa viabilité financière en le transformant en une destination urbaine moderne et animée d’athlétisme et de loisirs. L’investissement consiste en des interventions en matière d’efficacité énergétique pour le stade principal de l’OAKA, les installations aquatiques, le vélodrome et les espaces ouverts. </w:t>
      </w:r>
    </w:p>
    <w:p w14:paraId="7DAC6DC4"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Préparation de plans urbains dans le cadre de la mise en œuvre de la réforme de la politique urbaine (mesure ID: 16879)</w:t>
      </w:r>
    </w:p>
    <w:p w14:paraId="5AFBF03D" w14:textId="77777777" w:rsidR="00A00259" w:rsidRDefault="00371282">
      <w:pPr>
        <w:pStyle w:val="P68B1DB1-Normal7"/>
        <w:spacing w:before="120" w:after="120" w:line="240" w:lineRule="auto"/>
        <w:jc w:val="both"/>
        <w:rPr>
          <w:rFonts w:cs="Times New Roman"/>
          <w:noProof/>
        </w:rPr>
      </w:pPr>
      <w:r>
        <w:rPr>
          <w:noProof/>
        </w:rPr>
        <w:t>L’objectif de la mesure est de remédier aux faiblesses et aux lacunes en matière de zonage et d’utilisation des sols en vue de promouvoir une activité économique durable et de protéger l’environnement. La mesure consiste en différentes étapes préparatoires pour différents types de plans urbains.</w:t>
      </w:r>
    </w:p>
    <w:p w14:paraId="0E3C2DB4"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Mise en place d'une nouvelle planification de l'espace maritime (mesure ID: 16891).</w:t>
      </w:r>
    </w:p>
    <w:p w14:paraId="35B20831" w14:textId="77777777" w:rsidR="00A00259" w:rsidRDefault="00371282">
      <w:pPr>
        <w:pStyle w:val="P68B1DB1-Normal7"/>
        <w:spacing w:before="120" w:after="120" w:line="240" w:lineRule="auto"/>
        <w:jc w:val="both"/>
        <w:rPr>
          <w:rFonts w:cs="Times New Roman"/>
          <w:noProof/>
        </w:rPr>
      </w:pPr>
      <w:r>
        <w:rPr>
          <w:noProof/>
        </w:rPr>
        <w:t>La réforme porte sur la création de la stratégie spatiale nationale pour le milieu marin. La réforme porte sur le développement durable dans les zones maritimes et côtières, tout en protégeant le milieu marin et la biodiversité. La mise en œuvre de la réforme est achevée au plus tard le 31 décembre 2025.</w:t>
      </w:r>
    </w:p>
    <w:p w14:paraId="09F10351"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Mise en place d'un nouveau cadre spécial d'aménagement du territoire pour les énergies renouvelables, l'industrie et le tourisme (mesure ID: 16894). </w:t>
      </w:r>
    </w:p>
    <w:p w14:paraId="1B747F39" w14:textId="71A2FB7F" w:rsidR="00A00259" w:rsidRDefault="00371282">
      <w:pPr>
        <w:pStyle w:val="P68B1DB1-Normal7"/>
        <w:spacing w:before="120" w:after="120" w:line="240" w:lineRule="auto"/>
        <w:jc w:val="both"/>
        <w:rPr>
          <w:rFonts w:cs="Times New Roman"/>
          <w:noProof/>
        </w:rPr>
      </w:pPr>
      <w:r>
        <w:rPr>
          <w:noProof/>
        </w:rPr>
        <w:t>L’objectif de la mesure est de promouvoir l’atténuation du changement climatique et l’adaptation à celui-ci, la protection de la biodiversité, la croissance économique et la création d’emplois. La mesure consiste en trois cadres spatiaux spéciaux pour les énergies renouvelables, l’industrie et le tourisme.</w:t>
      </w:r>
    </w:p>
    <w:p w14:paraId="409C21B4" w14:textId="77777777" w:rsidR="00A00259" w:rsidRDefault="00A00259">
      <w:pPr>
        <w:spacing w:before="120" w:after="120" w:line="240" w:lineRule="auto"/>
        <w:ind w:left="709"/>
        <w:jc w:val="both"/>
        <w:rPr>
          <w:rFonts w:ascii="Times New Roman" w:hAnsi="Times New Roman" w:cs="Times New Roman"/>
          <w:b/>
          <w:bCs/>
          <w:noProof/>
          <w:sz w:val="24"/>
          <w:u w:val="single"/>
        </w:rPr>
        <w:sectPr w:rsidR="00A00259">
          <w:headerReference w:type="even" r:id="rId36"/>
          <w:headerReference w:type="default" r:id="rId37"/>
          <w:footerReference w:type="even" r:id="rId38"/>
          <w:footerReference w:type="default" r:id="rId39"/>
          <w:headerReference w:type="first" r:id="rId40"/>
          <w:footerReference w:type="first" r:id="rId41"/>
          <w:pgSz w:w="11906" w:h="16838"/>
          <w:pgMar w:top="1134" w:right="1134" w:bottom="1134" w:left="1134" w:header="567" w:footer="567" w:gutter="0"/>
          <w:cols w:space="708"/>
          <w:docGrid w:linePitch="360"/>
        </w:sectPr>
      </w:pPr>
    </w:p>
    <w:p w14:paraId="5F417F74" w14:textId="77777777" w:rsidR="00A00259" w:rsidRDefault="00A00259">
      <w:pPr>
        <w:spacing w:before="120" w:after="120" w:line="240" w:lineRule="auto"/>
        <w:ind w:left="709"/>
        <w:jc w:val="both"/>
        <w:rPr>
          <w:rFonts w:ascii="Times New Roman" w:hAnsi="Times New Roman" w:cs="Times New Roman"/>
          <w:b/>
          <w:bCs/>
          <w:noProof/>
          <w:sz w:val="24"/>
          <w:u w:val="single"/>
        </w:rPr>
      </w:pPr>
    </w:p>
    <w:p w14:paraId="5919A99A" w14:textId="77777777" w:rsidR="00A00259" w:rsidRDefault="00371282">
      <w:pPr>
        <w:pStyle w:val="P68B1DB1-Normal14"/>
        <w:keepNext/>
        <w:keepLines/>
        <w:spacing w:before="40" w:after="0" w:line="240" w:lineRule="auto"/>
        <w:jc w:val="both"/>
        <w:outlineLvl w:val="4"/>
        <w:rPr>
          <w:rFonts w:ascii="Cambria" w:eastAsia="Times New Roman" w:hAnsi="Cambria"/>
          <w:noProof/>
          <w:color w:val="365F91"/>
        </w:rPr>
      </w:pPr>
      <w:r>
        <w:rPr>
          <w:rFonts w:ascii="Times New Roman" w:hAnsi="Times New Roman"/>
          <w:b/>
          <w:noProof/>
          <w:u w:val="single"/>
        </w:rPr>
        <w:t>B.2. Étapes, cibles, indicateurs et calendrier pour le suivi et la mise en œuvre du soutien financier non remboursable</w:t>
      </w:r>
      <w:r>
        <w:rPr>
          <w:rFonts w:ascii="Cambria" w:hAnsi="Cambria"/>
          <w:noProof/>
          <w:color w:val="365F91"/>
        </w:rPr>
        <w:t xml:space="preserve"> </w:t>
      </w:r>
    </w:p>
    <w:p w14:paraId="488C6B83" w14:textId="77777777" w:rsidR="00A00259" w:rsidRDefault="00371282">
      <w:pPr>
        <w:pStyle w:val="P68B1DB1-Normal9"/>
        <w:keepNext/>
        <w:keepLines/>
        <w:spacing w:before="40" w:after="0" w:line="240" w:lineRule="auto"/>
        <w:jc w:val="both"/>
        <w:outlineLvl w:val="4"/>
        <w:rPr>
          <w:rFonts w:eastAsia="Times New Roman"/>
          <w:noProof/>
          <w:szCs w:val="24"/>
        </w:rPr>
      </w:pPr>
      <w:r>
        <w:rPr>
          <w:noProof/>
        </w:rPr>
        <w:t>Principaux investissements 2: Rénovation énergétique des bâtiments résidentiels</w:t>
      </w:r>
    </w:p>
    <w:tbl>
      <w:tblPr>
        <w:tblW w:w="1520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593"/>
        <w:gridCol w:w="1114"/>
        <w:gridCol w:w="1096"/>
        <w:gridCol w:w="2311"/>
        <w:gridCol w:w="1192"/>
        <w:gridCol w:w="999"/>
        <w:gridCol w:w="846"/>
        <w:gridCol w:w="986"/>
        <w:gridCol w:w="709"/>
        <w:gridCol w:w="3997"/>
      </w:tblGrid>
      <w:tr w:rsidR="00A00259" w14:paraId="0B82ADC9" w14:textId="77777777">
        <w:trPr>
          <w:trHeight w:val="927"/>
          <w:tblHeader/>
        </w:trPr>
        <w:tc>
          <w:tcPr>
            <w:tcW w:w="562" w:type="dxa"/>
            <w:vMerge w:val="restart"/>
            <w:shd w:val="clear" w:color="auto" w:fill="BDD7EE"/>
            <w:vAlign w:val="center"/>
            <w:hideMark/>
          </w:tcPr>
          <w:p w14:paraId="4E055003" w14:textId="77777777" w:rsidR="00A00259" w:rsidRDefault="00371282">
            <w:pPr>
              <w:pStyle w:val="P68B1DB1-Normal10"/>
              <w:spacing w:after="0" w:line="240" w:lineRule="auto"/>
              <w:jc w:val="center"/>
              <w:rPr>
                <w:rFonts w:eastAsia="Times New Roman" w:cs="Times New Roman"/>
                <w:bCs/>
                <w:noProof/>
                <w:szCs w:val="18"/>
              </w:rPr>
            </w:pPr>
            <w:r>
              <w:rPr>
                <w:noProof/>
              </w:rPr>
              <w:t>Seq.</w:t>
            </w:r>
            <w:r>
              <w:rPr>
                <w:noProof/>
              </w:rPr>
              <w:br/>
              <w:t>N o.</w:t>
            </w:r>
          </w:p>
        </w:tc>
        <w:tc>
          <w:tcPr>
            <w:tcW w:w="1593" w:type="dxa"/>
            <w:vMerge w:val="restart"/>
            <w:shd w:val="clear" w:color="auto" w:fill="BDD7EE"/>
            <w:vAlign w:val="center"/>
            <w:hideMark/>
          </w:tcPr>
          <w:p w14:paraId="3CDB719C"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114" w:type="dxa"/>
            <w:vMerge w:val="restart"/>
            <w:shd w:val="clear" w:color="auto" w:fill="BDD7EE"/>
            <w:vAlign w:val="center"/>
            <w:hideMark/>
          </w:tcPr>
          <w:p w14:paraId="49A24470"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056" w:type="dxa"/>
            <w:vMerge w:val="restart"/>
            <w:shd w:val="clear" w:color="auto" w:fill="BDD7EE"/>
            <w:vAlign w:val="center"/>
            <w:hideMark/>
          </w:tcPr>
          <w:p w14:paraId="71286390"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2311" w:type="dxa"/>
            <w:vMerge w:val="restart"/>
            <w:shd w:val="clear" w:color="auto" w:fill="BDD7EE"/>
            <w:vAlign w:val="center"/>
            <w:hideMark/>
          </w:tcPr>
          <w:p w14:paraId="35807437"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3011" w:type="dxa"/>
            <w:gridSpan w:val="3"/>
            <w:shd w:val="clear" w:color="auto" w:fill="BDD7EE"/>
            <w:vAlign w:val="center"/>
            <w:hideMark/>
          </w:tcPr>
          <w:p w14:paraId="1BF720D9"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Indicateurs quantitatifs </w:t>
            </w:r>
            <w:r>
              <w:rPr>
                <w:noProof/>
              </w:rPr>
              <w:br/>
              <w:t>(pour les objectifs)</w:t>
            </w:r>
          </w:p>
        </w:tc>
        <w:tc>
          <w:tcPr>
            <w:tcW w:w="1560" w:type="dxa"/>
            <w:gridSpan w:val="2"/>
            <w:shd w:val="clear" w:color="auto" w:fill="BDD7EE"/>
            <w:vAlign w:val="center"/>
            <w:hideMark/>
          </w:tcPr>
          <w:p w14:paraId="72B3E784"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3997" w:type="dxa"/>
            <w:vMerge w:val="restart"/>
            <w:shd w:val="clear" w:color="auto" w:fill="BDD7EE"/>
            <w:vAlign w:val="center"/>
            <w:hideMark/>
          </w:tcPr>
          <w:p w14:paraId="7AC5A61D"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16A7D14F" w14:textId="77777777">
        <w:trPr>
          <w:trHeight w:val="669"/>
          <w:tblHeader/>
        </w:trPr>
        <w:tc>
          <w:tcPr>
            <w:tcW w:w="562" w:type="dxa"/>
            <w:vMerge/>
            <w:vAlign w:val="center"/>
            <w:hideMark/>
          </w:tcPr>
          <w:p w14:paraId="2F51A640" w14:textId="77777777" w:rsidR="00A00259" w:rsidRDefault="00A00259">
            <w:pPr>
              <w:spacing w:after="0" w:line="240" w:lineRule="auto"/>
              <w:rPr>
                <w:rFonts w:ascii="Times New Roman" w:eastAsia="Times New Roman" w:hAnsi="Times New Roman" w:cs="Times New Roman"/>
                <w:b/>
                <w:bCs/>
                <w:noProof/>
                <w:sz w:val="18"/>
                <w:szCs w:val="18"/>
              </w:rPr>
            </w:pPr>
          </w:p>
        </w:tc>
        <w:tc>
          <w:tcPr>
            <w:tcW w:w="1593" w:type="dxa"/>
            <w:vMerge/>
            <w:vAlign w:val="center"/>
            <w:hideMark/>
          </w:tcPr>
          <w:p w14:paraId="6A63C1DC" w14:textId="77777777" w:rsidR="00A00259" w:rsidRDefault="00A00259">
            <w:pPr>
              <w:spacing w:after="0" w:line="240" w:lineRule="auto"/>
              <w:rPr>
                <w:rFonts w:ascii="Times New Roman" w:eastAsia="Times New Roman" w:hAnsi="Times New Roman" w:cs="Times New Roman"/>
                <w:b/>
                <w:bCs/>
                <w:noProof/>
                <w:sz w:val="18"/>
                <w:szCs w:val="18"/>
              </w:rPr>
            </w:pPr>
          </w:p>
        </w:tc>
        <w:tc>
          <w:tcPr>
            <w:tcW w:w="1114" w:type="dxa"/>
            <w:vMerge/>
            <w:vAlign w:val="center"/>
            <w:hideMark/>
          </w:tcPr>
          <w:p w14:paraId="1011023F" w14:textId="77777777" w:rsidR="00A00259" w:rsidRDefault="00A00259">
            <w:pPr>
              <w:spacing w:after="0" w:line="240" w:lineRule="auto"/>
              <w:rPr>
                <w:rFonts w:ascii="Times New Roman" w:eastAsia="Times New Roman" w:hAnsi="Times New Roman" w:cs="Times New Roman"/>
                <w:b/>
                <w:bCs/>
                <w:noProof/>
                <w:sz w:val="18"/>
                <w:szCs w:val="18"/>
              </w:rPr>
            </w:pPr>
          </w:p>
        </w:tc>
        <w:tc>
          <w:tcPr>
            <w:tcW w:w="1056" w:type="dxa"/>
            <w:vMerge/>
            <w:vAlign w:val="center"/>
            <w:hideMark/>
          </w:tcPr>
          <w:p w14:paraId="778FDEE2" w14:textId="77777777" w:rsidR="00A00259" w:rsidRDefault="00A00259">
            <w:pPr>
              <w:spacing w:after="0" w:line="240" w:lineRule="auto"/>
              <w:rPr>
                <w:rFonts w:ascii="Times New Roman" w:eastAsia="Times New Roman" w:hAnsi="Times New Roman" w:cs="Times New Roman"/>
                <w:b/>
                <w:bCs/>
                <w:noProof/>
                <w:sz w:val="18"/>
                <w:szCs w:val="18"/>
              </w:rPr>
            </w:pPr>
          </w:p>
        </w:tc>
        <w:tc>
          <w:tcPr>
            <w:tcW w:w="2311" w:type="dxa"/>
            <w:vMerge/>
            <w:vAlign w:val="center"/>
            <w:hideMark/>
          </w:tcPr>
          <w:p w14:paraId="6566868D" w14:textId="77777777" w:rsidR="00A00259" w:rsidRDefault="00A00259">
            <w:pPr>
              <w:spacing w:after="0" w:line="240" w:lineRule="auto"/>
              <w:rPr>
                <w:rFonts w:ascii="Times New Roman" w:eastAsia="Times New Roman" w:hAnsi="Times New Roman" w:cs="Times New Roman"/>
                <w:b/>
                <w:bCs/>
                <w:noProof/>
                <w:sz w:val="18"/>
                <w:szCs w:val="18"/>
              </w:rPr>
            </w:pPr>
          </w:p>
        </w:tc>
        <w:tc>
          <w:tcPr>
            <w:tcW w:w="1192" w:type="dxa"/>
            <w:shd w:val="clear" w:color="auto" w:fill="BDD7EE"/>
            <w:vAlign w:val="center"/>
            <w:hideMark/>
          </w:tcPr>
          <w:p w14:paraId="2944B234"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999" w:type="dxa"/>
            <w:shd w:val="clear" w:color="auto" w:fill="BDD7EE"/>
            <w:vAlign w:val="center"/>
            <w:hideMark/>
          </w:tcPr>
          <w:p w14:paraId="4B754CB5"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820" w:type="dxa"/>
            <w:shd w:val="clear" w:color="auto" w:fill="BDD7EE"/>
            <w:vAlign w:val="center"/>
            <w:hideMark/>
          </w:tcPr>
          <w:p w14:paraId="6E0C9118"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851" w:type="dxa"/>
            <w:shd w:val="clear" w:color="auto" w:fill="BDD7EE"/>
            <w:vAlign w:val="center"/>
            <w:hideMark/>
          </w:tcPr>
          <w:p w14:paraId="732741A6"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709" w:type="dxa"/>
            <w:shd w:val="clear" w:color="auto" w:fill="BDD7EE"/>
            <w:vAlign w:val="center"/>
            <w:hideMark/>
          </w:tcPr>
          <w:p w14:paraId="440E67ED"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3997" w:type="dxa"/>
            <w:vMerge/>
            <w:vAlign w:val="center"/>
            <w:hideMark/>
          </w:tcPr>
          <w:p w14:paraId="77B5DB37"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658F1477" w14:textId="77777777">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3F156EC9" w14:textId="77777777" w:rsidR="00A00259" w:rsidRDefault="00371282">
            <w:pPr>
              <w:pStyle w:val="P68B1DB1-Normal12"/>
              <w:spacing w:after="0" w:line="240" w:lineRule="auto"/>
              <w:rPr>
                <w:rFonts w:eastAsia="Times New Roman"/>
                <w:noProof/>
              </w:rPr>
            </w:pPr>
            <w:r>
              <w:rPr>
                <w:noProof/>
              </w:rPr>
              <w:t>20</w:t>
            </w:r>
          </w:p>
        </w:tc>
        <w:tc>
          <w:tcPr>
            <w:tcW w:w="1593" w:type="dxa"/>
            <w:tcBorders>
              <w:top w:val="single" w:sz="4" w:space="0" w:color="auto"/>
              <w:left w:val="single" w:sz="4" w:space="0" w:color="auto"/>
              <w:bottom w:val="single" w:sz="4" w:space="0" w:color="auto"/>
              <w:right w:val="single" w:sz="4" w:space="0" w:color="auto"/>
            </w:tcBorders>
            <w:shd w:val="clear" w:color="auto" w:fill="C6EFCE"/>
            <w:noWrap/>
            <w:hideMark/>
          </w:tcPr>
          <w:p w14:paraId="3447D981" w14:textId="77777777" w:rsidR="00A00259" w:rsidRDefault="00371282">
            <w:pPr>
              <w:pStyle w:val="P68B1DB1-Normal12"/>
              <w:spacing w:after="0" w:line="240" w:lineRule="auto"/>
              <w:rPr>
                <w:rFonts w:eastAsia="Times New Roman"/>
                <w:noProof/>
              </w:rPr>
            </w:pPr>
            <w:r>
              <w:rPr>
                <w:noProof/>
              </w:rPr>
              <w:t>2 - 1.2. Rénovation - 16872_Rénovation énergétique des bâtiments résidentiels</w:t>
            </w:r>
          </w:p>
        </w:tc>
        <w:tc>
          <w:tcPr>
            <w:tcW w:w="1114" w:type="dxa"/>
            <w:tcBorders>
              <w:top w:val="single" w:sz="4" w:space="0" w:color="auto"/>
              <w:left w:val="single" w:sz="4" w:space="0" w:color="auto"/>
              <w:bottom w:val="single" w:sz="4" w:space="0" w:color="auto"/>
              <w:right w:val="single" w:sz="4" w:space="0" w:color="auto"/>
            </w:tcBorders>
            <w:shd w:val="clear" w:color="auto" w:fill="C6EFCE"/>
            <w:noWrap/>
            <w:hideMark/>
          </w:tcPr>
          <w:p w14:paraId="43700474" w14:textId="77777777" w:rsidR="00A00259" w:rsidRDefault="00371282">
            <w:pPr>
              <w:pStyle w:val="P68B1DB1-Normal12"/>
              <w:spacing w:after="0" w:line="240" w:lineRule="auto"/>
              <w:rPr>
                <w:rFonts w:eastAsia="Times New Roman"/>
                <w:noProof/>
              </w:rPr>
            </w:pPr>
            <w:r>
              <w:rPr>
                <w:noProof/>
              </w:rPr>
              <w:t>Étape</w:t>
            </w:r>
          </w:p>
        </w:tc>
        <w:tc>
          <w:tcPr>
            <w:tcW w:w="1056" w:type="dxa"/>
            <w:tcBorders>
              <w:top w:val="single" w:sz="4" w:space="0" w:color="auto"/>
              <w:left w:val="single" w:sz="4" w:space="0" w:color="auto"/>
              <w:bottom w:val="single" w:sz="4" w:space="0" w:color="auto"/>
              <w:right w:val="single" w:sz="4" w:space="0" w:color="auto"/>
            </w:tcBorders>
            <w:shd w:val="clear" w:color="auto" w:fill="C6EFCE"/>
            <w:noWrap/>
            <w:hideMark/>
          </w:tcPr>
          <w:p w14:paraId="3B67A0C5" w14:textId="77777777" w:rsidR="00A00259" w:rsidRDefault="00371282">
            <w:pPr>
              <w:pStyle w:val="P68B1DB1-Normal12"/>
              <w:spacing w:after="0" w:line="240" w:lineRule="auto"/>
              <w:rPr>
                <w:rFonts w:eastAsia="Times New Roman"/>
                <w:noProof/>
              </w:rPr>
            </w:pPr>
            <w:r>
              <w:rPr>
                <w:noProof/>
              </w:rPr>
              <w:t>Rénovation résidentielle – 1er cycle de lancement</w:t>
            </w:r>
          </w:p>
        </w:tc>
        <w:tc>
          <w:tcPr>
            <w:tcW w:w="2311" w:type="dxa"/>
            <w:tcBorders>
              <w:top w:val="single" w:sz="4" w:space="0" w:color="auto"/>
              <w:left w:val="single" w:sz="4" w:space="0" w:color="auto"/>
              <w:bottom w:val="single" w:sz="4" w:space="0" w:color="auto"/>
              <w:right w:val="single" w:sz="4" w:space="0" w:color="auto"/>
            </w:tcBorders>
            <w:shd w:val="clear" w:color="auto" w:fill="C6EFCE"/>
            <w:noWrap/>
            <w:hideMark/>
          </w:tcPr>
          <w:p w14:paraId="118F7C1D" w14:textId="77777777" w:rsidR="00A00259" w:rsidRDefault="00371282">
            <w:pPr>
              <w:pStyle w:val="P68B1DB1-Normal12"/>
              <w:spacing w:after="0" w:line="240" w:lineRule="auto"/>
              <w:rPr>
                <w:rFonts w:eastAsia="Times New Roman"/>
                <w:noProof/>
              </w:rPr>
            </w:pPr>
            <w:r>
              <w:rPr>
                <w:noProof/>
              </w:rPr>
              <w:t xml:space="preserve">Entrée en vigueur d'une décision ministérielle conjointe </w:t>
            </w:r>
          </w:p>
        </w:tc>
        <w:tc>
          <w:tcPr>
            <w:tcW w:w="1192" w:type="dxa"/>
            <w:tcBorders>
              <w:top w:val="single" w:sz="4" w:space="0" w:color="auto"/>
              <w:left w:val="single" w:sz="4" w:space="0" w:color="auto"/>
              <w:bottom w:val="single" w:sz="4" w:space="0" w:color="auto"/>
              <w:right w:val="single" w:sz="4" w:space="0" w:color="auto"/>
            </w:tcBorders>
            <w:shd w:val="clear" w:color="auto" w:fill="C6EFCE"/>
            <w:noWrap/>
            <w:hideMark/>
          </w:tcPr>
          <w:p w14:paraId="4899102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9" w:type="dxa"/>
            <w:tcBorders>
              <w:top w:val="single" w:sz="4" w:space="0" w:color="auto"/>
              <w:left w:val="single" w:sz="4" w:space="0" w:color="auto"/>
              <w:bottom w:val="single" w:sz="4" w:space="0" w:color="auto"/>
              <w:right w:val="single" w:sz="4" w:space="0" w:color="auto"/>
            </w:tcBorders>
            <w:shd w:val="clear" w:color="auto" w:fill="C6EFCE"/>
            <w:noWrap/>
            <w:hideMark/>
          </w:tcPr>
          <w:p w14:paraId="330D2A5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20" w:type="dxa"/>
            <w:tcBorders>
              <w:top w:val="single" w:sz="4" w:space="0" w:color="auto"/>
              <w:left w:val="single" w:sz="4" w:space="0" w:color="auto"/>
              <w:bottom w:val="single" w:sz="4" w:space="0" w:color="auto"/>
              <w:right w:val="single" w:sz="4" w:space="0" w:color="auto"/>
            </w:tcBorders>
            <w:shd w:val="clear" w:color="auto" w:fill="C6EFCE"/>
            <w:noWrap/>
            <w:hideMark/>
          </w:tcPr>
          <w:p w14:paraId="1B1E2FB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019265E" w14:textId="77777777" w:rsidR="00A00259" w:rsidRDefault="00371282">
            <w:pPr>
              <w:pStyle w:val="P68B1DB1-Normal12"/>
              <w:spacing w:after="0" w:line="240" w:lineRule="auto"/>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0FE1C868" w14:textId="77777777" w:rsidR="00A00259" w:rsidRDefault="00371282">
            <w:pPr>
              <w:pStyle w:val="P68B1DB1-Normal12"/>
              <w:spacing w:after="0" w:line="240" w:lineRule="auto"/>
              <w:rPr>
                <w:rFonts w:eastAsia="Times New Roman"/>
                <w:noProof/>
              </w:rPr>
            </w:pPr>
            <w:r>
              <w:rPr>
                <w:noProof/>
              </w:rPr>
              <w:t>2020</w:t>
            </w:r>
          </w:p>
        </w:tc>
        <w:tc>
          <w:tcPr>
            <w:tcW w:w="3997" w:type="dxa"/>
            <w:tcBorders>
              <w:top w:val="single" w:sz="4" w:space="0" w:color="auto"/>
              <w:left w:val="single" w:sz="4" w:space="0" w:color="auto"/>
              <w:bottom w:val="single" w:sz="4" w:space="0" w:color="auto"/>
              <w:right w:val="single" w:sz="4" w:space="0" w:color="auto"/>
            </w:tcBorders>
            <w:shd w:val="clear" w:color="auto" w:fill="C6EFCE"/>
            <w:noWrap/>
            <w:hideMark/>
          </w:tcPr>
          <w:p w14:paraId="63D1F2C1" w14:textId="77777777" w:rsidR="00A00259" w:rsidRDefault="00371282">
            <w:pPr>
              <w:pStyle w:val="P68B1DB1-Normal12"/>
              <w:spacing w:after="0" w:line="240" w:lineRule="auto"/>
              <w:rPr>
                <w:rFonts w:eastAsia="Times New Roman"/>
                <w:noProof/>
              </w:rPr>
            </w:pPr>
            <w:r>
              <w:rPr>
                <w:noProof/>
              </w:rPr>
              <w:t xml:space="preserve">Entrée en vigueur d’une décision ministérielle conjointe visant à lancer le programme de rénovations du premier cycle, y compris la mise en place d’un processus de sélection visant à garantir que la consommation d’énergie primaire des résidences est réduite d’au moins 30 % par rapport aux performances initiales de la résidence calculées en kWh/m2. </w:t>
            </w:r>
          </w:p>
          <w:p w14:paraId="085AC011" w14:textId="77777777" w:rsidR="00A00259" w:rsidRDefault="00A00259">
            <w:pPr>
              <w:spacing w:after="0" w:line="240" w:lineRule="auto"/>
              <w:rPr>
                <w:rFonts w:ascii="Times New Roman" w:eastAsia="Times New Roman" w:hAnsi="Times New Roman" w:cs="Times New Roman"/>
                <w:noProof/>
                <w:color w:val="006100"/>
                <w:sz w:val="18"/>
                <w:szCs w:val="18"/>
              </w:rPr>
            </w:pPr>
          </w:p>
          <w:p w14:paraId="1C86F983" w14:textId="77777777" w:rsidR="00A00259" w:rsidRDefault="00371282">
            <w:pPr>
              <w:pStyle w:val="P68B1DB1-Normal12"/>
              <w:spacing w:after="0" w:line="240" w:lineRule="auto"/>
              <w:rPr>
                <w:rFonts w:eastAsia="Times New Roman"/>
                <w:noProof/>
              </w:rPr>
            </w:pPr>
            <w:r>
              <w:rPr>
                <w:noProof/>
              </w:rPr>
              <w:t>La décision ministérielle conjointe énonce:</w:t>
            </w:r>
          </w:p>
          <w:p w14:paraId="011EC5F3" w14:textId="77777777" w:rsidR="00A00259" w:rsidRDefault="00371282">
            <w:pPr>
              <w:pStyle w:val="P68B1DB1-Normal12"/>
              <w:spacing w:after="0" w:line="240" w:lineRule="auto"/>
              <w:rPr>
                <w:rFonts w:eastAsia="Times New Roman"/>
                <w:noProof/>
              </w:rPr>
            </w:pPr>
            <w:r>
              <w:rPr>
                <w:noProof/>
              </w:rPr>
              <w:t>- Mécanisme de mise en œuvre;</w:t>
            </w:r>
          </w:p>
          <w:p w14:paraId="149CA6F7" w14:textId="77777777" w:rsidR="00A00259" w:rsidRDefault="00371282">
            <w:pPr>
              <w:pStyle w:val="P68B1DB1-Normal12"/>
              <w:spacing w:after="0" w:line="240" w:lineRule="auto"/>
              <w:rPr>
                <w:rFonts w:eastAsia="Times New Roman"/>
                <w:noProof/>
              </w:rPr>
            </w:pPr>
            <w:r>
              <w:rPr>
                <w:noProof/>
              </w:rPr>
              <w:t>- Processus de sélection pour atteindre l'objectif fixé en matière d'économies d'énergie primaire;</w:t>
            </w:r>
          </w:p>
          <w:p w14:paraId="58BE013C" w14:textId="77777777" w:rsidR="00A00259" w:rsidRDefault="00371282">
            <w:pPr>
              <w:pStyle w:val="P68B1DB1-Normal12"/>
              <w:spacing w:after="0" w:line="240" w:lineRule="auto"/>
              <w:rPr>
                <w:rFonts w:eastAsia="Times New Roman"/>
                <w:noProof/>
              </w:rPr>
            </w:pPr>
            <w:r>
              <w:rPr>
                <w:noProof/>
              </w:rPr>
              <w:t>- mécanisme de certification permettant de valider les économies d’énergie primaire réelles réalisées (y compris les détails des mesures correctives possibles pour garantir la réalisation de l’objectif d’économies d’énergie primaire); et</w:t>
            </w:r>
          </w:p>
          <w:p w14:paraId="0C424649" w14:textId="77777777" w:rsidR="00A00259" w:rsidRDefault="00371282">
            <w:pPr>
              <w:pStyle w:val="P68B1DB1-Normal12"/>
              <w:spacing w:after="0" w:line="240" w:lineRule="auto"/>
              <w:rPr>
                <w:rFonts w:eastAsia="Times New Roman"/>
                <w:noProof/>
              </w:rPr>
            </w:pPr>
            <w:r>
              <w:rPr>
                <w:noProof/>
              </w:rPr>
              <w:t>- Chronologie.</w:t>
            </w:r>
          </w:p>
        </w:tc>
      </w:tr>
      <w:tr w:rsidR="00A00259" w14:paraId="392411FE" w14:textId="77777777">
        <w:trPr>
          <w:trHeight w:val="309"/>
        </w:trPr>
        <w:tc>
          <w:tcPr>
            <w:tcW w:w="562" w:type="dxa"/>
            <w:shd w:val="clear" w:color="auto" w:fill="C6EFCE"/>
            <w:noWrap/>
            <w:hideMark/>
          </w:tcPr>
          <w:p w14:paraId="3D11110B" w14:textId="77777777" w:rsidR="00A00259" w:rsidRDefault="00371282">
            <w:pPr>
              <w:pStyle w:val="P68B1DB1-Normal12"/>
              <w:spacing w:after="0" w:line="240" w:lineRule="auto"/>
              <w:rPr>
                <w:rFonts w:eastAsia="Times New Roman"/>
                <w:noProof/>
              </w:rPr>
            </w:pPr>
            <w:r>
              <w:rPr>
                <w:noProof/>
              </w:rPr>
              <w:t>21</w:t>
            </w:r>
          </w:p>
        </w:tc>
        <w:tc>
          <w:tcPr>
            <w:tcW w:w="1593" w:type="dxa"/>
            <w:shd w:val="clear" w:color="auto" w:fill="C6EFCE"/>
            <w:noWrap/>
            <w:hideMark/>
          </w:tcPr>
          <w:p w14:paraId="52C7977B" w14:textId="77777777" w:rsidR="00A00259" w:rsidRDefault="00371282">
            <w:pPr>
              <w:pStyle w:val="P68B1DB1-Normal12"/>
              <w:spacing w:after="0" w:line="240" w:lineRule="auto"/>
              <w:rPr>
                <w:rFonts w:eastAsia="Times New Roman"/>
                <w:noProof/>
              </w:rPr>
            </w:pPr>
            <w:r>
              <w:rPr>
                <w:noProof/>
              </w:rPr>
              <w:t>2 - 1.2. Rénovation - 16872_Rénovation énergétique des bâtiments résidentiels</w:t>
            </w:r>
          </w:p>
        </w:tc>
        <w:tc>
          <w:tcPr>
            <w:tcW w:w="1114" w:type="dxa"/>
            <w:shd w:val="clear" w:color="auto" w:fill="C6EFCE"/>
            <w:noWrap/>
          </w:tcPr>
          <w:p w14:paraId="4E0B2445" w14:textId="77777777" w:rsidR="00A00259" w:rsidRDefault="00371282">
            <w:pPr>
              <w:pStyle w:val="P68B1DB1-Normal12"/>
              <w:spacing w:after="0" w:line="240" w:lineRule="auto"/>
              <w:rPr>
                <w:rFonts w:eastAsia="Times New Roman"/>
                <w:noProof/>
              </w:rPr>
            </w:pPr>
            <w:r>
              <w:rPr>
                <w:noProof/>
              </w:rPr>
              <w:t>Étape</w:t>
            </w:r>
          </w:p>
        </w:tc>
        <w:tc>
          <w:tcPr>
            <w:tcW w:w="1056" w:type="dxa"/>
            <w:shd w:val="clear" w:color="auto" w:fill="C6EFCE"/>
            <w:noWrap/>
          </w:tcPr>
          <w:p w14:paraId="1C7B5C10" w14:textId="77777777" w:rsidR="00A00259" w:rsidRDefault="00371282">
            <w:pPr>
              <w:pStyle w:val="P68B1DB1-Normal12"/>
              <w:spacing w:after="0" w:line="240" w:lineRule="auto"/>
              <w:rPr>
                <w:rFonts w:eastAsia="Times New Roman"/>
                <w:noProof/>
              </w:rPr>
            </w:pPr>
            <w:r>
              <w:rPr>
                <w:noProof/>
              </w:rPr>
              <w:t>Rénovation résidentielle – 2e</w:t>
            </w:r>
            <w:r>
              <w:rPr>
                <w:noProof/>
                <w:vertAlign w:val="superscript"/>
              </w:rPr>
              <w:t xml:space="preserve"> cycle</w:t>
            </w:r>
            <w:r>
              <w:rPr>
                <w:noProof/>
              </w:rPr>
              <w:t xml:space="preserve"> de lancement, y compris les ménages en situation de précarité énergétique</w:t>
            </w:r>
          </w:p>
        </w:tc>
        <w:tc>
          <w:tcPr>
            <w:tcW w:w="2311" w:type="dxa"/>
            <w:shd w:val="clear" w:color="auto" w:fill="C6EFCE"/>
            <w:noWrap/>
          </w:tcPr>
          <w:p w14:paraId="438781FE" w14:textId="77777777" w:rsidR="00A00259" w:rsidRDefault="00371282">
            <w:pPr>
              <w:pStyle w:val="P68B1DB1-Normal12"/>
              <w:spacing w:after="0" w:line="240" w:lineRule="auto"/>
              <w:rPr>
                <w:rFonts w:eastAsia="Times New Roman"/>
                <w:noProof/>
              </w:rPr>
            </w:pPr>
            <w:r>
              <w:rPr>
                <w:noProof/>
              </w:rPr>
              <w:t xml:space="preserve">Entrée en vigueur d'une décision ministérielle conjointe </w:t>
            </w:r>
          </w:p>
        </w:tc>
        <w:tc>
          <w:tcPr>
            <w:tcW w:w="1192" w:type="dxa"/>
            <w:shd w:val="clear" w:color="auto" w:fill="C6EFCE"/>
            <w:noWrap/>
          </w:tcPr>
          <w:p w14:paraId="4092BF3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9" w:type="dxa"/>
            <w:shd w:val="clear" w:color="auto" w:fill="C6EFCE"/>
            <w:noWrap/>
          </w:tcPr>
          <w:p w14:paraId="58BFA2C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20" w:type="dxa"/>
            <w:shd w:val="clear" w:color="auto" w:fill="C6EFCE"/>
            <w:noWrap/>
          </w:tcPr>
          <w:p w14:paraId="4AD4DD2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6333E1E0" w14:textId="77777777" w:rsidR="00A00259" w:rsidRDefault="00371282">
            <w:pPr>
              <w:pStyle w:val="P68B1DB1-Normal12"/>
              <w:spacing w:after="0" w:line="240" w:lineRule="auto"/>
              <w:rPr>
                <w:rFonts w:eastAsia="Times New Roman"/>
                <w:noProof/>
              </w:rPr>
            </w:pPr>
            <w:r>
              <w:rPr>
                <w:noProof/>
              </w:rPr>
              <w:t>T3</w:t>
            </w:r>
          </w:p>
        </w:tc>
        <w:tc>
          <w:tcPr>
            <w:tcW w:w="709" w:type="dxa"/>
            <w:shd w:val="clear" w:color="auto" w:fill="C6EFCE"/>
            <w:noWrap/>
          </w:tcPr>
          <w:p w14:paraId="586D32A1" w14:textId="77777777" w:rsidR="00A00259" w:rsidRDefault="00371282">
            <w:pPr>
              <w:pStyle w:val="P68B1DB1-Normal12"/>
              <w:spacing w:after="0" w:line="240" w:lineRule="auto"/>
              <w:rPr>
                <w:rFonts w:eastAsia="Times New Roman"/>
                <w:noProof/>
              </w:rPr>
            </w:pPr>
            <w:r>
              <w:rPr>
                <w:noProof/>
              </w:rPr>
              <w:t>2022</w:t>
            </w:r>
          </w:p>
        </w:tc>
        <w:tc>
          <w:tcPr>
            <w:tcW w:w="3997" w:type="dxa"/>
            <w:shd w:val="clear" w:color="auto" w:fill="C6EFCE"/>
            <w:noWrap/>
          </w:tcPr>
          <w:p w14:paraId="703C25AC" w14:textId="77777777" w:rsidR="00A00259" w:rsidRDefault="00371282">
            <w:pPr>
              <w:pStyle w:val="P68B1DB1-Normal12"/>
              <w:spacing w:after="0" w:line="240" w:lineRule="auto"/>
              <w:rPr>
                <w:rFonts w:eastAsia="Times New Roman"/>
                <w:noProof/>
              </w:rPr>
            </w:pPr>
            <w:r>
              <w:rPr>
                <w:noProof/>
              </w:rPr>
              <w:t>Entrée en vigueur d’une décision ministérielle conjointe visant à lancer le programme de rénovation du deuxième cycle et le lancement du programme en faveur des résidences en situation de précarité énergétique, y compris la mise en place d’un processus de sélection visant à garantir que la consommation d’énergie primaire des résidences est réduite d’au moins 30 % par rapport aux performances initiales de la résidence calculées en kWh/m</w:t>
            </w:r>
            <w:r>
              <w:rPr>
                <w:noProof/>
                <w:vertAlign w:val="superscript"/>
              </w:rPr>
              <w:t xml:space="preserve"> 2.</w:t>
            </w:r>
            <w:r>
              <w:rPr>
                <w:noProof/>
              </w:rPr>
              <w:t xml:space="preserve"> </w:t>
            </w:r>
          </w:p>
          <w:p w14:paraId="4E7E39DC" w14:textId="77777777" w:rsidR="00A00259" w:rsidRDefault="00A00259">
            <w:pPr>
              <w:spacing w:after="0" w:line="240" w:lineRule="auto"/>
              <w:rPr>
                <w:rFonts w:ascii="Times New Roman" w:eastAsia="Times New Roman" w:hAnsi="Times New Roman" w:cs="Times New Roman"/>
                <w:noProof/>
                <w:color w:val="006100"/>
                <w:sz w:val="18"/>
                <w:szCs w:val="18"/>
              </w:rPr>
            </w:pPr>
          </w:p>
          <w:p w14:paraId="5B7E88DC" w14:textId="77777777" w:rsidR="00A00259" w:rsidRDefault="00371282">
            <w:pPr>
              <w:pStyle w:val="P68B1DB1-Normal12"/>
              <w:spacing w:after="0" w:line="240" w:lineRule="auto"/>
              <w:rPr>
                <w:rFonts w:eastAsia="Times New Roman"/>
                <w:noProof/>
              </w:rPr>
            </w:pPr>
            <w:r>
              <w:rPr>
                <w:noProof/>
              </w:rPr>
              <w:t>La décision ministérielle conjointe énonce:</w:t>
            </w:r>
          </w:p>
          <w:p w14:paraId="205534E5" w14:textId="77777777" w:rsidR="00A00259" w:rsidRDefault="00371282">
            <w:pPr>
              <w:pStyle w:val="P68B1DB1-Normal12"/>
              <w:spacing w:after="0" w:line="240" w:lineRule="auto"/>
              <w:rPr>
                <w:rFonts w:eastAsia="Times New Roman"/>
                <w:noProof/>
              </w:rPr>
            </w:pPr>
            <w:r>
              <w:rPr>
                <w:noProof/>
              </w:rPr>
              <w:t>- Mécanisme de mise en œuvre;</w:t>
            </w:r>
          </w:p>
          <w:p w14:paraId="7FDAE7EA" w14:textId="77777777" w:rsidR="00A00259" w:rsidRDefault="00371282">
            <w:pPr>
              <w:pStyle w:val="P68B1DB1-Normal12"/>
              <w:spacing w:after="0" w:line="240" w:lineRule="auto"/>
              <w:rPr>
                <w:rFonts w:eastAsia="Times New Roman"/>
                <w:noProof/>
              </w:rPr>
            </w:pPr>
            <w:r>
              <w:rPr>
                <w:noProof/>
              </w:rPr>
              <w:t>- Processus de sélection pour atteindre l'objectif fixé en matière d'économies d'énergie primaire;</w:t>
            </w:r>
          </w:p>
          <w:p w14:paraId="0BFFFB17" w14:textId="77777777" w:rsidR="00A00259" w:rsidRDefault="00371282">
            <w:pPr>
              <w:pStyle w:val="P68B1DB1-Normal12"/>
              <w:spacing w:after="0" w:line="240" w:lineRule="auto"/>
              <w:rPr>
                <w:rFonts w:eastAsia="Times New Roman"/>
                <w:noProof/>
              </w:rPr>
            </w:pPr>
            <w:r>
              <w:rPr>
                <w:noProof/>
              </w:rPr>
              <w:t>- dispositions relatives aux résidences en situation de précarité énergétique, conformément aux critères énoncés dans le plan d’action sur la précarité énergétique adopté Mécanisme de certification permettant de valider les économies d’énergie primaire réelles réalisées (y compris des précisions sur les éventuelles mesures correctives visant à garantir la réalisation de l’objectif d’économies d’énergie primaire); et</w:t>
            </w:r>
          </w:p>
          <w:p w14:paraId="7650573A" w14:textId="77777777" w:rsidR="00A00259" w:rsidRDefault="00371282">
            <w:pPr>
              <w:pStyle w:val="P68B1DB1-Normal12"/>
              <w:spacing w:after="0" w:line="240" w:lineRule="auto"/>
              <w:rPr>
                <w:rFonts w:eastAsia="Times New Roman"/>
                <w:noProof/>
              </w:rPr>
            </w:pPr>
            <w:r>
              <w:rPr>
                <w:noProof/>
              </w:rPr>
              <w:t>- Chronologie.</w:t>
            </w:r>
          </w:p>
          <w:p w14:paraId="032F3CEB" w14:textId="77777777" w:rsidR="00A00259" w:rsidRDefault="00A00259">
            <w:pPr>
              <w:spacing w:after="0" w:line="240" w:lineRule="auto"/>
              <w:rPr>
                <w:rFonts w:ascii="Times New Roman" w:eastAsia="Times New Roman" w:hAnsi="Times New Roman" w:cs="Times New Roman"/>
                <w:noProof/>
                <w:color w:val="006100"/>
                <w:sz w:val="18"/>
                <w:szCs w:val="18"/>
              </w:rPr>
            </w:pPr>
          </w:p>
          <w:p w14:paraId="4640A5C3" w14:textId="77777777" w:rsidR="00A00259" w:rsidRDefault="00371282">
            <w:pPr>
              <w:pStyle w:val="P68B1DB1-Normal12"/>
              <w:spacing w:after="0" w:line="240" w:lineRule="auto"/>
              <w:rPr>
                <w:rFonts w:eastAsia="Times New Roman"/>
                <w:noProof/>
              </w:rPr>
            </w:pPr>
            <w:r>
              <w:rPr>
                <w:noProof/>
              </w:rPr>
              <w:t xml:space="preserve">Disposition spécifique pour les fonds destinés à cibler les résidences en situation de précarité énergétique, telles que définies par les critères du plan d’action en matière de précarité énergétique. </w:t>
            </w:r>
          </w:p>
        </w:tc>
      </w:tr>
      <w:tr w:rsidR="00A00259" w14:paraId="09F131DF" w14:textId="77777777">
        <w:trPr>
          <w:trHeight w:val="309"/>
        </w:trPr>
        <w:tc>
          <w:tcPr>
            <w:tcW w:w="562" w:type="dxa"/>
            <w:shd w:val="clear" w:color="auto" w:fill="C6EFCE"/>
            <w:noWrap/>
            <w:hideMark/>
          </w:tcPr>
          <w:p w14:paraId="37D31A2F" w14:textId="77777777" w:rsidR="00A00259" w:rsidRDefault="00371282">
            <w:pPr>
              <w:pStyle w:val="P68B1DB1-Normal12"/>
              <w:spacing w:after="0" w:line="240" w:lineRule="auto"/>
              <w:rPr>
                <w:rFonts w:eastAsia="Times New Roman"/>
                <w:noProof/>
              </w:rPr>
            </w:pPr>
            <w:r>
              <w:rPr>
                <w:noProof/>
              </w:rPr>
              <w:t>22</w:t>
            </w:r>
          </w:p>
        </w:tc>
        <w:tc>
          <w:tcPr>
            <w:tcW w:w="1593" w:type="dxa"/>
            <w:shd w:val="clear" w:color="auto" w:fill="C6EFCE"/>
            <w:noWrap/>
            <w:hideMark/>
          </w:tcPr>
          <w:p w14:paraId="38A05FE8" w14:textId="77777777" w:rsidR="00A00259" w:rsidRDefault="00371282">
            <w:pPr>
              <w:pStyle w:val="P68B1DB1-Normal12"/>
              <w:spacing w:after="0" w:line="240" w:lineRule="auto"/>
              <w:rPr>
                <w:rFonts w:eastAsia="Times New Roman"/>
                <w:noProof/>
              </w:rPr>
            </w:pPr>
            <w:r>
              <w:rPr>
                <w:noProof/>
              </w:rPr>
              <w:t>2 - 1.2. Rénovation - 16872_Rénovation énergétique des bâtiments résidentiels</w:t>
            </w:r>
          </w:p>
        </w:tc>
        <w:tc>
          <w:tcPr>
            <w:tcW w:w="1114" w:type="dxa"/>
            <w:shd w:val="clear" w:color="auto" w:fill="C6EFCE"/>
            <w:noWrap/>
            <w:hideMark/>
          </w:tcPr>
          <w:p w14:paraId="7B8C1128" w14:textId="77777777" w:rsidR="00A00259" w:rsidRDefault="00371282">
            <w:pPr>
              <w:pStyle w:val="P68B1DB1-Normal12"/>
              <w:spacing w:after="0" w:line="240" w:lineRule="auto"/>
              <w:rPr>
                <w:rFonts w:eastAsia="Times New Roman"/>
                <w:noProof/>
              </w:rPr>
            </w:pPr>
            <w:r>
              <w:rPr>
                <w:noProof/>
              </w:rPr>
              <w:t>Étape</w:t>
            </w:r>
          </w:p>
        </w:tc>
        <w:tc>
          <w:tcPr>
            <w:tcW w:w="1056" w:type="dxa"/>
            <w:shd w:val="clear" w:color="auto" w:fill="C6EFCE"/>
            <w:noWrap/>
            <w:hideMark/>
          </w:tcPr>
          <w:p w14:paraId="477B2F7B" w14:textId="77777777" w:rsidR="00A00259" w:rsidRDefault="00371282">
            <w:pPr>
              <w:pStyle w:val="P68B1DB1-Normal12"/>
              <w:spacing w:after="0" w:line="240" w:lineRule="auto"/>
              <w:rPr>
                <w:noProof/>
              </w:rPr>
            </w:pPr>
            <w:r>
              <w:rPr>
                <w:noProof/>
              </w:rPr>
              <w:t>Rénovation résidentielle – lancement du 3e cycle incluant les ménages en situation de précarité énergétique</w:t>
            </w:r>
          </w:p>
        </w:tc>
        <w:tc>
          <w:tcPr>
            <w:tcW w:w="2311" w:type="dxa"/>
            <w:shd w:val="clear" w:color="auto" w:fill="C6EFCE"/>
            <w:noWrap/>
            <w:hideMark/>
          </w:tcPr>
          <w:p w14:paraId="5BD95693" w14:textId="77777777" w:rsidR="00A00259" w:rsidRDefault="00371282">
            <w:pPr>
              <w:pStyle w:val="P68B1DB1-Normal12"/>
              <w:spacing w:after="0" w:line="240" w:lineRule="auto"/>
              <w:rPr>
                <w:rFonts w:eastAsia="Times New Roman"/>
                <w:noProof/>
              </w:rPr>
            </w:pPr>
            <w:r>
              <w:rPr>
                <w:noProof/>
              </w:rPr>
              <w:t>Entrée en vigueur d'une décision ministérielle conjointe</w:t>
            </w:r>
          </w:p>
        </w:tc>
        <w:tc>
          <w:tcPr>
            <w:tcW w:w="1192" w:type="dxa"/>
            <w:shd w:val="clear" w:color="auto" w:fill="C6EFCE"/>
            <w:noWrap/>
            <w:hideMark/>
          </w:tcPr>
          <w:p w14:paraId="3BDB3DE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9" w:type="dxa"/>
            <w:shd w:val="clear" w:color="auto" w:fill="C6EFCE"/>
            <w:noWrap/>
            <w:hideMark/>
          </w:tcPr>
          <w:p w14:paraId="64E20A4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20" w:type="dxa"/>
            <w:shd w:val="clear" w:color="auto" w:fill="C6EFCE"/>
            <w:noWrap/>
            <w:hideMark/>
          </w:tcPr>
          <w:p w14:paraId="4EB207D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hideMark/>
          </w:tcPr>
          <w:p w14:paraId="1EE36ABF"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hideMark/>
          </w:tcPr>
          <w:p w14:paraId="1582D83D" w14:textId="77777777" w:rsidR="00A00259" w:rsidRDefault="00371282">
            <w:pPr>
              <w:pStyle w:val="P68B1DB1-Normal12"/>
              <w:spacing w:after="0" w:line="240" w:lineRule="auto"/>
              <w:rPr>
                <w:rFonts w:eastAsia="Times New Roman"/>
                <w:noProof/>
              </w:rPr>
            </w:pPr>
            <w:r>
              <w:rPr>
                <w:noProof/>
              </w:rPr>
              <w:t>2022</w:t>
            </w:r>
          </w:p>
        </w:tc>
        <w:tc>
          <w:tcPr>
            <w:tcW w:w="3997" w:type="dxa"/>
            <w:shd w:val="clear" w:color="auto" w:fill="C6EFCE"/>
            <w:noWrap/>
            <w:hideMark/>
          </w:tcPr>
          <w:p w14:paraId="57AE4E23" w14:textId="77777777" w:rsidR="00A00259" w:rsidRDefault="00371282">
            <w:pPr>
              <w:pStyle w:val="P68B1DB1-Normal12"/>
              <w:spacing w:after="0" w:line="240" w:lineRule="auto"/>
              <w:rPr>
                <w:rFonts w:eastAsia="Times New Roman"/>
                <w:noProof/>
              </w:rPr>
            </w:pPr>
            <w:r>
              <w:rPr>
                <w:noProof/>
              </w:rPr>
              <w:t>Entrée en vigueur d’une décision ministérielle conjointe visant à lancer le programme de rénovations du troisième cycle, y compris la mise en place d’un processus de sélection visant à garantir que la consommation d’énergie primaire des résidences est réduite d’au moins 30 % par rapport aux performances initiales de la résidence calculées en kWh/m</w:t>
            </w:r>
            <w:r>
              <w:rPr>
                <w:noProof/>
                <w:vertAlign w:val="superscript"/>
              </w:rPr>
              <w:t xml:space="preserve"> 2.</w:t>
            </w:r>
          </w:p>
          <w:p w14:paraId="54F87479" w14:textId="77777777" w:rsidR="00A00259" w:rsidRDefault="00A00259">
            <w:pPr>
              <w:spacing w:after="0" w:line="240" w:lineRule="auto"/>
              <w:rPr>
                <w:rFonts w:ascii="Times New Roman" w:eastAsia="Times New Roman" w:hAnsi="Times New Roman" w:cs="Times New Roman"/>
                <w:noProof/>
                <w:color w:val="006100"/>
                <w:sz w:val="18"/>
                <w:szCs w:val="18"/>
              </w:rPr>
            </w:pPr>
          </w:p>
          <w:p w14:paraId="5A99250A" w14:textId="77777777" w:rsidR="00A00259" w:rsidRDefault="00371282">
            <w:pPr>
              <w:pStyle w:val="P68B1DB1-Normal12"/>
              <w:spacing w:after="0" w:line="240" w:lineRule="auto"/>
              <w:rPr>
                <w:rFonts w:eastAsia="Times New Roman"/>
                <w:noProof/>
              </w:rPr>
            </w:pPr>
            <w:r>
              <w:rPr>
                <w:noProof/>
              </w:rPr>
              <w:t>La décision ministérielle conjointe énonce:</w:t>
            </w:r>
          </w:p>
          <w:p w14:paraId="402EDDBB" w14:textId="77777777" w:rsidR="00A00259" w:rsidRDefault="00371282">
            <w:pPr>
              <w:pStyle w:val="P68B1DB1-Normal12"/>
              <w:spacing w:after="0" w:line="240" w:lineRule="auto"/>
              <w:rPr>
                <w:rFonts w:eastAsia="Times New Roman"/>
                <w:noProof/>
              </w:rPr>
            </w:pPr>
            <w:r>
              <w:rPr>
                <w:noProof/>
              </w:rPr>
              <w:t>- Mécanisme de mise en œuvre;</w:t>
            </w:r>
          </w:p>
          <w:p w14:paraId="60FD1464" w14:textId="77777777" w:rsidR="00A00259" w:rsidRDefault="00371282">
            <w:pPr>
              <w:pStyle w:val="P68B1DB1-Normal12"/>
              <w:spacing w:after="0" w:line="240" w:lineRule="auto"/>
              <w:rPr>
                <w:rFonts w:eastAsia="Times New Roman"/>
                <w:noProof/>
              </w:rPr>
            </w:pPr>
            <w:r>
              <w:rPr>
                <w:noProof/>
              </w:rPr>
              <w:t xml:space="preserve">- Processus de sélection pour atteindre l'objectif fixé en matière d'économies d'énergie primaire; </w:t>
            </w:r>
          </w:p>
          <w:p w14:paraId="680428C7" w14:textId="77777777" w:rsidR="00A00259" w:rsidRDefault="00371282">
            <w:pPr>
              <w:pStyle w:val="P68B1DB1-Normal12"/>
              <w:spacing w:after="0" w:line="240" w:lineRule="auto"/>
              <w:rPr>
                <w:rFonts w:eastAsia="Times New Roman"/>
                <w:noProof/>
              </w:rPr>
            </w:pPr>
            <w:r>
              <w:rPr>
                <w:noProof/>
              </w:rPr>
              <w:t>- des dispositions pour les résidences en situation de précarité énergétique, conformément aux critères énoncés dans le plan d’action sur la précarité énergétique adopté;</w:t>
            </w:r>
          </w:p>
          <w:p w14:paraId="029D3C14" w14:textId="77777777" w:rsidR="00A00259" w:rsidRDefault="00371282">
            <w:pPr>
              <w:pStyle w:val="P68B1DB1-Normal12"/>
              <w:spacing w:after="0" w:line="240" w:lineRule="auto"/>
              <w:rPr>
                <w:rFonts w:eastAsia="Times New Roman"/>
                <w:noProof/>
              </w:rPr>
            </w:pPr>
            <w:r>
              <w:rPr>
                <w:noProof/>
              </w:rPr>
              <w:t>- mécanisme de certification permettant de valider les économies d’énergie primaire réelles réalisées (y compris les détails des mesures correctives possibles pour garantir la réalisation de l’objectif d’économies d’énergie primaire); et</w:t>
            </w:r>
          </w:p>
          <w:p w14:paraId="65168050" w14:textId="77777777" w:rsidR="00A00259" w:rsidRDefault="00371282">
            <w:pPr>
              <w:pStyle w:val="P68B1DB1-Normal12"/>
              <w:spacing w:after="0" w:line="240" w:lineRule="auto"/>
              <w:rPr>
                <w:rFonts w:eastAsia="Times New Roman"/>
                <w:noProof/>
              </w:rPr>
            </w:pPr>
            <w:r>
              <w:rPr>
                <w:noProof/>
              </w:rPr>
              <w:t>- Chronologie.</w:t>
            </w:r>
          </w:p>
          <w:p w14:paraId="2B456DFC" w14:textId="77777777" w:rsidR="00A00259" w:rsidRDefault="00A00259">
            <w:pPr>
              <w:spacing w:after="0" w:line="240" w:lineRule="auto"/>
              <w:rPr>
                <w:rFonts w:ascii="Times New Roman" w:eastAsia="Times New Roman" w:hAnsi="Times New Roman" w:cs="Times New Roman"/>
                <w:noProof/>
                <w:color w:val="006100"/>
                <w:sz w:val="18"/>
                <w:szCs w:val="18"/>
              </w:rPr>
            </w:pPr>
          </w:p>
          <w:p w14:paraId="21991CC3" w14:textId="77777777" w:rsidR="00A00259" w:rsidRDefault="00371282">
            <w:pPr>
              <w:pStyle w:val="P68B1DB1-Normal12"/>
              <w:spacing w:after="0" w:line="240" w:lineRule="auto"/>
              <w:rPr>
                <w:rFonts w:eastAsia="Times New Roman"/>
                <w:noProof/>
              </w:rPr>
            </w:pPr>
            <w:r>
              <w:rPr>
                <w:noProof/>
              </w:rPr>
              <w:t>Disposition spécifique pour les fonds destinés à cibler les résidences en situation de précarité énergétique, telles que définies par les critères du plan d’action en matière de précarité énergétique.</w:t>
            </w:r>
          </w:p>
        </w:tc>
      </w:tr>
      <w:tr w:rsidR="00A00259" w14:paraId="35B7DB00" w14:textId="77777777">
        <w:trPr>
          <w:trHeight w:val="309"/>
        </w:trPr>
        <w:tc>
          <w:tcPr>
            <w:tcW w:w="562" w:type="dxa"/>
            <w:shd w:val="clear" w:color="auto" w:fill="C6EFCE"/>
            <w:noWrap/>
            <w:hideMark/>
          </w:tcPr>
          <w:p w14:paraId="0512E100" w14:textId="77777777" w:rsidR="00A00259" w:rsidRDefault="00371282">
            <w:pPr>
              <w:pStyle w:val="P68B1DB1-Normal12"/>
              <w:spacing w:after="0" w:line="240" w:lineRule="auto"/>
              <w:rPr>
                <w:rFonts w:eastAsia="Times New Roman"/>
                <w:noProof/>
              </w:rPr>
            </w:pPr>
            <w:r>
              <w:rPr>
                <w:noProof/>
              </w:rPr>
              <w:t>23</w:t>
            </w:r>
          </w:p>
        </w:tc>
        <w:tc>
          <w:tcPr>
            <w:tcW w:w="1593" w:type="dxa"/>
            <w:shd w:val="clear" w:color="auto" w:fill="C6EFCE"/>
            <w:noWrap/>
            <w:hideMark/>
          </w:tcPr>
          <w:p w14:paraId="404E7E30" w14:textId="77777777" w:rsidR="00A00259" w:rsidRDefault="00371282">
            <w:pPr>
              <w:pStyle w:val="P68B1DB1-Normal12"/>
              <w:spacing w:after="0" w:line="240" w:lineRule="auto"/>
              <w:rPr>
                <w:rFonts w:eastAsia="Times New Roman"/>
                <w:noProof/>
              </w:rPr>
            </w:pPr>
            <w:r>
              <w:rPr>
                <w:noProof/>
              </w:rPr>
              <w:t>2 - 1.2. Rénovation - 16872_Rénovation énergétique des bâtiments résidentiels</w:t>
            </w:r>
          </w:p>
        </w:tc>
        <w:tc>
          <w:tcPr>
            <w:tcW w:w="1114" w:type="dxa"/>
            <w:shd w:val="clear" w:color="auto" w:fill="C6EFCE"/>
            <w:noWrap/>
            <w:hideMark/>
          </w:tcPr>
          <w:p w14:paraId="1E4BD254" w14:textId="77777777" w:rsidR="00A00259" w:rsidRDefault="00371282">
            <w:pPr>
              <w:pStyle w:val="P68B1DB1-Normal12"/>
              <w:spacing w:after="0" w:line="240" w:lineRule="auto"/>
              <w:rPr>
                <w:rFonts w:eastAsia="Times New Roman"/>
                <w:noProof/>
              </w:rPr>
            </w:pPr>
            <w:r>
              <w:rPr>
                <w:noProof/>
              </w:rPr>
              <w:t>Objectif</w:t>
            </w:r>
          </w:p>
        </w:tc>
        <w:tc>
          <w:tcPr>
            <w:tcW w:w="1056" w:type="dxa"/>
            <w:shd w:val="clear" w:color="auto" w:fill="C6EFCE"/>
            <w:noWrap/>
          </w:tcPr>
          <w:p w14:paraId="5DD0A0A7" w14:textId="77777777" w:rsidR="00A00259" w:rsidRDefault="00371282">
            <w:pPr>
              <w:pStyle w:val="P68B1DB1-Normal12"/>
              <w:spacing w:after="0" w:line="240" w:lineRule="auto"/>
              <w:rPr>
                <w:rFonts w:eastAsia="Times New Roman"/>
                <w:noProof/>
              </w:rPr>
            </w:pPr>
            <w:r>
              <w:rPr>
                <w:noProof/>
              </w:rPr>
              <w:t>Rénovation résidentielle – rénovation des résidences #1</w:t>
            </w:r>
          </w:p>
        </w:tc>
        <w:tc>
          <w:tcPr>
            <w:tcW w:w="2311" w:type="dxa"/>
            <w:shd w:val="clear" w:color="auto" w:fill="C6EFCE"/>
            <w:noWrap/>
          </w:tcPr>
          <w:p w14:paraId="27B0131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92" w:type="dxa"/>
            <w:shd w:val="clear" w:color="auto" w:fill="C6EFCE"/>
            <w:noWrap/>
            <w:hideMark/>
          </w:tcPr>
          <w:p w14:paraId="28D92CD4" w14:textId="77777777" w:rsidR="00A00259" w:rsidRDefault="00371282">
            <w:pPr>
              <w:pStyle w:val="P68B1DB1-Normal12"/>
              <w:spacing w:after="0" w:line="240" w:lineRule="auto"/>
              <w:rPr>
                <w:rFonts w:eastAsia="Times New Roman"/>
                <w:noProof/>
              </w:rPr>
            </w:pPr>
            <w:r>
              <w:rPr>
                <w:noProof/>
              </w:rPr>
              <w:t xml:space="preserve">Nombre de rénovations certifiées achevées </w:t>
            </w:r>
          </w:p>
        </w:tc>
        <w:tc>
          <w:tcPr>
            <w:tcW w:w="999" w:type="dxa"/>
            <w:shd w:val="clear" w:color="auto" w:fill="C6EFCE"/>
            <w:noWrap/>
            <w:hideMark/>
          </w:tcPr>
          <w:p w14:paraId="2E9981D4" w14:textId="77777777" w:rsidR="00A00259" w:rsidRDefault="00371282">
            <w:pPr>
              <w:pStyle w:val="P68B1DB1-Normal12"/>
              <w:spacing w:after="0" w:line="240" w:lineRule="auto"/>
              <w:rPr>
                <w:rFonts w:eastAsia="Times New Roman"/>
                <w:noProof/>
              </w:rPr>
            </w:pPr>
            <w:r>
              <w:rPr>
                <w:noProof/>
              </w:rPr>
              <w:t>0</w:t>
            </w:r>
          </w:p>
        </w:tc>
        <w:tc>
          <w:tcPr>
            <w:tcW w:w="820" w:type="dxa"/>
            <w:shd w:val="clear" w:color="auto" w:fill="C6EFCE"/>
            <w:noWrap/>
            <w:hideMark/>
          </w:tcPr>
          <w:p w14:paraId="5216806D" w14:textId="77777777" w:rsidR="00A00259" w:rsidRDefault="00371282">
            <w:pPr>
              <w:pStyle w:val="P68B1DB1-Normal12"/>
              <w:spacing w:after="0" w:line="240" w:lineRule="auto"/>
              <w:rPr>
                <w:rFonts w:eastAsia="Times New Roman"/>
                <w:noProof/>
              </w:rPr>
            </w:pPr>
            <w:r>
              <w:rPr>
                <w:noProof/>
              </w:rPr>
              <w:t>8 000</w:t>
            </w:r>
          </w:p>
        </w:tc>
        <w:tc>
          <w:tcPr>
            <w:tcW w:w="851" w:type="dxa"/>
            <w:shd w:val="clear" w:color="auto" w:fill="C6EFCE"/>
            <w:noWrap/>
            <w:hideMark/>
          </w:tcPr>
          <w:p w14:paraId="4449AA57"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hideMark/>
          </w:tcPr>
          <w:p w14:paraId="5918B627" w14:textId="77777777" w:rsidR="00A00259" w:rsidRDefault="00371282">
            <w:pPr>
              <w:pStyle w:val="P68B1DB1-Normal12"/>
              <w:spacing w:after="0" w:line="240" w:lineRule="auto"/>
              <w:rPr>
                <w:rFonts w:eastAsia="Times New Roman"/>
                <w:noProof/>
              </w:rPr>
            </w:pPr>
            <w:r>
              <w:rPr>
                <w:noProof/>
              </w:rPr>
              <w:t>2023</w:t>
            </w:r>
          </w:p>
        </w:tc>
        <w:tc>
          <w:tcPr>
            <w:tcW w:w="3997" w:type="dxa"/>
            <w:shd w:val="clear" w:color="auto" w:fill="C6EFCE"/>
            <w:noWrap/>
            <w:hideMark/>
          </w:tcPr>
          <w:p w14:paraId="2410DB40" w14:textId="77777777" w:rsidR="00A00259" w:rsidRDefault="00371282">
            <w:pPr>
              <w:pStyle w:val="P68B1DB1-Normal12"/>
              <w:spacing w:after="0" w:line="240" w:lineRule="auto"/>
              <w:rPr>
                <w:noProof/>
              </w:rPr>
            </w:pPr>
            <w:r>
              <w:rPr>
                <w:noProof/>
              </w:rPr>
              <w:t xml:space="preserve">Rénovations visant à améliorer l’efficacité énergétique achevées pour le nombre de résidences, ce qui équivaut à une réduction d’énergie de 16 ktep par an et à des économies d’énergie primaire d’au moins 30 % en moyenne, sur la base des certificats de performance énergétique présentés. La décision d'achèvement prise par l'organe de direction atteste l'achèvement des interventions. </w:t>
            </w:r>
          </w:p>
        </w:tc>
      </w:tr>
      <w:tr w:rsidR="00A00259" w14:paraId="1DBB2B1F" w14:textId="77777777">
        <w:trPr>
          <w:trHeight w:val="1281"/>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6959640B" w14:textId="77777777" w:rsidR="00A00259" w:rsidRDefault="00371282">
            <w:pPr>
              <w:pStyle w:val="P68B1DB1-Normal12"/>
              <w:spacing w:after="0" w:line="240" w:lineRule="auto"/>
              <w:rPr>
                <w:rFonts w:eastAsia="Times New Roman"/>
                <w:noProof/>
              </w:rPr>
            </w:pPr>
            <w:r>
              <w:rPr>
                <w:noProof/>
              </w:rPr>
              <w:t>26</w:t>
            </w:r>
          </w:p>
        </w:tc>
        <w:tc>
          <w:tcPr>
            <w:tcW w:w="1593" w:type="dxa"/>
            <w:tcBorders>
              <w:top w:val="single" w:sz="4" w:space="0" w:color="auto"/>
              <w:left w:val="single" w:sz="4" w:space="0" w:color="auto"/>
              <w:bottom w:val="single" w:sz="4" w:space="0" w:color="auto"/>
              <w:right w:val="single" w:sz="4" w:space="0" w:color="auto"/>
            </w:tcBorders>
            <w:shd w:val="clear" w:color="auto" w:fill="C6EFCE"/>
            <w:noWrap/>
          </w:tcPr>
          <w:p w14:paraId="255FDA0E" w14:textId="77777777" w:rsidR="00A00259" w:rsidRDefault="00371282">
            <w:pPr>
              <w:pStyle w:val="P68B1DB1-Normal12"/>
              <w:spacing w:after="0" w:line="240" w:lineRule="auto"/>
              <w:rPr>
                <w:rFonts w:eastAsia="Times New Roman"/>
                <w:noProof/>
              </w:rPr>
            </w:pPr>
            <w:r>
              <w:rPr>
                <w:noProof/>
              </w:rPr>
              <w:t>2 - 1.2. Rénovation - 16872_Rénovation énergétique des bâtiments résidentiels</w:t>
            </w:r>
          </w:p>
        </w:tc>
        <w:tc>
          <w:tcPr>
            <w:tcW w:w="1114" w:type="dxa"/>
            <w:tcBorders>
              <w:top w:val="single" w:sz="4" w:space="0" w:color="auto"/>
              <w:left w:val="single" w:sz="4" w:space="0" w:color="auto"/>
              <w:bottom w:val="single" w:sz="4" w:space="0" w:color="auto"/>
              <w:right w:val="single" w:sz="4" w:space="0" w:color="auto"/>
            </w:tcBorders>
            <w:shd w:val="clear" w:color="auto" w:fill="C6EFCE"/>
            <w:noWrap/>
          </w:tcPr>
          <w:p w14:paraId="693D1FAE" w14:textId="77777777" w:rsidR="00A00259" w:rsidRDefault="00371282">
            <w:pPr>
              <w:pStyle w:val="P68B1DB1-Normal12"/>
              <w:spacing w:after="0" w:line="240" w:lineRule="auto"/>
              <w:rPr>
                <w:rFonts w:eastAsia="Times New Roman"/>
                <w:noProof/>
              </w:rPr>
            </w:pPr>
            <w:r>
              <w:rPr>
                <w:noProof/>
              </w:rPr>
              <w:t>Objectif</w:t>
            </w:r>
          </w:p>
        </w:tc>
        <w:tc>
          <w:tcPr>
            <w:tcW w:w="1056" w:type="dxa"/>
            <w:tcBorders>
              <w:top w:val="single" w:sz="4" w:space="0" w:color="auto"/>
              <w:left w:val="single" w:sz="4" w:space="0" w:color="auto"/>
              <w:bottom w:val="single" w:sz="4" w:space="0" w:color="auto"/>
              <w:right w:val="single" w:sz="4" w:space="0" w:color="auto"/>
            </w:tcBorders>
            <w:shd w:val="clear" w:color="auto" w:fill="C6EFCE"/>
            <w:noWrap/>
          </w:tcPr>
          <w:p w14:paraId="68F532D2" w14:textId="77777777" w:rsidR="00A00259" w:rsidRDefault="00371282">
            <w:pPr>
              <w:pStyle w:val="P68B1DB1-Normal12"/>
              <w:spacing w:after="0" w:line="240" w:lineRule="auto"/>
              <w:rPr>
                <w:rFonts w:eastAsia="Times New Roman"/>
                <w:noProof/>
              </w:rPr>
            </w:pPr>
            <w:r>
              <w:rPr>
                <w:noProof/>
              </w:rPr>
              <w:t>Rénovation résidentielle – rénovation des résidences #3</w:t>
            </w:r>
          </w:p>
        </w:tc>
        <w:tc>
          <w:tcPr>
            <w:tcW w:w="2311" w:type="dxa"/>
            <w:tcBorders>
              <w:top w:val="single" w:sz="4" w:space="0" w:color="auto"/>
              <w:left w:val="single" w:sz="4" w:space="0" w:color="auto"/>
              <w:bottom w:val="single" w:sz="4" w:space="0" w:color="auto"/>
              <w:right w:val="single" w:sz="4" w:space="0" w:color="auto"/>
            </w:tcBorders>
            <w:shd w:val="clear" w:color="auto" w:fill="C6EFCE"/>
            <w:noWrap/>
          </w:tcPr>
          <w:p w14:paraId="21AB8F9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4DB12E09" w14:textId="77777777" w:rsidR="00A00259" w:rsidRDefault="00371282">
            <w:pPr>
              <w:pStyle w:val="P68B1DB1-Normal12"/>
              <w:spacing w:after="0" w:line="240" w:lineRule="auto"/>
              <w:rPr>
                <w:rFonts w:eastAsia="Times New Roman"/>
                <w:noProof/>
              </w:rPr>
            </w:pPr>
            <w:r>
              <w:rPr>
                <w:noProof/>
              </w:rPr>
              <w:t>Nombre de rénovations effectuées</w:t>
            </w:r>
          </w:p>
        </w:tc>
        <w:tc>
          <w:tcPr>
            <w:tcW w:w="999" w:type="dxa"/>
            <w:tcBorders>
              <w:top w:val="single" w:sz="4" w:space="0" w:color="auto"/>
              <w:left w:val="single" w:sz="4" w:space="0" w:color="auto"/>
              <w:bottom w:val="single" w:sz="4" w:space="0" w:color="auto"/>
              <w:right w:val="single" w:sz="4" w:space="0" w:color="auto"/>
            </w:tcBorders>
            <w:shd w:val="clear" w:color="auto" w:fill="C6EFCE"/>
            <w:noWrap/>
          </w:tcPr>
          <w:p w14:paraId="213FEB5C" w14:textId="77777777" w:rsidR="00A00259" w:rsidRDefault="00371282">
            <w:pPr>
              <w:pStyle w:val="P68B1DB1-Normal12"/>
              <w:spacing w:after="0" w:line="240" w:lineRule="auto"/>
              <w:rPr>
                <w:rFonts w:eastAsia="Times New Roman"/>
                <w:noProof/>
              </w:rPr>
            </w:pPr>
            <w:r>
              <w:rPr>
                <w:noProof/>
              </w:rPr>
              <w:t>8 000</w:t>
            </w:r>
          </w:p>
        </w:tc>
        <w:tc>
          <w:tcPr>
            <w:tcW w:w="820" w:type="dxa"/>
            <w:tcBorders>
              <w:top w:val="single" w:sz="4" w:space="0" w:color="auto"/>
              <w:left w:val="single" w:sz="4" w:space="0" w:color="auto"/>
              <w:bottom w:val="single" w:sz="4" w:space="0" w:color="auto"/>
              <w:right w:val="single" w:sz="4" w:space="0" w:color="auto"/>
            </w:tcBorders>
            <w:shd w:val="clear" w:color="auto" w:fill="C6EFCE"/>
            <w:noWrap/>
          </w:tcPr>
          <w:p w14:paraId="2C34E4F7" w14:textId="370294A4" w:rsidR="00A00259" w:rsidRDefault="00371282">
            <w:pPr>
              <w:pStyle w:val="P68B1DB1-Normal12"/>
              <w:spacing w:after="0" w:line="240" w:lineRule="auto"/>
              <w:rPr>
                <w:rFonts w:eastAsia="Times New Roman"/>
                <w:noProof/>
              </w:rPr>
            </w:pPr>
            <w:r>
              <w:rPr>
                <w:noProof/>
              </w:rPr>
              <w:t>69 730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440A895" w14:textId="77777777" w:rsidR="00A00259" w:rsidRDefault="00371282">
            <w:pPr>
              <w:pStyle w:val="P68B1DB1-Normal12"/>
              <w:spacing w:after="0" w:line="240" w:lineRule="auto"/>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F900F3B" w14:textId="77777777" w:rsidR="00A00259" w:rsidRDefault="00371282">
            <w:pPr>
              <w:pStyle w:val="P68B1DB1-Normal12"/>
              <w:spacing w:after="0" w:line="240" w:lineRule="auto"/>
              <w:rPr>
                <w:rFonts w:eastAsia="Times New Roman"/>
                <w:noProof/>
              </w:rPr>
            </w:pPr>
            <w:r>
              <w:rPr>
                <w:noProof/>
              </w:rPr>
              <w:t>2025</w:t>
            </w:r>
          </w:p>
        </w:tc>
        <w:tc>
          <w:tcPr>
            <w:tcW w:w="3997" w:type="dxa"/>
            <w:tcBorders>
              <w:top w:val="single" w:sz="4" w:space="0" w:color="auto"/>
              <w:left w:val="single" w:sz="4" w:space="0" w:color="auto"/>
              <w:bottom w:val="single" w:sz="4" w:space="0" w:color="auto"/>
              <w:right w:val="single" w:sz="4" w:space="0" w:color="auto"/>
            </w:tcBorders>
            <w:shd w:val="clear" w:color="auto" w:fill="C6EFCE"/>
            <w:noWrap/>
          </w:tcPr>
          <w:p w14:paraId="14A51FA1" w14:textId="06F4ACAA" w:rsidR="00A00259" w:rsidRDefault="00371282">
            <w:pPr>
              <w:pStyle w:val="P68B1DB1-Normal12"/>
              <w:spacing w:after="0" w:line="240" w:lineRule="auto"/>
              <w:rPr>
                <w:noProof/>
              </w:rPr>
            </w:pPr>
            <w:r>
              <w:rPr>
                <w:noProof/>
              </w:rPr>
              <w:t xml:space="preserve">Rénovation en matière d’efficacité énergétique de 69 730 résidences, dont au moins 20 400 sont des ménages vulnérables. Les rénovations permettent de réaliser, en moyenne, des économies d’énergie primaire d’au moins 30 %, sur la base des certificats de performance énergétique présentés. </w:t>
            </w:r>
          </w:p>
        </w:tc>
      </w:tr>
    </w:tbl>
    <w:p w14:paraId="3072109D" w14:textId="77777777" w:rsidR="00A00259" w:rsidRDefault="00A00259">
      <w:pPr>
        <w:spacing w:before="120" w:after="120" w:line="240" w:lineRule="auto"/>
        <w:ind w:left="709"/>
        <w:jc w:val="both"/>
        <w:rPr>
          <w:rFonts w:ascii="Times New Roman" w:hAnsi="Times New Roman" w:cs="Times New Roman"/>
          <w:noProof/>
          <w:sz w:val="24"/>
          <w:szCs w:val="24"/>
        </w:rPr>
      </w:pPr>
    </w:p>
    <w:p w14:paraId="22F43466" w14:textId="77777777" w:rsidR="00A00259" w:rsidRDefault="00A00259">
      <w:pPr>
        <w:keepNext/>
        <w:keepLines/>
        <w:spacing w:before="40" w:after="0" w:line="240" w:lineRule="auto"/>
        <w:jc w:val="both"/>
        <w:outlineLvl w:val="4"/>
        <w:rPr>
          <w:rFonts w:ascii="Cambria" w:hAnsi="Cambria"/>
          <w:noProof/>
          <w:color w:val="365F91"/>
          <w:sz w:val="24"/>
        </w:rPr>
        <w:sectPr w:rsidR="00A00259">
          <w:headerReference w:type="even" r:id="rId42"/>
          <w:headerReference w:type="default" r:id="rId43"/>
          <w:footerReference w:type="even" r:id="rId44"/>
          <w:footerReference w:type="default" r:id="rId45"/>
          <w:headerReference w:type="first" r:id="rId46"/>
          <w:footerReference w:type="first" r:id="rId47"/>
          <w:pgSz w:w="16839" w:h="11907" w:orient="landscape"/>
          <w:pgMar w:top="1134" w:right="1134" w:bottom="1134" w:left="1134" w:header="567" w:footer="567" w:gutter="0"/>
          <w:cols w:space="720"/>
          <w:docGrid w:linePitch="360"/>
        </w:sectPr>
      </w:pPr>
    </w:p>
    <w:p w14:paraId="0D8AECF9" w14:textId="77777777" w:rsidR="00A00259" w:rsidRDefault="00371282">
      <w:pPr>
        <w:pStyle w:val="P68B1DB1-Normal9"/>
        <w:keepNext/>
        <w:keepLines/>
        <w:spacing w:before="40" w:after="0" w:line="240" w:lineRule="auto"/>
        <w:jc w:val="both"/>
        <w:outlineLvl w:val="4"/>
        <w:rPr>
          <w:noProof/>
        </w:rPr>
      </w:pPr>
      <w:r>
        <w:rPr>
          <w:noProof/>
        </w:rPr>
        <w:t>Réforme clé n° 2: Plans urbains</w:t>
      </w:r>
    </w:p>
    <w:tbl>
      <w:tblPr>
        <w:tblW w:w="15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2160"/>
        <w:gridCol w:w="1134"/>
        <w:gridCol w:w="1120"/>
        <w:gridCol w:w="1440"/>
        <w:gridCol w:w="1125"/>
        <w:gridCol w:w="1281"/>
        <w:gridCol w:w="846"/>
        <w:gridCol w:w="986"/>
        <w:gridCol w:w="709"/>
        <w:gridCol w:w="4450"/>
      </w:tblGrid>
      <w:tr w:rsidR="00A00259" w14:paraId="42E3B7E4" w14:textId="77777777">
        <w:trPr>
          <w:trHeight w:val="844"/>
          <w:jc w:val="center"/>
        </w:trPr>
        <w:tc>
          <w:tcPr>
            <w:tcW w:w="643" w:type="dxa"/>
            <w:vMerge w:val="restart"/>
            <w:shd w:val="clear" w:color="auto" w:fill="BDD7EE"/>
            <w:vAlign w:val="center"/>
            <w:hideMark/>
          </w:tcPr>
          <w:p w14:paraId="25B1BD9D" w14:textId="77777777" w:rsidR="00A00259" w:rsidRDefault="00371282">
            <w:pPr>
              <w:pStyle w:val="P68B1DB1-Normal10"/>
              <w:spacing w:after="0" w:line="240" w:lineRule="auto"/>
              <w:jc w:val="center"/>
              <w:rPr>
                <w:rFonts w:eastAsia="Times New Roman" w:cs="Times New Roman"/>
                <w:bCs/>
                <w:noProof/>
                <w:szCs w:val="18"/>
              </w:rPr>
            </w:pPr>
            <w:r>
              <w:rPr>
                <w:noProof/>
              </w:rPr>
              <w:t>Seq. Non.</w:t>
            </w:r>
          </w:p>
        </w:tc>
        <w:tc>
          <w:tcPr>
            <w:tcW w:w="2160" w:type="dxa"/>
            <w:vMerge w:val="restart"/>
            <w:shd w:val="clear" w:color="auto" w:fill="BDD7EE"/>
            <w:vAlign w:val="center"/>
            <w:hideMark/>
          </w:tcPr>
          <w:p w14:paraId="2EC3E982"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134" w:type="dxa"/>
            <w:vMerge w:val="restart"/>
            <w:shd w:val="clear" w:color="auto" w:fill="BDD7EE"/>
            <w:vAlign w:val="center"/>
            <w:hideMark/>
          </w:tcPr>
          <w:p w14:paraId="2CE1DFEB"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120" w:type="dxa"/>
            <w:vMerge w:val="restart"/>
            <w:shd w:val="clear" w:color="auto" w:fill="BDD7EE"/>
            <w:vAlign w:val="center"/>
            <w:hideMark/>
          </w:tcPr>
          <w:p w14:paraId="7057FCFB"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440" w:type="dxa"/>
            <w:vMerge w:val="restart"/>
            <w:shd w:val="clear" w:color="auto" w:fill="BDD7EE"/>
            <w:vAlign w:val="center"/>
            <w:hideMark/>
          </w:tcPr>
          <w:p w14:paraId="7A911560"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3111" w:type="dxa"/>
            <w:gridSpan w:val="3"/>
            <w:shd w:val="clear" w:color="auto" w:fill="BDD7EE"/>
            <w:vAlign w:val="center"/>
            <w:hideMark/>
          </w:tcPr>
          <w:p w14:paraId="2AEE0F2B"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Indicateurs quantitatifs </w:t>
            </w:r>
            <w:r>
              <w:rPr>
                <w:noProof/>
              </w:rPr>
              <w:br/>
              <w:t>(pour les objectifs)</w:t>
            </w:r>
          </w:p>
        </w:tc>
        <w:tc>
          <w:tcPr>
            <w:tcW w:w="1558" w:type="dxa"/>
            <w:gridSpan w:val="2"/>
            <w:shd w:val="clear" w:color="auto" w:fill="BDD7EE"/>
            <w:vAlign w:val="center"/>
            <w:hideMark/>
          </w:tcPr>
          <w:p w14:paraId="09C8B1E0"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4450" w:type="dxa"/>
            <w:vMerge w:val="restart"/>
            <w:shd w:val="clear" w:color="auto" w:fill="BDD7EE"/>
            <w:vAlign w:val="center"/>
            <w:hideMark/>
          </w:tcPr>
          <w:p w14:paraId="735C9C43"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6EFE52A4" w14:textId="77777777">
        <w:trPr>
          <w:trHeight w:val="601"/>
          <w:tblHeader/>
          <w:jc w:val="center"/>
        </w:trPr>
        <w:tc>
          <w:tcPr>
            <w:tcW w:w="643" w:type="dxa"/>
            <w:vMerge/>
            <w:vAlign w:val="center"/>
            <w:hideMark/>
          </w:tcPr>
          <w:p w14:paraId="351281EA" w14:textId="77777777" w:rsidR="00A00259" w:rsidRDefault="00A00259">
            <w:pPr>
              <w:spacing w:after="0" w:line="240" w:lineRule="auto"/>
              <w:rPr>
                <w:rFonts w:ascii="Times New Roman" w:eastAsia="Times New Roman" w:hAnsi="Times New Roman" w:cs="Times New Roman"/>
                <w:b/>
                <w:bCs/>
                <w:noProof/>
                <w:sz w:val="18"/>
                <w:szCs w:val="18"/>
              </w:rPr>
            </w:pPr>
          </w:p>
        </w:tc>
        <w:tc>
          <w:tcPr>
            <w:tcW w:w="2160" w:type="dxa"/>
            <w:vMerge/>
            <w:vAlign w:val="center"/>
            <w:hideMark/>
          </w:tcPr>
          <w:p w14:paraId="220ED0EA" w14:textId="77777777" w:rsidR="00A00259" w:rsidRDefault="00A00259">
            <w:pPr>
              <w:spacing w:after="0" w:line="240" w:lineRule="auto"/>
              <w:rPr>
                <w:rFonts w:ascii="Times New Roman" w:eastAsia="Times New Roman" w:hAnsi="Times New Roman" w:cs="Times New Roman"/>
                <w:b/>
                <w:bCs/>
                <w:noProof/>
                <w:sz w:val="18"/>
                <w:szCs w:val="18"/>
              </w:rPr>
            </w:pPr>
          </w:p>
        </w:tc>
        <w:tc>
          <w:tcPr>
            <w:tcW w:w="1134" w:type="dxa"/>
            <w:vMerge/>
            <w:vAlign w:val="center"/>
            <w:hideMark/>
          </w:tcPr>
          <w:p w14:paraId="2D7171DB" w14:textId="77777777" w:rsidR="00A00259" w:rsidRDefault="00A00259">
            <w:pPr>
              <w:spacing w:after="0" w:line="240" w:lineRule="auto"/>
              <w:rPr>
                <w:rFonts w:ascii="Times New Roman" w:eastAsia="Times New Roman" w:hAnsi="Times New Roman" w:cs="Times New Roman"/>
                <w:b/>
                <w:bCs/>
                <w:noProof/>
                <w:sz w:val="18"/>
                <w:szCs w:val="18"/>
              </w:rPr>
            </w:pPr>
          </w:p>
        </w:tc>
        <w:tc>
          <w:tcPr>
            <w:tcW w:w="1120" w:type="dxa"/>
            <w:vMerge/>
            <w:vAlign w:val="center"/>
            <w:hideMark/>
          </w:tcPr>
          <w:p w14:paraId="7429B805" w14:textId="77777777" w:rsidR="00A00259" w:rsidRDefault="00A00259">
            <w:pPr>
              <w:spacing w:after="0" w:line="240" w:lineRule="auto"/>
              <w:rPr>
                <w:rFonts w:ascii="Times New Roman" w:eastAsia="Times New Roman" w:hAnsi="Times New Roman" w:cs="Times New Roman"/>
                <w:b/>
                <w:bCs/>
                <w:noProof/>
                <w:sz w:val="18"/>
                <w:szCs w:val="18"/>
              </w:rPr>
            </w:pPr>
          </w:p>
        </w:tc>
        <w:tc>
          <w:tcPr>
            <w:tcW w:w="1440" w:type="dxa"/>
            <w:vMerge/>
            <w:vAlign w:val="center"/>
            <w:hideMark/>
          </w:tcPr>
          <w:p w14:paraId="7F85935F" w14:textId="77777777" w:rsidR="00A00259" w:rsidRDefault="00A00259">
            <w:pPr>
              <w:spacing w:after="0" w:line="240" w:lineRule="auto"/>
              <w:rPr>
                <w:rFonts w:ascii="Times New Roman" w:eastAsia="Times New Roman" w:hAnsi="Times New Roman" w:cs="Times New Roman"/>
                <w:b/>
                <w:bCs/>
                <w:noProof/>
                <w:sz w:val="18"/>
                <w:szCs w:val="18"/>
              </w:rPr>
            </w:pPr>
          </w:p>
        </w:tc>
        <w:tc>
          <w:tcPr>
            <w:tcW w:w="1125" w:type="dxa"/>
            <w:shd w:val="clear" w:color="auto" w:fill="BDD7EE"/>
            <w:vAlign w:val="center"/>
            <w:hideMark/>
          </w:tcPr>
          <w:p w14:paraId="42739195"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1281" w:type="dxa"/>
            <w:shd w:val="clear" w:color="auto" w:fill="BDD7EE"/>
            <w:vAlign w:val="center"/>
            <w:hideMark/>
          </w:tcPr>
          <w:p w14:paraId="66A4D486"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705" w:type="dxa"/>
            <w:shd w:val="clear" w:color="auto" w:fill="BDD7EE"/>
            <w:vAlign w:val="center"/>
            <w:hideMark/>
          </w:tcPr>
          <w:p w14:paraId="5C79F8E3"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849" w:type="dxa"/>
            <w:shd w:val="clear" w:color="auto" w:fill="BDD7EE"/>
            <w:vAlign w:val="center"/>
            <w:hideMark/>
          </w:tcPr>
          <w:p w14:paraId="4E4DFEFF"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709" w:type="dxa"/>
            <w:shd w:val="clear" w:color="auto" w:fill="BDD7EE"/>
            <w:vAlign w:val="center"/>
            <w:hideMark/>
          </w:tcPr>
          <w:p w14:paraId="213C5102"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4450" w:type="dxa"/>
            <w:vMerge/>
            <w:vAlign w:val="center"/>
            <w:hideMark/>
          </w:tcPr>
          <w:p w14:paraId="21FC816F"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2820D929" w14:textId="77777777">
        <w:trPr>
          <w:trHeight w:val="313"/>
          <w:tblHeader/>
          <w:jc w:val="center"/>
        </w:trPr>
        <w:tc>
          <w:tcPr>
            <w:tcW w:w="643" w:type="dxa"/>
            <w:tcBorders>
              <w:top w:val="single" w:sz="4" w:space="0" w:color="auto"/>
              <w:left w:val="single" w:sz="4" w:space="0" w:color="auto"/>
              <w:bottom w:val="single" w:sz="4" w:space="0" w:color="auto"/>
              <w:right w:val="single" w:sz="4" w:space="0" w:color="auto"/>
            </w:tcBorders>
            <w:shd w:val="clear" w:color="auto" w:fill="C6EFCE"/>
            <w:noWrap/>
          </w:tcPr>
          <w:p w14:paraId="2DB55D2F" w14:textId="77777777" w:rsidR="00A00259" w:rsidRDefault="00371282">
            <w:pPr>
              <w:pStyle w:val="P68B1DB1-Normal12"/>
              <w:spacing w:after="0" w:line="240" w:lineRule="auto"/>
              <w:rPr>
                <w:rFonts w:eastAsia="Times New Roman"/>
                <w:noProof/>
              </w:rPr>
            </w:pPr>
            <w:r>
              <w:rPr>
                <w:noProof/>
              </w:rPr>
              <w:t>27</w:t>
            </w:r>
          </w:p>
        </w:tc>
        <w:tc>
          <w:tcPr>
            <w:tcW w:w="2160" w:type="dxa"/>
            <w:tcBorders>
              <w:top w:val="single" w:sz="4" w:space="0" w:color="auto"/>
              <w:left w:val="single" w:sz="4" w:space="0" w:color="auto"/>
              <w:bottom w:val="single" w:sz="4" w:space="0" w:color="auto"/>
              <w:right w:val="single" w:sz="4" w:space="0" w:color="auto"/>
            </w:tcBorders>
            <w:shd w:val="clear" w:color="auto" w:fill="C6EFCE"/>
            <w:noWrap/>
          </w:tcPr>
          <w:p w14:paraId="21C49471" w14:textId="77777777" w:rsidR="00A00259" w:rsidRDefault="00371282">
            <w:pPr>
              <w:pStyle w:val="P68B1DB1-Normal12"/>
              <w:spacing w:after="0" w:line="240" w:lineRule="auto"/>
              <w:rPr>
                <w:rFonts w:eastAsia="Times New Roman"/>
                <w:noProof/>
              </w:rPr>
            </w:pPr>
            <w:r>
              <w:rPr>
                <w:noProof/>
              </w:rPr>
              <w:t>2 - 1.2. 16879_Préparation des plans urbains dans le cadre de la mise en œuvre de la réforme de la politique urbaine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D7F67A7" w14:textId="77777777" w:rsidR="00A00259" w:rsidRDefault="00371282">
            <w:pPr>
              <w:pStyle w:val="P68B1DB1-Normal12"/>
              <w:spacing w:after="0" w:line="240" w:lineRule="auto"/>
              <w:rPr>
                <w:rFonts w:eastAsia="Times New Roman"/>
                <w:noProof/>
              </w:rPr>
            </w:pPr>
            <w:r>
              <w:rPr>
                <w:noProof/>
              </w:rPr>
              <w:t>Étape</w:t>
            </w:r>
          </w:p>
        </w:tc>
        <w:tc>
          <w:tcPr>
            <w:tcW w:w="1120" w:type="dxa"/>
            <w:tcBorders>
              <w:top w:val="single" w:sz="4" w:space="0" w:color="auto"/>
              <w:left w:val="single" w:sz="4" w:space="0" w:color="auto"/>
              <w:bottom w:val="single" w:sz="4" w:space="0" w:color="auto"/>
              <w:right w:val="single" w:sz="4" w:space="0" w:color="auto"/>
            </w:tcBorders>
            <w:shd w:val="clear" w:color="auto" w:fill="C6EFCE"/>
            <w:noWrap/>
          </w:tcPr>
          <w:p w14:paraId="6BB838C6" w14:textId="77777777" w:rsidR="00A00259" w:rsidRDefault="00371282">
            <w:pPr>
              <w:pStyle w:val="P68B1DB1-Normal12"/>
              <w:spacing w:after="0" w:line="240" w:lineRule="auto"/>
              <w:rPr>
                <w:rFonts w:eastAsia="Times New Roman"/>
                <w:noProof/>
              </w:rPr>
            </w:pPr>
            <w:r>
              <w:rPr>
                <w:noProof/>
              </w:rPr>
              <w:t>Prix des plans urbains</w:t>
            </w:r>
          </w:p>
        </w:tc>
        <w:tc>
          <w:tcPr>
            <w:tcW w:w="1440" w:type="dxa"/>
            <w:tcBorders>
              <w:top w:val="single" w:sz="4" w:space="0" w:color="auto"/>
              <w:left w:val="single" w:sz="4" w:space="0" w:color="auto"/>
              <w:bottom w:val="single" w:sz="4" w:space="0" w:color="auto"/>
              <w:right w:val="single" w:sz="4" w:space="0" w:color="auto"/>
            </w:tcBorders>
            <w:shd w:val="clear" w:color="auto" w:fill="C6EFCE"/>
            <w:noWrap/>
          </w:tcPr>
          <w:p w14:paraId="1566EC3C" w14:textId="77777777" w:rsidR="00A00259" w:rsidRDefault="00371282">
            <w:pPr>
              <w:pStyle w:val="P68B1DB1-Normal12"/>
              <w:spacing w:after="0" w:line="240" w:lineRule="auto"/>
              <w:rPr>
                <w:rFonts w:eastAsia="Times New Roman"/>
                <w:noProof/>
              </w:rPr>
            </w:pPr>
            <w:r>
              <w:rPr>
                <w:noProof/>
              </w:rPr>
              <w:t>Notification de l'attribution des marchés</w:t>
            </w:r>
          </w:p>
        </w:tc>
        <w:tc>
          <w:tcPr>
            <w:tcW w:w="1125" w:type="dxa"/>
            <w:tcBorders>
              <w:top w:val="single" w:sz="4" w:space="0" w:color="auto"/>
              <w:left w:val="single" w:sz="4" w:space="0" w:color="auto"/>
              <w:bottom w:val="single" w:sz="4" w:space="0" w:color="auto"/>
              <w:right w:val="single" w:sz="4" w:space="0" w:color="auto"/>
            </w:tcBorders>
            <w:shd w:val="clear" w:color="auto" w:fill="C6EFCE"/>
            <w:noWrap/>
          </w:tcPr>
          <w:p w14:paraId="2881674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281" w:type="dxa"/>
            <w:tcBorders>
              <w:top w:val="single" w:sz="4" w:space="0" w:color="auto"/>
              <w:left w:val="single" w:sz="4" w:space="0" w:color="auto"/>
              <w:bottom w:val="single" w:sz="4" w:space="0" w:color="auto"/>
              <w:right w:val="single" w:sz="4" w:space="0" w:color="auto"/>
            </w:tcBorders>
            <w:shd w:val="clear" w:color="auto" w:fill="C6EFCE"/>
            <w:noWrap/>
          </w:tcPr>
          <w:p w14:paraId="0763F27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2058EF9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C6EFCE"/>
            <w:noWrap/>
          </w:tcPr>
          <w:p w14:paraId="0EEBFDC0" w14:textId="77777777" w:rsidR="00A00259" w:rsidRDefault="00371282">
            <w:pPr>
              <w:pStyle w:val="P68B1DB1-Normal12"/>
              <w:spacing w:after="0" w:line="240" w:lineRule="auto"/>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0E726154" w14:textId="77777777" w:rsidR="00A00259" w:rsidRDefault="00371282">
            <w:pPr>
              <w:pStyle w:val="P68B1DB1-Normal12"/>
              <w:spacing w:after="0" w:line="240" w:lineRule="auto"/>
              <w:rPr>
                <w:rFonts w:eastAsia="Times New Roman"/>
                <w:noProof/>
              </w:rPr>
            </w:pPr>
            <w:r>
              <w:rPr>
                <w:noProof/>
              </w:rPr>
              <w:t>2022</w:t>
            </w:r>
          </w:p>
        </w:tc>
        <w:tc>
          <w:tcPr>
            <w:tcW w:w="4450" w:type="dxa"/>
            <w:tcBorders>
              <w:top w:val="single" w:sz="4" w:space="0" w:color="auto"/>
              <w:left w:val="single" w:sz="4" w:space="0" w:color="auto"/>
              <w:bottom w:val="single" w:sz="4" w:space="0" w:color="auto"/>
              <w:right w:val="single" w:sz="4" w:space="0" w:color="auto"/>
            </w:tcBorders>
            <w:shd w:val="clear" w:color="auto" w:fill="C6EFCE"/>
            <w:noWrap/>
          </w:tcPr>
          <w:p w14:paraId="550C9E4B" w14:textId="77777777" w:rsidR="00A00259" w:rsidRDefault="00371282">
            <w:pPr>
              <w:pStyle w:val="P68B1DB1-Normal12"/>
              <w:spacing w:after="0" w:line="240" w:lineRule="auto"/>
              <w:rPr>
                <w:rFonts w:eastAsia="Times New Roman"/>
                <w:noProof/>
              </w:rPr>
            </w:pPr>
            <w:r>
              <w:rPr>
                <w:noProof/>
              </w:rPr>
              <w:t xml:space="preserve">Notification de l’attribution de 30 % de l’ensemble des marchés (pour toutes les interventions): </w:t>
            </w:r>
          </w:p>
          <w:p w14:paraId="602187B9" w14:textId="77777777" w:rsidR="00A00259" w:rsidRDefault="00371282">
            <w:pPr>
              <w:pStyle w:val="P68B1DB1-Normal12"/>
              <w:spacing w:after="0" w:line="240" w:lineRule="auto"/>
              <w:rPr>
                <w:rFonts w:eastAsia="Times New Roman"/>
                <w:noProof/>
              </w:rPr>
            </w:pPr>
            <w:r>
              <w:rPr>
                <w:noProof/>
              </w:rPr>
              <w:t>1. l'élaboration de plans urbains locaux;</w:t>
            </w:r>
          </w:p>
          <w:p w14:paraId="0160B44E" w14:textId="77777777" w:rsidR="00A00259" w:rsidRDefault="00371282">
            <w:pPr>
              <w:pStyle w:val="P68B1DB1-Normal12"/>
              <w:spacing w:after="0" w:line="240" w:lineRule="auto"/>
              <w:rPr>
                <w:rFonts w:eastAsia="Times New Roman"/>
                <w:noProof/>
              </w:rPr>
            </w:pPr>
            <w:r>
              <w:rPr>
                <w:noProof/>
              </w:rPr>
              <w:t>2. la préparation de Plans Urbains Spéciaux;</w:t>
            </w:r>
          </w:p>
          <w:p w14:paraId="75F1BD9E" w14:textId="77777777" w:rsidR="00A00259" w:rsidRDefault="00371282">
            <w:pPr>
              <w:pStyle w:val="P68B1DB1-Normal12"/>
              <w:spacing w:after="0" w:line="240" w:lineRule="auto"/>
              <w:rPr>
                <w:rFonts w:eastAsia="Times New Roman"/>
                <w:noProof/>
              </w:rPr>
            </w:pPr>
            <w:r>
              <w:rPr>
                <w:noProof/>
              </w:rPr>
              <w:t>3. l'élaboration de plans indépendants pour la définition des zones de transfert des droits de développement;</w:t>
            </w:r>
          </w:p>
          <w:p w14:paraId="560459D3" w14:textId="77777777" w:rsidR="00A00259" w:rsidRDefault="00371282">
            <w:pPr>
              <w:pStyle w:val="P68B1DB1-Normal12"/>
              <w:spacing w:after="0" w:line="240" w:lineRule="auto"/>
              <w:rPr>
                <w:rFonts w:eastAsia="Times New Roman"/>
                <w:noProof/>
              </w:rPr>
            </w:pPr>
            <w:r>
              <w:rPr>
                <w:noProof/>
              </w:rPr>
              <w:t>4. l'élaboration de plans indépendants pour la délimitation des colonies; et</w:t>
            </w:r>
          </w:p>
          <w:p w14:paraId="7FF6C997" w14:textId="77777777" w:rsidR="00A00259" w:rsidRDefault="00371282">
            <w:pPr>
              <w:pStyle w:val="P68B1DB1-Normal12"/>
              <w:spacing w:after="0" w:line="240" w:lineRule="auto"/>
              <w:rPr>
                <w:rFonts w:eastAsia="Times New Roman"/>
                <w:noProof/>
              </w:rPr>
            </w:pPr>
            <w:r>
              <w:rPr>
                <w:noProof/>
              </w:rPr>
              <w:t>5. la préparation de plans indépendants pour la caractérisation des routes municipales.</w:t>
            </w:r>
          </w:p>
          <w:p w14:paraId="39A0B32C" w14:textId="77777777" w:rsidR="00A00259" w:rsidRDefault="00A00259">
            <w:pPr>
              <w:spacing w:after="0" w:line="240" w:lineRule="auto"/>
              <w:rPr>
                <w:rFonts w:ascii="Times New Roman" w:eastAsia="Times New Roman" w:hAnsi="Times New Roman" w:cs="Times New Roman"/>
                <w:noProof/>
                <w:color w:val="006100"/>
                <w:sz w:val="18"/>
                <w:szCs w:val="18"/>
              </w:rPr>
            </w:pPr>
          </w:p>
          <w:p w14:paraId="41E92442" w14:textId="7390A256" w:rsidR="00A00259" w:rsidRDefault="00371282">
            <w:pPr>
              <w:pStyle w:val="P68B1DB1-Normal12"/>
              <w:spacing w:after="0" w:line="240" w:lineRule="auto"/>
              <w:rPr>
                <w:rFonts w:eastAsia="Times New Roman"/>
                <w:noProof/>
              </w:rPr>
            </w:pPr>
            <w:r>
              <w:rPr>
                <w:noProof/>
              </w:rPr>
              <w:t>les plans urbains locaux doivent inclure un chapitre consacré aux mesures de lutte contre le changement climatique ainsi qu’à la prévention et à la gestion des risques liés au climat;</w:t>
            </w:r>
          </w:p>
        </w:tc>
      </w:tr>
      <w:tr w:rsidR="00A00259" w14:paraId="61249159" w14:textId="77777777">
        <w:trPr>
          <w:trHeight w:val="313"/>
          <w:tblHeader/>
          <w:jc w:val="center"/>
        </w:trPr>
        <w:tc>
          <w:tcPr>
            <w:tcW w:w="643" w:type="dxa"/>
            <w:tcBorders>
              <w:top w:val="single" w:sz="4" w:space="0" w:color="auto"/>
              <w:left w:val="single" w:sz="4" w:space="0" w:color="auto"/>
              <w:bottom w:val="single" w:sz="4" w:space="0" w:color="auto"/>
              <w:right w:val="single" w:sz="4" w:space="0" w:color="auto"/>
            </w:tcBorders>
            <w:shd w:val="clear" w:color="auto" w:fill="C6EFCE"/>
            <w:noWrap/>
          </w:tcPr>
          <w:p w14:paraId="0F37C3ED" w14:textId="77777777" w:rsidR="00A00259" w:rsidRDefault="00371282">
            <w:pPr>
              <w:pStyle w:val="P68B1DB1-Normal12"/>
              <w:spacing w:after="0" w:line="240" w:lineRule="auto"/>
              <w:rPr>
                <w:noProof/>
              </w:rPr>
            </w:pPr>
            <w:r>
              <w:rPr>
                <w:noProof/>
              </w:rPr>
              <w:t>28</w:t>
            </w:r>
          </w:p>
        </w:tc>
        <w:tc>
          <w:tcPr>
            <w:tcW w:w="2160" w:type="dxa"/>
            <w:tcBorders>
              <w:top w:val="single" w:sz="4" w:space="0" w:color="auto"/>
              <w:left w:val="single" w:sz="4" w:space="0" w:color="auto"/>
              <w:bottom w:val="single" w:sz="4" w:space="0" w:color="auto"/>
              <w:right w:val="single" w:sz="4" w:space="0" w:color="auto"/>
            </w:tcBorders>
            <w:shd w:val="clear" w:color="auto" w:fill="C6EFCE"/>
            <w:noWrap/>
          </w:tcPr>
          <w:p w14:paraId="69642041" w14:textId="77777777" w:rsidR="00A00259" w:rsidRDefault="00371282">
            <w:pPr>
              <w:pStyle w:val="P68B1DB1-Normal12"/>
              <w:spacing w:after="0" w:line="240" w:lineRule="auto"/>
              <w:rPr>
                <w:noProof/>
              </w:rPr>
            </w:pPr>
            <w:r>
              <w:rPr>
                <w:noProof/>
              </w:rPr>
              <w:t>2 - 1.2. 16879_Préparation des plans urbains dans le cadre de la mise en œuvre de la réforme de la politique urbaine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136508E" w14:textId="77777777" w:rsidR="00A00259" w:rsidRDefault="00371282">
            <w:pPr>
              <w:pStyle w:val="P68B1DB1-Normal12"/>
              <w:spacing w:after="0" w:line="240" w:lineRule="auto"/>
              <w:rPr>
                <w:noProof/>
              </w:rPr>
            </w:pPr>
            <w:r>
              <w:rPr>
                <w:noProof/>
              </w:rPr>
              <w:t>Étape</w:t>
            </w:r>
          </w:p>
        </w:tc>
        <w:tc>
          <w:tcPr>
            <w:tcW w:w="1120" w:type="dxa"/>
            <w:tcBorders>
              <w:top w:val="single" w:sz="4" w:space="0" w:color="auto"/>
              <w:left w:val="single" w:sz="4" w:space="0" w:color="auto"/>
              <w:bottom w:val="single" w:sz="4" w:space="0" w:color="auto"/>
              <w:right w:val="single" w:sz="4" w:space="0" w:color="auto"/>
            </w:tcBorders>
            <w:shd w:val="clear" w:color="auto" w:fill="C6EFCE"/>
            <w:noWrap/>
          </w:tcPr>
          <w:p w14:paraId="5BBD237D" w14:textId="77777777" w:rsidR="00A00259" w:rsidRDefault="00371282">
            <w:pPr>
              <w:pStyle w:val="P68B1DB1-Normal12"/>
              <w:spacing w:after="0" w:line="240" w:lineRule="auto"/>
              <w:rPr>
                <w:noProof/>
              </w:rPr>
            </w:pPr>
            <w:r>
              <w:rPr>
                <w:noProof/>
              </w:rPr>
              <w:t>Prix des plans urbains</w:t>
            </w:r>
          </w:p>
        </w:tc>
        <w:tc>
          <w:tcPr>
            <w:tcW w:w="1440" w:type="dxa"/>
            <w:tcBorders>
              <w:top w:val="single" w:sz="4" w:space="0" w:color="auto"/>
              <w:left w:val="single" w:sz="4" w:space="0" w:color="auto"/>
              <w:bottom w:val="single" w:sz="4" w:space="0" w:color="auto"/>
              <w:right w:val="single" w:sz="4" w:space="0" w:color="auto"/>
            </w:tcBorders>
            <w:shd w:val="clear" w:color="auto" w:fill="C6EFCE"/>
            <w:noWrap/>
          </w:tcPr>
          <w:p w14:paraId="02074C54" w14:textId="77777777" w:rsidR="00A00259" w:rsidRDefault="00371282">
            <w:pPr>
              <w:pStyle w:val="P68B1DB1-Normal12"/>
              <w:spacing w:after="0" w:line="240" w:lineRule="auto"/>
              <w:rPr>
                <w:noProof/>
              </w:rPr>
            </w:pPr>
            <w:r>
              <w:rPr>
                <w:noProof/>
              </w:rPr>
              <w:t>Notification de l'attribution des marchés</w:t>
            </w:r>
          </w:p>
        </w:tc>
        <w:tc>
          <w:tcPr>
            <w:tcW w:w="1125" w:type="dxa"/>
            <w:tcBorders>
              <w:top w:val="single" w:sz="4" w:space="0" w:color="auto"/>
              <w:left w:val="single" w:sz="4" w:space="0" w:color="auto"/>
              <w:bottom w:val="single" w:sz="4" w:space="0" w:color="auto"/>
              <w:right w:val="single" w:sz="4" w:space="0" w:color="auto"/>
            </w:tcBorders>
            <w:shd w:val="clear" w:color="auto" w:fill="C6EFCE"/>
            <w:noWrap/>
          </w:tcPr>
          <w:p w14:paraId="6D07E4C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281" w:type="dxa"/>
            <w:tcBorders>
              <w:top w:val="single" w:sz="4" w:space="0" w:color="auto"/>
              <w:left w:val="single" w:sz="4" w:space="0" w:color="auto"/>
              <w:bottom w:val="single" w:sz="4" w:space="0" w:color="auto"/>
              <w:right w:val="single" w:sz="4" w:space="0" w:color="auto"/>
            </w:tcBorders>
            <w:shd w:val="clear" w:color="auto" w:fill="C6EFCE"/>
            <w:noWrap/>
          </w:tcPr>
          <w:p w14:paraId="62E1150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6FF0202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C6EFCE"/>
            <w:noWrap/>
          </w:tcPr>
          <w:p w14:paraId="6A0D7E7B" w14:textId="77777777" w:rsidR="00A00259" w:rsidRDefault="00371282">
            <w:pPr>
              <w:pStyle w:val="P68B1DB1-Normal12"/>
              <w:spacing w:after="0" w:line="240" w:lineRule="auto"/>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2BA357D" w14:textId="77777777" w:rsidR="00A00259" w:rsidRDefault="00371282">
            <w:pPr>
              <w:pStyle w:val="P68B1DB1-Normal12"/>
              <w:spacing w:after="0" w:line="240" w:lineRule="auto"/>
              <w:rPr>
                <w:noProof/>
              </w:rPr>
            </w:pPr>
            <w:r>
              <w:rPr>
                <w:noProof/>
              </w:rPr>
              <w:t>2023</w:t>
            </w:r>
          </w:p>
        </w:tc>
        <w:tc>
          <w:tcPr>
            <w:tcW w:w="4450" w:type="dxa"/>
            <w:tcBorders>
              <w:top w:val="single" w:sz="4" w:space="0" w:color="auto"/>
              <w:left w:val="single" w:sz="4" w:space="0" w:color="auto"/>
              <w:bottom w:val="single" w:sz="4" w:space="0" w:color="auto"/>
              <w:right w:val="single" w:sz="4" w:space="0" w:color="auto"/>
            </w:tcBorders>
            <w:shd w:val="clear" w:color="auto" w:fill="C6EFCE"/>
            <w:noWrap/>
          </w:tcPr>
          <w:p w14:paraId="5CA2B91A" w14:textId="77777777" w:rsidR="00A00259" w:rsidRDefault="00371282">
            <w:pPr>
              <w:pStyle w:val="P68B1DB1-Normal12"/>
              <w:spacing w:after="0" w:line="240" w:lineRule="auto"/>
              <w:rPr>
                <w:rFonts w:eastAsia="Times New Roman"/>
                <w:noProof/>
              </w:rPr>
            </w:pPr>
            <w:r>
              <w:rPr>
                <w:noProof/>
              </w:rPr>
              <w:t xml:space="preserve">Notification de l’attribution de 100 % de tous les marchés (pour toutes les interventions): </w:t>
            </w:r>
          </w:p>
          <w:p w14:paraId="69A3F93A" w14:textId="77777777" w:rsidR="00A00259" w:rsidRDefault="00371282">
            <w:pPr>
              <w:pStyle w:val="P68B1DB1-Normal12"/>
              <w:spacing w:after="0" w:line="240" w:lineRule="auto"/>
              <w:rPr>
                <w:rFonts w:eastAsia="Times New Roman"/>
                <w:noProof/>
              </w:rPr>
            </w:pPr>
            <w:r>
              <w:rPr>
                <w:noProof/>
              </w:rPr>
              <w:t xml:space="preserve">1. l'élaboration de plans urbains locaux; </w:t>
            </w:r>
          </w:p>
          <w:p w14:paraId="529D1DA8" w14:textId="77777777" w:rsidR="00A00259" w:rsidRDefault="00371282">
            <w:pPr>
              <w:pStyle w:val="P68B1DB1-Normal12"/>
              <w:spacing w:after="0" w:line="240" w:lineRule="auto"/>
              <w:rPr>
                <w:rFonts w:eastAsia="Times New Roman"/>
                <w:noProof/>
              </w:rPr>
            </w:pPr>
            <w:r>
              <w:rPr>
                <w:noProof/>
              </w:rPr>
              <w:t>2. la préparation de Plans Urbains Spéciaux;</w:t>
            </w:r>
          </w:p>
          <w:p w14:paraId="70878BF9" w14:textId="77777777" w:rsidR="00A00259" w:rsidRDefault="00371282">
            <w:pPr>
              <w:pStyle w:val="P68B1DB1-Normal12"/>
              <w:spacing w:after="0" w:line="240" w:lineRule="auto"/>
              <w:rPr>
                <w:rFonts w:eastAsia="Times New Roman"/>
                <w:noProof/>
              </w:rPr>
            </w:pPr>
            <w:r>
              <w:rPr>
                <w:noProof/>
              </w:rPr>
              <w:t>3. l'élaboration de plans indépendants pour la définition des zones de transfert des droits de développement;</w:t>
            </w:r>
          </w:p>
          <w:p w14:paraId="1B11B669" w14:textId="77777777" w:rsidR="00A00259" w:rsidRDefault="00371282">
            <w:pPr>
              <w:pStyle w:val="P68B1DB1-Normal12"/>
              <w:spacing w:after="0" w:line="240" w:lineRule="auto"/>
              <w:rPr>
                <w:rFonts w:eastAsia="Times New Roman"/>
                <w:noProof/>
              </w:rPr>
            </w:pPr>
            <w:r>
              <w:rPr>
                <w:noProof/>
              </w:rPr>
              <w:t>4. l'élaboration de plans indépendants pour la délimitation des colonies; et</w:t>
            </w:r>
          </w:p>
          <w:p w14:paraId="4E8BB827" w14:textId="0EB0C05F" w:rsidR="00A00259" w:rsidRDefault="00371282">
            <w:pPr>
              <w:pStyle w:val="P68B1DB1-Normal12"/>
              <w:spacing w:after="0" w:line="240" w:lineRule="auto"/>
              <w:rPr>
                <w:noProof/>
              </w:rPr>
            </w:pPr>
            <w:r>
              <w:rPr>
                <w:noProof/>
              </w:rPr>
              <w:t>5. la préparation de plans indépendants pour la caractérisation des routes municipales.</w:t>
            </w:r>
          </w:p>
        </w:tc>
      </w:tr>
    </w:tbl>
    <w:p w14:paraId="52E8F3B9" w14:textId="77777777" w:rsidR="00A00259" w:rsidRDefault="00A00259">
      <w:pPr>
        <w:spacing w:after="0" w:line="240" w:lineRule="auto"/>
        <w:rPr>
          <w:noProof/>
          <w:color w:val="006100"/>
          <w:sz w:val="18"/>
        </w:rPr>
        <w:sectPr w:rsidR="00A00259">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tbl>
      <w:tblPr>
        <w:tblW w:w="15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1800"/>
        <w:gridCol w:w="1080"/>
        <w:gridCol w:w="1569"/>
        <w:gridCol w:w="1477"/>
        <w:gridCol w:w="1125"/>
        <w:gridCol w:w="1281"/>
        <w:gridCol w:w="846"/>
        <w:gridCol w:w="986"/>
        <w:gridCol w:w="709"/>
        <w:gridCol w:w="4450"/>
      </w:tblGrid>
      <w:tr w:rsidR="00A00259" w14:paraId="4477DE42" w14:textId="77777777">
        <w:trPr>
          <w:trHeight w:val="443"/>
          <w:tblHeader/>
          <w:jc w:val="center"/>
        </w:trPr>
        <w:tc>
          <w:tcPr>
            <w:tcW w:w="608" w:type="dxa"/>
            <w:vMerge w:val="restart"/>
            <w:shd w:val="clear" w:color="auto" w:fill="BDD7EE"/>
            <w:noWrap/>
            <w:vAlign w:val="center"/>
          </w:tcPr>
          <w:p w14:paraId="4DDAEBBB" w14:textId="77777777" w:rsidR="00A00259" w:rsidRDefault="00371282">
            <w:pPr>
              <w:pStyle w:val="P68B1DB1-Normal10"/>
              <w:spacing w:after="0" w:line="240" w:lineRule="auto"/>
              <w:jc w:val="center"/>
              <w:rPr>
                <w:rFonts w:cs="Times New Roman"/>
                <w:noProof/>
                <w:color w:val="006100"/>
                <w:szCs w:val="18"/>
              </w:rPr>
            </w:pPr>
            <w:r>
              <w:rPr>
                <w:noProof/>
              </w:rPr>
              <w:t>Seq. Non.</w:t>
            </w:r>
          </w:p>
        </w:tc>
        <w:tc>
          <w:tcPr>
            <w:tcW w:w="1800" w:type="dxa"/>
            <w:vMerge w:val="restart"/>
            <w:shd w:val="clear" w:color="auto" w:fill="BDD7EE"/>
            <w:noWrap/>
            <w:vAlign w:val="center"/>
          </w:tcPr>
          <w:p w14:paraId="62923182" w14:textId="77777777" w:rsidR="00A00259" w:rsidRDefault="00371282">
            <w:pPr>
              <w:pStyle w:val="P68B1DB1-Normal10"/>
              <w:spacing w:after="0" w:line="240" w:lineRule="auto"/>
              <w:jc w:val="center"/>
              <w:rPr>
                <w:rFonts w:cs="Times New Roman"/>
                <w:noProof/>
                <w:color w:val="006100"/>
                <w:szCs w:val="18"/>
              </w:rPr>
            </w:pPr>
            <w:r>
              <w:rPr>
                <w:noProof/>
              </w:rPr>
              <w:t>Mesure connexe (réforme ou investissement)</w:t>
            </w:r>
          </w:p>
        </w:tc>
        <w:tc>
          <w:tcPr>
            <w:tcW w:w="1080" w:type="dxa"/>
            <w:vMerge w:val="restart"/>
            <w:shd w:val="clear" w:color="auto" w:fill="BDD7EE"/>
            <w:noWrap/>
            <w:vAlign w:val="center"/>
          </w:tcPr>
          <w:p w14:paraId="1D823A7F" w14:textId="77777777" w:rsidR="00A00259" w:rsidRDefault="00371282">
            <w:pPr>
              <w:pStyle w:val="P68B1DB1-Normal10"/>
              <w:spacing w:after="0" w:line="240" w:lineRule="auto"/>
              <w:jc w:val="center"/>
              <w:rPr>
                <w:rFonts w:cs="Times New Roman"/>
                <w:noProof/>
                <w:color w:val="006100"/>
                <w:szCs w:val="18"/>
              </w:rPr>
            </w:pPr>
            <w:r>
              <w:rPr>
                <w:noProof/>
              </w:rPr>
              <w:t>Étape/cible</w:t>
            </w:r>
          </w:p>
        </w:tc>
        <w:tc>
          <w:tcPr>
            <w:tcW w:w="1569" w:type="dxa"/>
            <w:vMerge w:val="restart"/>
            <w:shd w:val="clear" w:color="auto" w:fill="BDD7EE"/>
            <w:noWrap/>
            <w:vAlign w:val="center"/>
          </w:tcPr>
          <w:p w14:paraId="280ACDB0" w14:textId="77777777" w:rsidR="00A00259" w:rsidRDefault="00371282">
            <w:pPr>
              <w:pStyle w:val="P68B1DB1-Normal10"/>
              <w:spacing w:after="0" w:line="240" w:lineRule="auto"/>
              <w:jc w:val="center"/>
              <w:rPr>
                <w:rFonts w:cs="Times New Roman"/>
                <w:noProof/>
                <w:color w:val="006100"/>
                <w:szCs w:val="18"/>
              </w:rPr>
            </w:pPr>
            <w:r>
              <w:rPr>
                <w:noProof/>
              </w:rPr>
              <w:t>Nom</w:t>
            </w:r>
          </w:p>
        </w:tc>
        <w:tc>
          <w:tcPr>
            <w:tcW w:w="1477" w:type="dxa"/>
            <w:vMerge w:val="restart"/>
            <w:shd w:val="clear" w:color="auto" w:fill="BDD7EE"/>
            <w:noWrap/>
            <w:vAlign w:val="center"/>
          </w:tcPr>
          <w:p w14:paraId="4181B194" w14:textId="77777777" w:rsidR="00A00259" w:rsidRDefault="00371282">
            <w:pPr>
              <w:pStyle w:val="P68B1DB1-Normal10"/>
              <w:spacing w:after="0" w:line="240" w:lineRule="auto"/>
              <w:jc w:val="center"/>
              <w:rPr>
                <w:rFonts w:cs="Times New Roman"/>
                <w:noProof/>
                <w:color w:val="006100"/>
                <w:szCs w:val="18"/>
              </w:rPr>
            </w:pPr>
            <w:r>
              <w:rPr>
                <w:noProof/>
              </w:rPr>
              <w:t>Indicateurs qualitatifs (pour les jalons)</w:t>
            </w:r>
          </w:p>
        </w:tc>
        <w:tc>
          <w:tcPr>
            <w:tcW w:w="3111" w:type="dxa"/>
            <w:gridSpan w:val="3"/>
            <w:shd w:val="clear" w:color="auto" w:fill="BDD7EE"/>
            <w:noWrap/>
            <w:vAlign w:val="center"/>
          </w:tcPr>
          <w:p w14:paraId="27865009" w14:textId="77777777" w:rsidR="00A00259" w:rsidRDefault="00371282">
            <w:pPr>
              <w:pStyle w:val="P68B1DB1-Normal18"/>
              <w:spacing w:after="0" w:line="240" w:lineRule="auto"/>
              <w:jc w:val="center"/>
              <w:rPr>
                <w:rFonts w:ascii="Times New Roman" w:eastAsia="Times New Roman" w:hAnsi="Times New Roman" w:cs="Times New Roman"/>
                <w:noProof/>
                <w:color w:val="006100"/>
                <w:szCs w:val="18"/>
              </w:rPr>
            </w:pPr>
            <w:r>
              <w:rPr>
                <w:rFonts w:ascii="Times New Roman" w:hAnsi="Times New Roman"/>
                <w:noProof/>
              </w:rPr>
              <w:t xml:space="preserve">Indicateurs quantitatifs </w:t>
            </w:r>
            <w:r>
              <w:rPr>
                <w:rFonts w:ascii="Times New Roman" w:hAnsi="Times New Roman" w:cs="Times New Roman"/>
                <w:noProof/>
                <w:szCs w:val="18"/>
              </w:rPr>
              <w:br/>
            </w:r>
            <w:r>
              <w:rPr>
                <w:rFonts w:ascii="Times New Roman" w:hAnsi="Times New Roman"/>
                <w:noProof/>
              </w:rPr>
              <w:t>(pour les objectifs)</w:t>
            </w:r>
          </w:p>
        </w:tc>
        <w:tc>
          <w:tcPr>
            <w:tcW w:w="1560" w:type="dxa"/>
            <w:gridSpan w:val="2"/>
            <w:shd w:val="clear" w:color="auto" w:fill="BDD7EE"/>
            <w:noWrap/>
          </w:tcPr>
          <w:p w14:paraId="66B937DE" w14:textId="77777777" w:rsidR="00A00259" w:rsidRDefault="00371282">
            <w:pPr>
              <w:pStyle w:val="P68B1DB1-Normal10"/>
              <w:spacing w:after="0" w:line="240" w:lineRule="auto"/>
              <w:jc w:val="center"/>
              <w:rPr>
                <w:rFonts w:cs="Times New Roman"/>
                <w:noProof/>
                <w:color w:val="006100"/>
                <w:szCs w:val="18"/>
              </w:rPr>
            </w:pPr>
            <w:r>
              <w:rPr>
                <w:noProof/>
              </w:rPr>
              <w:t>Calendrier indicatif d'achèvement</w:t>
            </w:r>
          </w:p>
        </w:tc>
        <w:tc>
          <w:tcPr>
            <w:tcW w:w="4450" w:type="dxa"/>
            <w:vMerge w:val="restart"/>
            <w:shd w:val="clear" w:color="auto" w:fill="BDD7EE"/>
            <w:noWrap/>
            <w:vAlign w:val="center"/>
          </w:tcPr>
          <w:p w14:paraId="6AA12E3E" w14:textId="77777777" w:rsidR="00A00259" w:rsidRDefault="00371282">
            <w:pPr>
              <w:pStyle w:val="P68B1DB1-Normal10"/>
              <w:spacing w:after="0" w:line="240" w:lineRule="auto"/>
              <w:jc w:val="center"/>
              <w:rPr>
                <w:rFonts w:cs="Times New Roman"/>
                <w:noProof/>
                <w:color w:val="006100"/>
                <w:szCs w:val="18"/>
              </w:rPr>
            </w:pPr>
            <w:r>
              <w:rPr>
                <w:noProof/>
              </w:rPr>
              <w:t>Description de chaque jalon et cible</w:t>
            </w:r>
          </w:p>
        </w:tc>
      </w:tr>
      <w:tr w:rsidR="00A00259" w14:paraId="1FD9B783" w14:textId="77777777">
        <w:trPr>
          <w:trHeight w:val="442"/>
          <w:tblHeader/>
          <w:jc w:val="center"/>
        </w:trPr>
        <w:tc>
          <w:tcPr>
            <w:tcW w:w="608" w:type="dxa"/>
            <w:vMerge/>
            <w:noWrap/>
            <w:vAlign w:val="center"/>
          </w:tcPr>
          <w:p w14:paraId="45966CBB" w14:textId="77777777" w:rsidR="00A00259" w:rsidRDefault="00A00259">
            <w:pPr>
              <w:spacing w:after="0" w:line="240" w:lineRule="auto"/>
              <w:rPr>
                <w:rFonts w:ascii="Times New Roman" w:hAnsi="Times New Roman"/>
                <w:b/>
                <w:noProof/>
                <w:sz w:val="18"/>
              </w:rPr>
            </w:pPr>
          </w:p>
        </w:tc>
        <w:tc>
          <w:tcPr>
            <w:tcW w:w="1800" w:type="dxa"/>
            <w:vMerge/>
            <w:noWrap/>
            <w:vAlign w:val="center"/>
          </w:tcPr>
          <w:p w14:paraId="36D62B35" w14:textId="77777777" w:rsidR="00A00259" w:rsidRDefault="00A00259">
            <w:pPr>
              <w:spacing w:after="0" w:line="240" w:lineRule="auto"/>
              <w:rPr>
                <w:rFonts w:ascii="Times New Roman" w:hAnsi="Times New Roman"/>
                <w:b/>
                <w:noProof/>
                <w:sz w:val="18"/>
              </w:rPr>
            </w:pPr>
          </w:p>
        </w:tc>
        <w:tc>
          <w:tcPr>
            <w:tcW w:w="1080" w:type="dxa"/>
            <w:vMerge/>
            <w:noWrap/>
            <w:vAlign w:val="center"/>
          </w:tcPr>
          <w:p w14:paraId="514471F6" w14:textId="77777777" w:rsidR="00A00259" w:rsidRDefault="00A00259">
            <w:pPr>
              <w:spacing w:after="0" w:line="240" w:lineRule="auto"/>
              <w:rPr>
                <w:rFonts w:ascii="Times New Roman" w:hAnsi="Times New Roman"/>
                <w:b/>
                <w:noProof/>
                <w:sz w:val="18"/>
              </w:rPr>
            </w:pPr>
          </w:p>
        </w:tc>
        <w:tc>
          <w:tcPr>
            <w:tcW w:w="1569" w:type="dxa"/>
            <w:vMerge/>
            <w:noWrap/>
            <w:vAlign w:val="center"/>
          </w:tcPr>
          <w:p w14:paraId="49D4BED0" w14:textId="77777777" w:rsidR="00A00259" w:rsidRDefault="00A00259">
            <w:pPr>
              <w:spacing w:after="0" w:line="240" w:lineRule="auto"/>
              <w:rPr>
                <w:rFonts w:ascii="Times New Roman" w:hAnsi="Times New Roman"/>
                <w:b/>
                <w:noProof/>
                <w:sz w:val="18"/>
              </w:rPr>
            </w:pPr>
          </w:p>
        </w:tc>
        <w:tc>
          <w:tcPr>
            <w:tcW w:w="1477" w:type="dxa"/>
            <w:vMerge/>
            <w:noWrap/>
            <w:vAlign w:val="center"/>
          </w:tcPr>
          <w:p w14:paraId="01A9003E" w14:textId="77777777" w:rsidR="00A00259" w:rsidRDefault="00A00259">
            <w:pPr>
              <w:spacing w:after="0" w:line="240" w:lineRule="auto"/>
              <w:rPr>
                <w:rFonts w:ascii="Times New Roman" w:hAnsi="Times New Roman"/>
                <w:b/>
                <w:noProof/>
                <w:sz w:val="18"/>
              </w:rPr>
            </w:pPr>
          </w:p>
        </w:tc>
        <w:tc>
          <w:tcPr>
            <w:tcW w:w="1125"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4B7AF35C" w14:textId="77777777" w:rsidR="00A00259" w:rsidRDefault="00371282">
            <w:pPr>
              <w:pStyle w:val="P68B1DB1-Normal10"/>
              <w:spacing w:after="0" w:line="240" w:lineRule="auto"/>
              <w:jc w:val="center"/>
              <w:rPr>
                <w:rFonts w:eastAsia="Times New Roman" w:cs="Times New Roman"/>
                <w:noProof/>
                <w:color w:val="006100"/>
                <w:szCs w:val="18"/>
              </w:rPr>
            </w:pPr>
            <w:r>
              <w:rPr>
                <w:noProof/>
              </w:rPr>
              <w:t>Unité de mesure</w:t>
            </w:r>
          </w:p>
        </w:tc>
        <w:tc>
          <w:tcPr>
            <w:tcW w:w="1281" w:type="dxa"/>
            <w:tcBorders>
              <w:top w:val="single" w:sz="4" w:space="0" w:color="auto"/>
              <w:left w:val="single" w:sz="4" w:space="0" w:color="auto"/>
              <w:bottom w:val="single" w:sz="4" w:space="0" w:color="auto"/>
              <w:right w:val="single" w:sz="4" w:space="0" w:color="auto"/>
            </w:tcBorders>
            <w:shd w:val="clear" w:color="auto" w:fill="BDD7EE"/>
            <w:vAlign w:val="center"/>
          </w:tcPr>
          <w:p w14:paraId="46D6EA0A" w14:textId="77777777" w:rsidR="00A00259" w:rsidRDefault="00371282">
            <w:pPr>
              <w:pStyle w:val="P68B1DB1-Normal10"/>
              <w:spacing w:after="0" w:line="240" w:lineRule="auto"/>
              <w:jc w:val="center"/>
              <w:rPr>
                <w:rFonts w:eastAsia="Times New Roman" w:cs="Times New Roman"/>
                <w:noProof/>
                <w:color w:val="006100"/>
                <w:szCs w:val="18"/>
              </w:rPr>
            </w:pPr>
            <w:r>
              <w:rPr>
                <w:noProof/>
              </w:rPr>
              <w:t>Données de référence</w:t>
            </w:r>
          </w:p>
        </w:tc>
        <w:tc>
          <w:tcPr>
            <w:tcW w:w="705" w:type="dxa"/>
            <w:tcBorders>
              <w:top w:val="single" w:sz="4" w:space="0" w:color="auto"/>
              <w:left w:val="single" w:sz="4" w:space="0" w:color="auto"/>
              <w:bottom w:val="single" w:sz="4" w:space="0" w:color="auto"/>
              <w:right w:val="single" w:sz="4" w:space="0" w:color="auto"/>
            </w:tcBorders>
            <w:shd w:val="clear" w:color="auto" w:fill="BDD7EE"/>
            <w:vAlign w:val="center"/>
          </w:tcPr>
          <w:p w14:paraId="3DDD49DD" w14:textId="77777777" w:rsidR="00A00259" w:rsidRDefault="00371282">
            <w:pPr>
              <w:pStyle w:val="P68B1DB1-Normal10"/>
              <w:spacing w:after="0" w:line="240" w:lineRule="auto"/>
              <w:jc w:val="center"/>
              <w:rPr>
                <w:rFonts w:eastAsia="Times New Roman" w:cs="Times New Roman"/>
                <w:noProof/>
                <w:color w:val="006100"/>
                <w:szCs w:val="18"/>
              </w:rPr>
            </w:pPr>
            <w:r>
              <w:rPr>
                <w:noProof/>
              </w:rPr>
              <w:t>Objectif</w:t>
            </w:r>
          </w:p>
        </w:tc>
        <w:tc>
          <w:tcPr>
            <w:tcW w:w="851"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6D678105" w14:textId="77777777" w:rsidR="00A00259" w:rsidRDefault="00371282">
            <w:pPr>
              <w:pStyle w:val="P68B1DB1-Normal10"/>
              <w:spacing w:after="0" w:line="240" w:lineRule="auto"/>
              <w:jc w:val="center"/>
              <w:rPr>
                <w:rFonts w:cs="Times New Roman"/>
                <w:noProof/>
                <w:color w:val="006100"/>
                <w:szCs w:val="18"/>
              </w:rPr>
            </w:pPr>
            <w:r>
              <w:rPr>
                <w:noProof/>
              </w:rPr>
              <w:t>Trimestre</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tcPr>
          <w:p w14:paraId="36CD7F93" w14:textId="77777777" w:rsidR="00A00259" w:rsidRDefault="00371282">
            <w:pPr>
              <w:pStyle w:val="P68B1DB1-Normal10"/>
              <w:spacing w:after="0" w:line="240" w:lineRule="auto"/>
              <w:jc w:val="center"/>
              <w:rPr>
                <w:rFonts w:cs="Times New Roman"/>
                <w:noProof/>
                <w:color w:val="006100"/>
                <w:szCs w:val="18"/>
              </w:rPr>
            </w:pPr>
            <w:r>
              <w:rPr>
                <w:noProof/>
              </w:rPr>
              <w:t>Année</w:t>
            </w:r>
          </w:p>
        </w:tc>
        <w:tc>
          <w:tcPr>
            <w:tcW w:w="4450" w:type="dxa"/>
            <w:vMerge/>
            <w:noWrap/>
          </w:tcPr>
          <w:p w14:paraId="04A3ED78" w14:textId="77777777" w:rsidR="00A00259" w:rsidRDefault="00A00259">
            <w:pPr>
              <w:spacing w:after="0" w:line="240" w:lineRule="auto"/>
              <w:rPr>
                <w:rFonts w:ascii="Times New Roman" w:hAnsi="Times New Roman" w:cs="Times New Roman"/>
                <w:noProof/>
                <w:color w:val="006100"/>
                <w:sz w:val="18"/>
                <w:szCs w:val="18"/>
              </w:rPr>
            </w:pPr>
          </w:p>
        </w:tc>
      </w:tr>
      <w:tr w:rsidR="00A00259" w14:paraId="49A10157" w14:textId="77777777">
        <w:trPr>
          <w:trHeight w:val="313"/>
          <w:tblHeader/>
          <w:jc w:val="center"/>
        </w:trPr>
        <w:tc>
          <w:tcPr>
            <w:tcW w:w="608" w:type="dxa"/>
            <w:shd w:val="clear" w:color="auto" w:fill="C6EFCE"/>
            <w:noWrap/>
          </w:tcPr>
          <w:p w14:paraId="7E61E8CA" w14:textId="77777777" w:rsidR="00A00259" w:rsidRDefault="00371282">
            <w:pPr>
              <w:pStyle w:val="P68B1DB1-Normal12"/>
              <w:spacing w:after="0" w:line="240" w:lineRule="auto"/>
              <w:rPr>
                <w:rFonts w:eastAsia="Times New Roman"/>
                <w:noProof/>
              </w:rPr>
            </w:pPr>
            <w:r>
              <w:rPr>
                <w:noProof/>
              </w:rPr>
              <w:t>29</w:t>
            </w:r>
          </w:p>
        </w:tc>
        <w:tc>
          <w:tcPr>
            <w:tcW w:w="1800" w:type="dxa"/>
            <w:shd w:val="clear" w:color="auto" w:fill="C6EFCE"/>
            <w:noWrap/>
          </w:tcPr>
          <w:p w14:paraId="0D2C832C" w14:textId="77777777" w:rsidR="00A00259" w:rsidRDefault="00371282">
            <w:pPr>
              <w:pStyle w:val="P68B1DB1-Normal12"/>
              <w:spacing w:after="0" w:line="240" w:lineRule="auto"/>
              <w:rPr>
                <w:rFonts w:eastAsia="Times New Roman"/>
                <w:noProof/>
              </w:rPr>
            </w:pPr>
            <w:r>
              <w:rPr>
                <w:noProof/>
              </w:rPr>
              <w:t>2 - 1.2. 16879_Préparation des plans urbains dans le cadre de la mise en œuvre de la réforme de la politique urbaine</w:t>
            </w:r>
          </w:p>
        </w:tc>
        <w:tc>
          <w:tcPr>
            <w:tcW w:w="1080" w:type="dxa"/>
            <w:shd w:val="clear" w:color="auto" w:fill="C6EFCE"/>
            <w:noWrap/>
          </w:tcPr>
          <w:p w14:paraId="7FB0F723" w14:textId="77777777" w:rsidR="00A00259" w:rsidRDefault="00371282">
            <w:pPr>
              <w:pStyle w:val="P68B1DB1-Normal12"/>
              <w:spacing w:after="0" w:line="240" w:lineRule="auto"/>
              <w:rPr>
                <w:rFonts w:eastAsia="Times New Roman"/>
                <w:noProof/>
              </w:rPr>
            </w:pPr>
            <w:r>
              <w:rPr>
                <w:noProof/>
              </w:rPr>
              <w:t>Étape</w:t>
            </w:r>
          </w:p>
        </w:tc>
        <w:tc>
          <w:tcPr>
            <w:tcW w:w="1569" w:type="dxa"/>
            <w:shd w:val="clear" w:color="auto" w:fill="C6EFCE"/>
            <w:noWrap/>
          </w:tcPr>
          <w:p w14:paraId="4305F6D8" w14:textId="77777777" w:rsidR="00A00259" w:rsidRDefault="00371282">
            <w:pPr>
              <w:pStyle w:val="P68B1DB1-Normal12"/>
              <w:spacing w:after="0" w:line="240" w:lineRule="auto"/>
              <w:rPr>
                <w:rFonts w:eastAsia="Times New Roman"/>
                <w:noProof/>
              </w:rPr>
            </w:pPr>
            <w:r>
              <w:rPr>
                <w:noProof/>
              </w:rPr>
              <w:t>Étapes préparatoires des plans d'urbanisme</w:t>
            </w:r>
          </w:p>
        </w:tc>
        <w:tc>
          <w:tcPr>
            <w:tcW w:w="1477" w:type="dxa"/>
            <w:shd w:val="clear" w:color="auto" w:fill="C6EFCE"/>
            <w:noWrap/>
          </w:tcPr>
          <w:p w14:paraId="56DBA37E" w14:textId="03BE292C" w:rsidR="00A00259" w:rsidRDefault="00371282">
            <w:pPr>
              <w:pStyle w:val="P68B1DB1-Normal12"/>
              <w:spacing w:after="0" w:line="240" w:lineRule="auto"/>
              <w:rPr>
                <w:rFonts w:eastAsia="Times New Roman"/>
                <w:noProof/>
              </w:rPr>
            </w:pPr>
            <w:r>
              <w:rPr>
                <w:noProof/>
              </w:rPr>
              <w:t>Délivrance par le ministère de l'Environnement et de l'Énergie d'une évaluation positive pour certaines études et délivrance par le ministère de l'Environnement et de l'Énergie d'un certificat d'achèvement d'autres études pour les plans urbains</w:t>
            </w:r>
          </w:p>
        </w:tc>
        <w:tc>
          <w:tcPr>
            <w:tcW w:w="1125" w:type="dxa"/>
            <w:shd w:val="clear" w:color="auto" w:fill="C6EFCE"/>
            <w:noWrap/>
          </w:tcPr>
          <w:p w14:paraId="431C0F9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281" w:type="dxa"/>
            <w:shd w:val="clear" w:color="auto" w:fill="C6EFCE"/>
            <w:noWrap/>
          </w:tcPr>
          <w:p w14:paraId="268FB0A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05" w:type="dxa"/>
            <w:shd w:val="clear" w:color="auto" w:fill="C6EFCE"/>
            <w:noWrap/>
          </w:tcPr>
          <w:p w14:paraId="717906D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4B07DF23"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08081FC1" w14:textId="77777777" w:rsidR="00A00259" w:rsidRDefault="00371282">
            <w:pPr>
              <w:pStyle w:val="P68B1DB1-Normal12"/>
              <w:spacing w:after="0" w:line="240" w:lineRule="auto"/>
              <w:rPr>
                <w:rFonts w:eastAsia="Times New Roman"/>
                <w:noProof/>
              </w:rPr>
            </w:pPr>
            <w:r>
              <w:rPr>
                <w:noProof/>
              </w:rPr>
              <w:t>2025</w:t>
            </w:r>
          </w:p>
        </w:tc>
        <w:tc>
          <w:tcPr>
            <w:tcW w:w="4450" w:type="dxa"/>
            <w:shd w:val="clear" w:color="auto" w:fill="C6EFCE"/>
            <w:noWrap/>
          </w:tcPr>
          <w:p w14:paraId="6DF80C4A" w14:textId="3A48EB5E" w:rsidR="00A00259" w:rsidRDefault="00371282">
            <w:pPr>
              <w:pStyle w:val="P68B1DB1-Normal12"/>
              <w:spacing w:after="0" w:line="240" w:lineRule="auto"/>
              <w:rPr>
                <w:noProof/>
              </w:rPr>
            </w:pPr>
            <w:r>
              <w:rPr>
                <w:noProof/>
              </w:rPr>
              <w:t>Délivrance par le ministère de l'Environnement et de l'Énergie d'une évaluation positive pour les études concernant les plans urbains locaux ou les plans urbains spéciaux dans 585 unités municipales;</w:t>
            </w:r>
          </w:p>
          <w:p w14:paraId="246900B4" w14:textId="77777777" w:rsidR="00A00259" w:rsidRDefault="00A00259">
            <w:pPr>
              <w:rPr>
                <w:rFonts w:ascii="Times New Roman" w:hAnsi="Times New Roman" w:cs="Times New Roman"/>
                <w:noProof/>
                <w:color w:val="006100"/>
                <w:sz w:val="18"/>
                <w:szCs w:val="18"/>
              </w:rPr>
            </w:pPr>
          </w:p>
          <w:p w14:paraId="738ED57D" w14:textId="5583237F" w:rsidR="00A00259" w:rsidRDefault="00371282">
            <w:pPr>
              <w:pStyle w:val="P68B1DB1-Normal12"/>
              <w:rPr>
                <w:rFonts w:eastAsia="Times New Roman"/>
                <w:noProof/>
              </w:rPr>
            </w:pPr>
            <w:r>
              <w:rPr>
                <w:noProof/>
              </w:rPr>
              <w:t>et la délivrance par le ministère de l'Environnement et de l'Énergie d'un certificat d'achèvement des études concernant la caractérisation des routes municipales dans 625 unités municipales.</w:t>
            </w:r>
          </w:p>
        </w:tc>
      </w:tr>
      <w:tr w:rsidR="00A00259" w14:paraId="471A3531" w14:textId="77777777">
        <w:trPr>
          <w:trHeight w:val="313"/>
          <w:tblHeader/>
          <w:jc w:val="center"/>
        </w:trPr>
        <w:tc>
          <w:tcPr>
            <w:tcW w:w="608" w:type="dxa"/>
            <w:shd w:val="clear" w:color="auto" w:fill="C6EFCE"/>
            <w:noWrap/>
          </w:tcPr>
          <w:p w14:paraId="40BD33DB" w14:textId="77777777" w:rsidR="00A00259" w:rsidRDefault="00371282">
            <w:pPr>
              <w:pStyle w:val="P68B1DB1-Normal12"/>
              <w:spacing w:after="0" w:line="240" w:lineRule="auto"/>
              <w:rPr>
                <w:rFonts w:eastAsia="Times New Roman"/>
                <w:noProof/>
              </w:rPr>
            </w:pPr>
            <w:r>
              <w:rPr>
                <w:noProof/>
              </w:rPr>
              <w:t>30</w:t>
            </w:r>
          </w:p>
        </w:tc>
        <w:tc>
          <w:tcPr>
            <w:tcW w:w="1800" w:type="dxa"/>
            <w:shd w:val="clear" w:color="auto" w:fill="C6EFCE"/>
            <w:noWrap/>
          </w:tcPr>
          <w:p w14:paraId="357B3CD0" w14:textId="77777777" w:rsidR="00A00259" w:rsidRDefault="00371282">
            <w:pPr>
              <w:pStyle w:val="P68B1DB1-Normal12"/>
              <w:spacing w:after="0" w:line="240" w:lineRule="auto"/>
              <w:rPr>
                <w:rFonts w:eastAsia="Times New Roman"/>
                <w:noProof/>
              </w:rPr>
            </w:pPr>
            <w:r>
              <w:rPr>
                <w:noProof/>
              </w:rPr>
              <w:t>2 - 1.2. 16894_Établissement d'un nouvel aménagement spécial de l'espace pour les SER, l'industrie et le tourisme</w:t>
            </w:r>
          </w:p>
        </w:tc>
        <w:tc>
          <w:tcPr>
            <w:tcW w:w="1080" w:type="dxa"/>
            <w:shd w:val="clear" w:color="auto" w:fill="C6EFCE"/>
            <w:noWrap/>
          </w:tcPr>
          <w:p w14:paraId="53D8D2C0" w14:textId="77777777" w:rsidR="00A00259" w:rsidRDefault="00371282">
            <w:pPr>
              <w:pStyle w:val="P68B1DB1-Normal12"/>
              <w:spacing w:after="0" w:line="240" w:lineRule="auto"/>
              <w:rPr>
                <w:rFonts w:eastAsia="Times New Roman"/>
                <w:noProof/>
              </w:rPr>
            </w:pPr>
            <w:r>
              <w:rPr>
                <w:noProof/>
              </w:rPr>
              <w:t xml:space="preserve"> Étape</w:t>
            </w:r>
          </w:p>
        </w:tc>
        <w:tc>
          <w:tcPr>
            <w:tcW w:w="1569" w:type="dxa"/>
            <w:shd w:val="clear" w:color="auto" w:fill="C6EFCE"/>
            <w:noWrap/>
          </w:tcPr>
          <w:p w14:paraId="4019EBC3" w14:textId="77777777" w:rsidR="00A00259" w:rsidRDefault="00371282">
            <w:pPr>
              <w:pStyle w:val="P68B1DB1-Normal12"/>
              <w:spacing w:after="0" w:line="240" w:lineRule="auto"/>
              <w:rPr>
                <w:rFonts w:eastAsia="Times New Roman"/>
                <w:noProof/>
              </w:rPr>
            </w:pPr>
            <w:r>
              <w:rPr>
                <w:noProof/>
              </w:rPr>
              <w:t>Adoption de cadres spatiaux spéciaux</w:t>
            </w:r>
          </w:p>
        </w:tc>
        <w:tc>
          <w:tcPr>
            <w:tcW w:w="1477" w:type="dxa"/>
            <w:shd w:val="clear" w:color="auto" w:fill="C6EFCE"/>
            <w:noWrap/>
          </w:tcPr>
          <w:p w14:paraId="3D7673C7" w14:textId="77777777" w:rsidR="00A00259" w:rsidRDefault="00371282">
            <w:pPr>
              <w:pStyle w:val="P68B1DB1-Normal12"/>
              <w:spacing w:after="0" w:line="240" w:lineRule="auto"/>
              <w:rPr>
                <w:rFonts w:eastAsia="Times New Roman"/>
                <w:noProof/>
              </w:rPr>
            </w:pPr>
            <w:r>
              <w:rPr>
                <w:noProof/>
              </w:rPr>
              <w:t>Adoption de trois cadres spatiaux spéciaux pour les sources d'énergie renouvelables (SER), le tourisme et l'industrie</w:t>
            </w:r>
          </w:p>
        </w:tc>
        <w:tc>
          <w:tcPr>
            <w:tcW w:w="1125" w:type="dxa"/>
            <w:shd w:val="clear" w:color="auto" w:fill="C6EFCE"/>
            <w:noWrap/>
          </w:tcPr>
          <w:p w14:paraId="04446E4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281" w:type="dxa"/>
            <w:shd w:val="clear" w:color="auto" w:fill="C6EFCE"/>
            <w:noWrap/>
          </w:tcPr>
          <w:p w14:paraId="5046D96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05" w:type="dxa"/>
            <w:shd w:val="clear" w:color="auto" w:fill="C6EFCE"/>
            <w:noWrap/>
          </w:tcPr>
          <w:p w14:paraId="491029A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0C1BAE16"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1CF24C79" w14:textId="77777777" w:rsidR="00A00259" w:rsidRDefault="00371282">
            <w:pPr>
              <w:pStyle w:val="P68B1DB1-Normal12"/>
              <w:spacing w:after="0" w:line="240" w:lineRule="auto"/>
              <w:rPr>
                <w:rFonts w:eastAsia="Times New Roman"/>
                <w:noProof/>
              </w:rPr>
            </w:pPr>
            <w:r>
              <w:rPr>
                <w:noProof/>
              </w:rPr>
              <w:t>2025</w:t>
            </w:r>
          </w:p>
        </w:tc>
        <w:tc>
          <w:tcPr>
            <w:tcW w:w="4450" w:type="dxa"/>
            <w:shd w:val="clear" w:color="auto" w:fill="C6EFCE"/>
            <w:noWrap/>
          </w:tcPr>
          <w:p w14:paraId="166C8691" w14:textId="77777777" w:rsidR="00A00259" w:rsidRDefault="00371282">
            <w:pPr>
              <w:pStyle w:val="P68B1DB1-Normal12"/>
              <w:spacing w:after="0" w:line="240" w:lineRule="auto"/>
              <w:rPr>
                <w:noProof/>
              </w:rPr>
            </w:pPr>
            <w:r>
              <w:rPr>
                <w:noProof/>
              </w:rPr>
              <w:t>Adoption de trois cadres spatiaux spéciaux pour les sources d'énergie renouvelables (SER), le tourisme et l'industrie.</w:t>
            </w:r>
          </w:p>
          <w:p w14:paraId="5C731C86" w14:textId="77777777" w:rsidR="00A00259" w:rsidRDefault="00A00259">
            <w:pPr>
              <w:spacing w:after="0" w:line="240" w:lineRule="auto"/>
              <w:rPr>
                <w:rFonts w:ascii="Times New Roman" w:eastAsia="Times New Roman" w:hAnsi="Times New Roman" w:cs="Times New Roman"/>
                <w:noProof/>
                <w:color w:val="006100"/>
                <w:sz w:val="18"/>
                <w:szCs w:val="18"/>
              </w:rPr>
            </w:pPr>
          </w:p>
        </w:tc>
      </w:tr>
      <w:tr w:rsidR="00A00259" w14:paraId="0CCAD12F" w14:textId="77777777">
        <w:trPr>
          <w:trHeight w:val="313"/>
          <w:tblHeader/>
          <w:jc w:val="center"/>
        </w:trPr>
        <w:tc>
          <w:tcPr>
            <w:tcW w:w="608" w:type="dxa"/>
            <w:shd w:val="clear" w:color="auto" w:fill="C6EFCE"/>
            <w:noWrap/>
          </w:tcPr>
          <w:p w14:paraId="537783F3" w14:textId="77777777" w:rsidR="00A00259" w:rsidRDefault="00371282">
            <w:pPr>
              <w:pStyle w:val="P68B1DB1-Normal12"/>
              <w:spacing w:after="0" w:line="240" w:lineRule="auto"/>
              <w:rPr>
                <w:rFonts w:eastAsia="Times New Roman"/>
                <w:noProof/>
              </w:rPr>
            </w:pPr>
            <w:r>
              <w:rPr>
                <w:noProof/>
              </w:rPr>
              <w:t>31</w:t>
            </w:r>
          </w:p>
        </w:tc>
        <w:tc>
          <w:tcPr>
            <w:tcW w:w="1800" w:type="dxa"/>
            <w:shd w:val="clear" w:color="auto" w:fill="C6EFCE"/>
            <w:noWrap/>
          </w:tcPr>
          <w:p w14:paraId="2B0DD161" w14:textId="77777777" w:rsidR="00A00259" w:rsidRDefault="00371282">
            <w:pPr>
              <w:pStyle w:val="P68B1DB1-Normal12"/>
              <w:spacing w:after="0" w:line="240" w:lineRule="auto"/>
              <w:rPr>
                <w:rFonts w:eastAsia="Times New Roman"/>
                <w:noProof/>
              </w:rPr>
            </w:pPr>
            <w:r>
              <w:rPr>
                <w:noProof/>
              </w:rPr>
              <w:t>2 - 1.2. Rénover - 16891_Établissement d'une nouvelle planification de l'espace maritime</w:t>
            </w:r>
          </w:p>
        </w:tc>
        <w:tc>
          <w:tcPr>
            <w:tcW w:w="1080" w:type="dxa"/>
            <w:shd w:val="clear" w:color="auto" w:fill="C6EFCE"/>
            <w:noWrap/>
          </w:tcPr>
          <w:p w14:paraId="4C263062" w14:textId="77777777" w:rsidR="00A00259" w:rsidRDefault="00371282">
            <w:pPr>
              <w:pStyle w:val="P68B1DB1-Normal12"/>
              <w:spacing w:after="0" w:line="240" w:lineRule="auto"/>
              <w:rPr>
                <w:rFonts w:eastAsia="Times New Roman"/>
                <w:noProof/>
              </w:rPr>
            </w:pPr>
            <w:r>
              <w:rPr>
                <w:noProof/>
              </w:rPr>
              <w:t>Étape</w:t>
            </w:r>
          </w:p>
          <w:p w14:paraId="701AF7A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569" w:type="dxa"/>
            <w:shd w:val="clear" w:color="auto" w:fill="C6EFCE"/>
            <w:noWrap/>
          </w:tcPr>
          <w:p w14:paraId="559B38D3" w14:textId="77777777" w:rsidR="00A00259" w:rsidRDefault="00371282">
            <w:pPr>
              <w:pStyle w:val="P68B1DB1-Normal12"/>
              <w:spacing w:after="0" w:line="240" w:lineRule="auto"/>
              <w:rPr>
                <w:rFonts w:eastAsia="Times New Roman"/>
                <w:noProof/>
              </w:rPr>
            </w:pPr>
            <w:r>
              <w:rPr>
                <w:noProof/>
              </w:rPr>
              <w:t>Adoption de la stratégie maritime</w:t>
            </w:r>
          </w:p>
        </w:tc>
        <w:tc>
          <w:tcPr>
            <w:tcW w:w="1477" w:type="dxa"/>
            <w:shd w:val="clear" w:color="auto" w:fill="C6EFCE"/>
            <w:noWrap/>
          </w:tcPr>
          <w:p w14:paraId="3EDFE65F" w14:textId="77777777" w:rsidR="00A00259" w:rsidRDefault="00371282">
            <w:pPr>
              <w:pStyle w:val="P68B1DB1-Normal12"/>
              <w:spacing w:after="0" w:line="240" w:lineRule="auto"/>
              <w:rPr>
                <w:rFonts w:eastAsia="Times New Roman"/>
                <w:noProof/>
              </w:rPr>
            </w:pPr>
            <w:r>
              <w:rPr>
                <w:noProof/>
              </w:rPr>
              <w:t>Adoption d'une nouvelle stratégie pour l'espace maritime</w:t>
            </w:r>
          </w:p>
        </w:tc>
        <w:tc>
          <w:tcPr>
            <w:tcW w:w="1125" w:type="dxa"/>
            <w:shd w:val="clear" w:color="auto" w:fill="C6EFCE"/>
            <w:noWrap/>
          </w:tcPr>
          <w:p w14:paraId="2E959DA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281" w:type="dxa"/>
            <w:shd w:val="clear" w:color="auto" w:fill="C6EFCE"/>
            <w:noWrap/>
          </w:tcPr>
          <w:p w14:paraId="3CCF0DE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05" w:type="dxa"/>
            <w:shd w:val="clear" w:color="auto" w:fill="C6EFCE"/>
            <w:noWrap/>
          </w:tcPr>
          <w:p w14:paraId="6E54394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3025DF50" w14:textId="77777777" w:rsidR="00A00259" w:rsidRDefault="00371282">
            <w:pPr>
              <w:pStyle w:val="P68B1DB1-Normal12"/>
              <w:spacing w:after="0" w:line="240" w:lineRule="auto"/>
              <w:rPr>
                <w:rFonts w:eastAsia="Times New Roman"/>
                <w:noProof/>
              </w:rPr>
            </w:pPr>
            <w:r>
              <w:rPr>
                <w:noProof/>
              </w:rPr>
              <w:t>T2</w:t>
            </w:r>
          </w:p>
        </w:tc>
        <w:tc>
          <w:tcPr>
            <w:tcW w:w="709" w:type="dxa"/>
            <w:shd w:val="clear" w:color="auto" w:fill="C6EFCE"/>
            <w:noWrap/>
          </w:tcPr>
          <w:p w14:paraId="37F4D269" w14:textId="77777777" w:rsidR="00A00259" w:rsidRDefault="00371282">
            <w:pPr>
              <w:pStyle w:val="P68B1DB1-Normal12"/>
              <w:spacing w:after="0" w:line="240" w:lineRule="auto"/>
              <w:rPr>
                <w:rFonts w:eastAsia="Times New Roman"/>
                <w:noProof/>
              </w:rPr>
            </w:pPr>
            <w:r>
              <w:rPr>
                <w:noProof/>
              </w:rPr>
              <w:t>2024</w:t>
            </w:r>
          </w:p>
        </w:tc>
        <w:tc>
          <w:tcPr>
            <w:tcW w:w="4450" w:type="dxa"/>
            <w:shd w:val="clear" w:color="auto" w:fill="C6EFCE"/>
            <w:noWrap/>
          </w:tcPr>
          <w:p w14:paraId="4638D186" w14:textId="77777777" w:rsidR="00A00259" w:rsidRDefault="00371282">
            <w:pPr>
              <w:pStyle w:val="P68B1DB1-Normal12"/>
              <w:spacing w:after="0" w:line="240" w:lineRule="auto"/>
              <w:rPr>
                <w:rFonts w:eastAsia="Times New Roman"/>
                <w:noProof/>
              </w:rPr>
            </w:pPr>
            <w:r>
              <w:rPr>
                <w:noProof/>
              </w:rPr>
              <w:t xml:space="preserve">Adoption par le ministère de l'environnement et de l'énergie de la stratégie de l'espace maritime. </w:t>
            </w:r>
          </w:p>
        </w:tc>
      </w:tr>
    </w:tbl>
    <w:p w14:paraId="5BC7A0D5" w14:textId="77777777" w:rsidR="00A00259" w:rsidRDefault="00A00259">
      <w:pPr>
        <w:keepNext/>
        <w:keepLines/>
        <w:spacing w:before="40" w:after="0" w:line="240" w:lineRule="auto"/>
        <w:jc w:val="both"/>
        <w:outlineLvl w:val="4"/>
        <w:rPr>
          <w:rFonts w:ascii="Cambria" w:hAnsi="Cambria"/>
          <w:noProof/>
          <w:color w:val="365F91"/>
          <w:sz w:val="24"/>
        </w:rPr>
      </w:pPr>
    </w:p>
    <w:p w14:paraId="751F3137" w14:textId="2DD0AB32" w:rsidR="00A00259" w:rsidRDefault="00371282">
      <w:pPr>
        <w:pStyle w:val="P68B1DB1-Normal9"/>
        <w:spacing w:after="0" w:line="240" w:lineRule="auto"/>
        <w:rPr>
          <w:rFonts w:eastAsia="Times New Roman"/>
          <w:noProof/>
        </w:rPr>
      </w:pPr>
      <w:r>
        <w:rPr>
          <w:noProof/>
        </w:rPr>
        <w:br w:type="page"/>
        <w:t>Groupe 2: Rénovation énergétique des entreprises et des bâtiments publics</w:t>
      </w:r>
    </w:p>
    <w:p w14:paraId="48AFF05C" w14:textId="77777777" w:rsidR="00A00259" w:rsidRDefault="00371282">
      <w:pPr>
        <w:pStyle w:val="P68B1DB1-Normal5"/>
        <w:spacing w:before="120" w:after="120" w:line="240" w:lineRule="auto"/>
        <w:rPr>
          <w:rFonts w:cs="Times New Roman"/>
          <w:noProof/>
        </w:rPr>
      </w:pPr>
      <w:r>
        <w:rPr>
          <w:noProof/>
        </w:rPr>
        <w:t>Les mesures incluses dans ce groupe sont les suivantes:</w:t>
      </w:r>
    </w:p>
    <w:p w14:paraId="20A4CA1F" w14:textId="77777777" w:rsidR="00A00259" w:rsidRDefault="00371282">
      <w:pPr>
        <w:spacing w:before="120" w:after="120" w:line="240" w:lineRule="auto"/>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Énergie et entrepreneuriat (ID: 16874)</w:t>
      </w:r>
    </w:p>
    <w:p w14:paraId="6CEAD2C9" w14:textId="77777777" w:rsidR="00A00259" w:rsidRDefault="00371282">
      <w:pPr>
        <w:spacing w:before="120" w:after="120" w:line="240" w:lineRule="auto"/>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Mise à niveau énergétique des bâtiments du secteur public et des infrastructures énergétiques des entités publiques (ID: 16876)</w:t>
      </w:r>
    </w:p>
    <w:p w14:paraId="07A56CD2" w14:textId="77777777" w:rsidR="00A00259" w:rsidRDefault="00371282">
      <w:pPr>
        <w:spacing w:before="120" w:after="120" w:line="240" w:lineRule="auto"/>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Plan d’action en matière de précarité énergétique (ID: 16920)</w:t>
      </w: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833"/>
        <w:gridCol w:w="1080"/>
        <w:gridCol w:w="1371"/>
        <w:gridCol w:w="1418"/>
        <w:gridCol w:w="1276"/>
        <w:gridCol w:w="992"/>
        <w:gridCol w:w="850"/>
        <w:gridCol w:w="993"/>
        <w:gridCol w:w="992"/>
        <w:gridCol w:w="3937"/>
      </w:tblGrid>
      <w:tr w:rsidR="00A00259" w14:paraId="094C4A70" w14:textId="77777777" w:rsidTr="00CE3F9A">
        <w:trPr>
          <w:trHeight w:val="939"/>
          <w:tblHeader/>
          <w:jc w:val="center"/>
        </w:trPr>
        <w:tc>
          <w:tcPr>
            <w:tcW w:w="675" w:type="dxa"/>
            <w:vMerge w:val="restart"/>
            <w:shd w:val="clear" w:color="auto" w:fill="BDD7EE"/>
            <w:vAlign w:val="center"/>
            <w:hideMark/>
          </w:tcPr>
          <w:p w14:paraId="704C7B3E" w14:textId="77777777" w:rsidR="00A00259" w:rsidRDefault="00371282">
            <w:pPr>
              <w:pStyle w:val="P68B1DB1-Normal10"/>
              <w:spacing w:after="0" w:line="240" w:lineRule="auto"/>
              <w:jc w:val="center"/>
              <w:rPr>
                <w:rFonts w:eastAsia="Times New Roman" w:cs="Times New Roman"/>
                <w:bCs/>
                <w:noProof/>
                <w:szCs w:val="18"/>
              </w:rPr>
            </w:pPr>
            <w:r>
              <w:rPr>
                <w:noProof/>
              </w:rPr>
              <w:t>Seq.</w:t>
            </w:r>
            <w:r>
              <w:rPr>
                <w:noProof/>
              </w:rPr>
              <w:br/>
              <w:t>Non</w:t>
            </w:r>
          </w:p>
        </w:tc>
        <w:tc>
          <w:tcPr>
            <w:tcW w:w="1833" w:type="dxa"/>
            <w:vMerge w:val="restart"/>
            <w:shd w:val="clear" w:color="auto" w:fill="BDD7EE"/>
            <w:vAlign w:val="center"/>
            <w:hideMark/>
          </w:tcPr>
          <w:p w14:paraId="4120FA40"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080" w:type="dxa"/>
            <w:vMerge w:val="restart"/>
            <w:shd w:val="clear" w:color="auto" w:fill="BDD7EE"/>
            <w:vAlign w:val="center"/>
            <w:hideMark/>
          </w:tcPr>
          <w:p w14:paraId="292D457D"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371" w:type="dxa"/>
            <w:vMerge w:val="restart"/>
            <w:shd w:val="clear" w:color="auto" w:fill="BDD7EE"/>
            <w:vAlign w:val="center"/>
            <w:hideMark/>
          </w:tcPr>
          <w:p w14:paraId="48CF96E3"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418" w:type="dxa"/>
            <w:vMerge w:val="restart"/>
            <w:shd w:val="clear" w:color="auto" w:fill="BDD7EE"/>
            <w:vAlign w:val="center"/>
            <w:hideMark/>
          </w:tcPr>
          <w:p w14:paraId="5EDC716F" w14:textId="77777777" w:rsidR="00A00259" w:rsidRDefault="00371282">
            <w:pPr>
              <w:pStyle w:val="P68B1DB1-Normal18"/>
              <w:spacing w:after="0" w:line="240" w:lineRule="auto"/>
              <w:jc w:val="center"/>
              <w:rPr>
                <w:rFonts w:ascii="Times New Roman" w:eastAsia="Times New Roman" w:hAnsi="Times New Roman" w:cs="Times New Roman"/>
                <w:bCs/>
                <w:noProof/>
                <w:szCs w:val="18"/>
              </w:rPr>
            </w:pPr>
            <w:r>
              <w:rPr>
                <w:rFonts w:ascii="Times New Roman" w:hAnsi="Times New Roman"/>
                <w:noProof/>
              </w:rPr>
              <w:t xml:space="preserve">Indicateurs qualitatifs </w:t>
            </w:r>
            <w:r>
              <w:rPr>
                <w:rFonts w:ascii="Times New Roman" w:hAnsi="Times New Roman" w:cs="Times New Roman"/>
                <w:noProof/>
                <w:szCs w:val="18"/>
              </w:rPr>
              <w:br/>
            </w:r>
            <w:r>
              <w:rPr>
                <w:rFonts w:ascii="Times New Roman" w:hAnsi="Times New Roman"/>
                <w:noProof/>
              </w:rPr>
              <w:t>(pour les jalons)</w:t>
            </w:r>
          </w:p>
        </w:tc>
        <w:tc>
          <w:tcPr>
            <w:tcW w:w="3118" w:type="dxa"/>
            <w:gridSpan w:val="3"/>
            <w:shd w:val="clear" w:color="auto" w:fill="BDD7EE"/>
            <w:vAlign w:val="center"/>
            <w:hideMark/>
          </w:tcPr>
          <w:p w14:paraId="49F8898A" w14:textId="77777777" w:rsidR="00A00259" w:rsidRDefault="00371282">
            <w:pPr>
              <w:pStyle w:val="P68B1DB1-Normal18"/>
              <w:spacing w:after="0" w:line="240" w:lineRule="auto"/>
              <w:jc w:val="center"/>
              <w:rPr>
                <w:rFonts w:ascii="Times New Roman" w:eastAsia="Times New Roman" w:hAnsi="Times New Roman" w:cs="Times New Roman"/>
                <w:bCs/>
                <w:noProof/>
                <w:szCs w:val="18"/>
              </w:rPr>
            </w:pPr>
            <w:r>
              <w:rPr>
                <w:rFonts w:ascii="Times New Roman" w:hAnsi="Times New Roman"/>
                <w:noProof/>
              </w:rPr>
              <w:t xml:space="preserve">Indicateurs quantitatifs </w:t>
            </w:r>
            <w:r>
              <w:rPr>
                <w:rFonts w:ascii="Times New Roman" w:hAnsi="Times New Roman" w:cs="Times New Roman"/>
                <w:noProof/>
                <w:szCs w:val="18"/>
              </w:rPr>
              <w:br/>
            </w:r>
            <w:r>
              <w:rPr>
                <w:rFonts w:ascii="Times New Roman" w:hAnsi="Times New Roman"/>
                <w:noProof/>
              </w:rPr>
              <w:t>(pour les objectifs)</w:t>
            </w:r>
          </w:p>
        </w:tc>
        <w:tc>
          <w:tcPr>
            <w:tcW w:w="1985" w:type="dxa"/>
            <w:gridSpan w:val="2"/>
            <w:shd w:val="clear" w:color="auto" w:fill="BDD7EE"/>
            <w:vAlign w:val="center"/>
            <w:hideMark/>
          </w:tcPr>
          <w:p w14:paraId="5EC14148"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3937" w:type="dxa"/>
            <w:vMerge w:val="restart"/>
            <w:shd w:val="clear" w:color="auto" w:fill="BDD7EE"/>
            <w:vAlign w:val="center"/>
            <w:hideMark/>
          </w:tcPr>
          <w:p w14:paraId="36F2524E"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1DFE1F95" w14:textId="77777777" w:rsidTr="00CE3F9A">
        <w:trPr>
          <w:trHeight w:val="1027"/>
          <w:tblHeader/>
          <w:jc w:val="center"/>
        </w:trPr>
        <w:tc>
          <w:tcPr>
            <w:tcW w:w="675" w:type="dxa"/>
            <w:vMerge/>
            <w:vAlign w:val="center"/>
            <w:hideMark/>
          </w:tcPr>
          <w:p w14:paraId="4ED064D5" w14:textId="77777777" w:rsidR="00A00259" w:rsidRDefault="00A00259">
            <w:pPr>
              <w:spacing w:after="0" w:line="240" w:lineRule="auto"/>
              <w:rPr>
                <w:rFonts w:ascii="Times New Roman" w:eastAsia="Times New Roman" w:hAnsi="Times New Roman" w:cs="Times New Roman"/>
                <w:b/>
                <w:bCs/>
                <w:noProof/>
                <w:sz w:val="18"/>
                <w:szCs w:val="18"/>
              </w:rPr>
            </w:pPr>
          </w:p>
        </w:tc>
        <w:tc>
          <w:tcPr>
            <w:tcW w:w="1833" w:type="dxa"/>
            <w:vMerge/>
            <w:vAlign w:val="center"/>
            <w:hideMark/>
          </w:tcPr>
          <w:p w14:paraId="2BB9176C" w14:textId="77777777" w:rsidR="00A00259" w:rsidRDefault="00A00259">
            <w:pPr>
              <w:spacing w:after="0" w:line="240" w:lineRule="auto"/>
              <w:rPr>
                <w:rFonts w:ascii="Times New Roman" w:eastAsia="Times New Roman" w:hAnsi="Times New Roman" w:cs="Times New Roman"/>
                <w:b/>
                <w:bCs/>
                <w:noProof/>
                <w:sz w:val="18"/>
                <w:szCs w:val="18"/>
              </w:rPr>
            </w:pPr>
          </w:p>
        </w:tc>
        <w:tc>
          <w:tcPr>
            <w:tcW w:w="1080" w:type="dxa"/>
            <w:vMerge/>
            <w:vAlign w:val="center"/>
            <w:hideMark/>
          </w:tcPr>
          <w:p w14:paraId="76C44E1E" w14:textId="77777777" w:rsidR="00A00259" w:rsidRDefault="00A00259">
            <w:pPr>
              <w:spacing w:after="0" w:line="240" w:lineRule="auto"/>
              <w:rPr>
                <w:rFonts w:ascii="Times New Roman" w:eastAsia="Times New Roman" w:hAnsi="Times New Roman" w:cs="Times New Roman"/>
                <w:b/>
                <w:bCs/>
                <w:noProof/>
                <w:sz w:val="18"/>
                <w:szCs w:val="18"/>
              </w:rPr>
            </w:pPr>
          </w:p>
        </w:tc>
        <w:tc>
          <w:tcPr>
            <w:tcW w:w="1371" w:type="dxa"/>
            <w:vMerge/>
            <w:vAlign w:val="center"/>
            <w:hideMark/>
          </w:tcPr>
          <w:p w14:paraId="63F5C477" w14:textId="77777777" w:rsidR="00A00259" w:rsidRDefault="00A00259">
            <w:pPr>
              <w:spacing w:after="0" w:line="240" w:lineRule="auto"/>
              <w:rPr>
                <w:rFonts w:ascii="Times New Roman" w:eastAsia="Times New Roman" w:hAnsi="Times New Roman" w:cs="Times New Roman"/>
                <w:b/>
                <w:bCs/>
                <w:noProof/>
                <w:sz w:val="18"/>
                <w:szCs w:val="18"/>
              </w:rPr>
            </w:pPr>
          </w:p>
        </w:tc>
        <w:tc>
          <w:tcPr>
            <w:tcW w:w="1418" w:type="dxa"/>
            <w:vMerge/>
            <w:vAlign w:val="center"/>
            <w:hideMark/>
          </w:tcPr>
          <w:p w14:paraId="667EF4E7" w14:textId="77777777" w:rsidR="00A00259" w:rsidRDefault="00A00259">
            <w:pPr>
              <w:spacing w:after="0" w:line="240" w:lineRule="auto"/>
              <w:rPr>
                <w:rFonts w:ascii="Times New Roman" w:eastAsia="Times New Roman" w:hAnsi="Times New Roman" w:cs="Times New Roman"/>
                <w:b/>
                <w:bCs/>
                <w:noProof/>
                <w:sz w:val="18"/>
                <w:szCs w:val="18"/>
              </w:rPr>
            </w:pPr>
          </w:p>
        </w:tc>
        <w:tc>
          <w:tcPr>
            <w:tcW w:w="1276" w:type="dxa"/>
            <w:shd w:val="clear" w:color="auto" w:fill="BDD7EE"/>
            <w:vAlign w:val="center"/>
            <w:hideMark/>
          </w:tcPr>
          <w:p w14:paraId="2F861C6F"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992" w:type="dxa"/>
            <w:shd w:val="clear" w:color="auto" w:fill="BDD7EE"/>
            <w:vAlign w:val="center"/>
            <w:hideMark/>
          </w:tcPr>
          <w:p w14:paraId="46FD91FC"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850" w:type="dxa"/>
            <w:shd w:val="clear" w:color="auto" w:fill="BDD7EE"/>
            <w:vAlign w:val="center"/>
            <w:hideMark/>
          </w:tcPr>
          <w:p w14:paraId="08D64B37"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993" w:type="dxa"/>
            <w:shd w:val="clear" w:color="auto" w:fill="BDD7EE"/>
            <w:vAlign w:val="center"/>
            <w:hideMark/>
          </w:tcPr>
          <w:p w14:paraId="20102837"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992" w:type="dxa"/>
            <w:shd w:val="clear" w:color="auto" w:fill="BDD7EE"/>
            <w:vAlign w:val="center"/>
            <w:hideMark/>
          </w:tcPr>
          <w:p w14:paraId="26E39867"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3937" w:type="dxa"/>
            <w:vMerge/>
            <w:vAlign w:val="center"/>
            <w:hideMark/>
          </w:tcPr>
          <w:p w14:paraId="045A79C5"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2B8A06B1" w14:textId="77777777" w:rsidTr="00CE3F9A">
        <w:trPr>
          <w:trHeight w:val="313"/>
          <w:jc w:val="center"/>
        </w:trPr>
        <w:tc>
          <w:tcPr>
            <w:tcW w:w="675" w:type="dxa"/>
            <w:shd w:val="clear" w:color="auto" w:fill="C6EFCE"/>
            <w:noWrap/>
          </w:tcPr>
          <w:p w14:paraId="390E66A1" w14:textId="77777777" w:rsidR="00A00259" w:rsidRDefault="00371282">
            <w:pPr>
              <w:pStyle w:val="P68B1DB1-Normal12"/>
              <w:spacing w:after="0" w:line="240" w:lineRule="auto"/>
              <w:rPr>
                <w:rFonts w:eastAsia="Times New Roman"/>
                <w:noProof/>
              </w:rPr>
            </w:pPr>
            <w:r>
              <w:rPr>
                <w:noProof/>
              </w:rPr>
              <w:t>32</w:t>
            </w:r>
          </w:p>
        </w:tc>
        <w:tc>
          <w:tcPr>
            <w:tcW w:w="1833" w:type="dxa"/>
            <w:shd w:val="clear" w:color="auto" w:fill="C6EFCE"/>
            <w:noWrap/>
          </w:tcPr>
          <w:p w14:paraId="7883FD9C" w14:textId="77777777" w:rsidR="00A00259" w:rsidRDefault="00371282">
            <w:pPr>
              <w:pStyle w:val="P68B1DB1-Normal12"/>
              <w:spacing w:after="0" w:line="240" w:lineRule="auto"/>
              <w:rPr>
                <w:rFonts w:eastAsia="Times New Roman"/>
                <w:noProof/>
              </w:rPr>
            </w:pPr>
            <w:r>
              <w:rPr>
                <w:noProof/>
              </w:rPr>
              <w:t>2 - 1.2. Rénover - 16920_Plan d'action contre la pauvreté énergétique</w:t>
            </w:r>
          </w:p>
        </w:tc>
        <w:tc>
          <w:tcPr>
            <w:tcW w:w="1080" w:type="dxa"/>
            <w:shd w:val="clear" w:color="auto" w:fill="C6EFCE"/>
            <w:noWrap/>
          </w:tcPr>
          <w:p w14:paraId="7AA542AE" w14:textId="77777777" w:rsidR="00A00259" w:rsidRDefault="00371282">
            <w:pPr>
              <w:pStyle w:val="P68B1DB1-Normal12"/>
              <w:spacing w:after="0" w:line="240" w:lineRule="auto"/>
              <w:rPr>
                <w:rFonts w:eastAsia="Times New Roman"/>
                <w:noProof/>
              </w:rPr>
            </w:pPr>
            <w:r>
              <w:rPr>
                <w:noProof/>
              </w:rPr>
              <w:t>Étape</w:t>
            </w:r>
          </w:p>
        </w:tc>
        <w:tc>
          <w:tcPr>
            <w:tcW w:w="1371" w:type="dxa"/>
            <w:shd w:val="clear" w:color="auto" w:fill="C6EFCE"/>
            <w:noWrap/>
          </w:tcPr>
          <w:p w14:paraId="30FBF48A" w14:textId="77777777" w:rsidR="00A00259" w:rsidRDefault="00371282">
            <w:pPr>
              <w:pStyle w:val="P68B1DB1-Normal12"/>
              <w:spacing w:after="0" w:line="240" w:lineRule="auto"/>
              <w:rPr>
                <w:rFonts w:eastAsia="Times New Roman"/>
                <w:noProof/>
              </w:rPr>
            </w:pPr>
            <w:r>
              <w:rPr>
                <w:noProof/>
              </w:rPr>
              <w:t>Précarité énergétique – adoption d’un plan d’action</w:t>
            </w:r>
          </w:p>
          <w:p w14:paraId="4CE1183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418" w:type="dxa"/>
            <w:shd w:val="clear" w:color="auto" w:fill="C6EFCE"/>
            <w:noWrap/>
          </w:tcPr>
          <w:p w14:paraId="7269E345" w14:textId="77777777" w:rsidR="00A00259" w:rsidRDefault="00371282">
            <w:pPr>
              <w:pStyle w:val="P68B1DB1-Normal12"/>
              <w:spacing w:after="0" w:line="240" w:lineRule="auto"/>
              <w:rPr>
                <w:rFonts w:eastAsia="Times New Roman"/>
                <w:noProof/>
              </w:rPr>
            </w:pPr>
            <w:r>
              <w:rPr>
                <w:noProof/>
              </w:rPr>
              <w:t>Entrée en vigueur d'une décision ministérielle du ministère de l'environnement et de l'énergie.</w:t>
            </w:r>
          </w:p>
        </w:tc>
        <w:tc>
          <w:tcPr>
            <w:tcW w:w="1276" w:type="dxa"/>
            <w:shd w:val="clear" w:color="auto" w:fill="C6EFCE"/>
            <w:noWrap/>
          </w:tcPr>
          <w:p w14:paraId="6340B53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475EA0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7A9F2A6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472BF11D" w14:textId="77777777" w:rsidR="00A00259" w:rsidRDefault="00371282">
            <w:pPr>
              <w:pStyle w:val="P68B1DB1-Normal12"/>
              <w:spacing w:after="0" w:line="240" w:lineRule="auto"/>
              <w:rPr>
                <w:rFonts w:eastAsia="Times New Roman"/>
                <w:noProof/>
              </w:rPr>
            </w:pPr>
            <w:r>
              <w:rPr>
                <w:noProof/>
              </w:rPr>
              <w:t>T3</w:t>
            </w:r>
          </w:p>
        </w:tc>
        <w:tc>
          <w:tcPr>
            <w:tcW w:w="992" w:type="dxa"/>
            <w:shd w:val="clear" w:color="auto" w:fill="C6EFCE"/>
            <w:noWrap/>
          </w:tcPr>
          <w:p w14:paraId="7BCDCB0F" w14:textId="77777777" w:rsidR="00A00259" w:rsidRDefault="00371282">
            <w:pPr>
              <w:pStyle w:val="P68B1DB1-Normal12"/>
              <w:spacing w:after="0" w:line="240" w:lineRule="auto"/>
              <w:rPr>
                <w:rFonts w:eastAsia="Times New Roman"/>
                <w:noProof/>
              </w:rPr>
            </w:pPr>
            <w:r>
              <w:rPr>
                <w:noProof/>
              </w:rPr>
              <w:t>2021</w:t>
            </w:r>
          </w:p>
        </w:tc>
        <w:tc>
          <w:tcPr>
            <w:tcW w:w="3937" w:type="dxa"/>
            <w:shd w:val="clear" w:color="auto" w:fill="C6EFCE"/>
            <w:noWrap/>
          </w:tcPr>
          <w:p w14:paraId="20F40360" w14:textId="77777777" w:rsidR="00A00259" w:rsidRDefault="00371282">
            <w:pPr>
              <w:pStyle w:val="P68B1DB1-Normal12"/>
              <w:spacing w:after="0" w:line="240" w:lineRule="auto"/>
              <w:rPr>
                <w:rFonts w:eastAsia="Times New Roman"/>
                <w:noProof/>
              </w:rPr>
            </w:pPr>
            <w:r>
              <w:rPr>
                <w:noProof/>
              </w:rPr>
              <w:t>Entrée en vigueur d’une décision ministérielle du ministère de l’environnement et de l’énergie adoptant le plan d’action sur la précarité énergétique, avec trois catégories de mesures politiques dans le plan:</w:t>
            </w:r>
          </w:p>
          <w:p w14:paraId="4C323657" w14:textId="77777777" w:rsidR="00A00259" w:rsidRDefault="00371282">
            <w:pPr>
              <w:pStyle w:val="P68B1DB1-Normal12"/>
              <w:spacing w:after="0" w:line="240" w:lineRule="auto"/>
              <w:rPr>
                <w:rFonts w:eastAsia="Times New Roman"/>
                <w:noProof/>
              </w:rPr>
            </w:pPr>
            <w:r>
              <w:rPr>
                <w:noProof/>
              </w:rPr>
              <w:t>- Actions de sensibilisation et d'information;</w:t>
            </w:r>
          </w:p>
          <w:p w14:paraId="3D5B97D9" w14:textId="77777777" w:rsidR="00A00259" w:rsidRDefault="00371282">
            <w:pPr>
              <w:pStyle w:val="P68B1DB1-Normal12"/>
              <w:spacing w:after="0" w:line="240" w:lineRule="auto"/>
              <w:rPr>
                <w:rFonts w:eastAsia="Times New Roman"/>
                <w:noProof/>
              </w:rPr>
            </w:pPr>
            <w:r>
              <w:rPr>
                <w:noProof/>
              </w:rPr>
              <w:t>- des mesures de protection à court terme des ménages en situation de précarité énergétique, y compris 1) la définition des ménages en situation de précarité énergétique, au moyen de critères quantitatifs spécifiques, et 2) un processus spécifique de suivi et d’évaluation de l’évolution de la précarité énergétique, conformément au mécanisme proposé dans le plan d’action et à la législation pertinente de l’UE; et</w:t>
            </w:r>
          </w:p>
          <w:p w14:paraId="7DDD3D6A" w14:textId="77777777" w:rsidR="00A00259" w:rsidRDefault="00371282">
            <w:pPr>
              <w:pStyle w:val="P68B1DB1-Normal12"/>
              <w:spacing w:after="0" w:line="240" w:lineRule="auto"/>
              <w:rPr>
                <w:rFonts w:eastAsia="Times New Roman"/>
                <w:noProof/>
              </w:rPr>
            </w:pPr>
            <w:r>
              <w:rPr>
                <w:noProof/>
              </w:rPr>
              <w:t>- Mesures de financement: mise en place de mécanismes de financement pour la mise à niveau énergétique des bâtiments résidentiels des ménages vulnérables à l’énergie et d’autres groupes sociaux présentant des modes de consommation d’électricité spécifiques. Ces mesures financières visent à remédier aux problèmes de précarité énergétique en Grèce, tels que décrits dans le plan national en matière d’énergie et de climat (PNEC).</w:t>
            </w:r>
          </w:p>
        </w:tc>
      </w:tr>
      <w:tr w:rsidR="00A00259" w14:paraId="5C0A5FE3" w14:textId="77777777" w:rsidTr="00CE3F9A">
        <w:trPr>
          <w:trHeight w:val="313"/>
          <w:jc w:val="center"/>
        </w:trPr>
        <w:tc>
          <w:tcPr>
            <w:tcW w:w="675" w:type="dxa"/>
            <w:shd w:val="clear" w:color="auto" w:fill="C6EFCE"/>
            <w:noWrap/>
          </w:tcPr>
          <w:p w14:paraId="692F7F74" w14:textId="77777777" w:rsidR="00A00259" w:rsidRDefault="00371282">
            <w:pPr>
              <w:pStyle w:val="P68B1DB1-Normal12"/>
              <w:spacing w:after="0" w:line="240" w:lineRule="auto"/>
              <w:rPr>
                <w:rFonts w:eastAsia="Times New Roman"/>
                <w:noProof/>
              </w:rPr>
            </w:pPr>
            <w:r>
              <w:rPr>
                <w:noProof/>
              </w:rPr>
              <w:t>33</w:t>
            </w:r>
          </w:p>
        </w:tc>
        <w:tc>
          <w:tcPr>
            <w:tcW w:w="1833" w:type="dxa"/>
            <w:shd w:val="clear" w:color="auto" w:fill="C6EFCE"/>
            <w:noWrap/>
          </w:tcPr>
          <w:p w14:paraId="5E396619" w14:textId="77777777" w:rsidR="00A00259" w:rsidRDefault="00371282">
            <w:pPr>
              <w:pStyle w:val="P68B1DB1-Normal12"/>
              <w:spacing w:after="0" w:line="240" w:lineRule="auto"/>
              <w:rPr>
                <w:rFonts w:eastAsia="Times New Roman"/>
                <w:noProof/>
              </w:rPr>
            </w:pPr>
            <w:r>
              <w:rPr>
                <w:noProof/>
              </w:rPr>
              <w:t>2 - 1.2. Rénover - 16874_Énergie et entrepreneuriat</w:t>
            </w:r>
          </w:p>
        </w:tc>
        <w:tc>
          <w:tcPr>
            <w:tcW w:w="1080" w:type="dxa"/>
            <w:shd w:val="clear" w:color="auto" w:fill="C6EFCE"/>
            <w:noWrap/>
          </w:tcPr>
          <w:p w14:paraId="5B0EA891" w14:textId="77777777" w:rsidR="00A00259" w:rsidRDefault="00371282">
            <w:pPr>
              <w:pStyle w:val="P68B1DB1-Normal12"/>
              <w:spacing w:after="0" w:line="240" w:lineRule="auto"/>
              <w:rPr>
                <w:rFonts w:eastAsia="Times New Roman"/>
                <w:noProof/>
              </w:rPr>
            </w:pPr>
            <w:r>
              <w:rPr>
                <w:noProof/>
              </w:rPr>
              <w:t>Étape</w:t>
            </w:r>
          </w:p>
        </w:tc>
        <w:tc>
          <w:tcPr>
            <w:tcW w:w="1371" w:type="dxa"/>
            <w:shd w:val="clear" w:color="auto" w:fill="C6EFCE"/>
            <w:noWrap/>
          </w:tcPr>
          <w:p w14:paraId="5C65BA8F" w14:textId="77777777" w:rsidR="00A00259" w:rsidRDefault="00371282">
            <w:pPr>
              <w:pStyle w:val="P68B1DB1-Normal12"/>
              <w:spacing w:after="0" w:line="240" w:lineRule="auto"/>
              <w:rPr>
                <w:rFonts w:eastAsia="Times New Roman"/>
                <w:noProof/>
              </w:rPr>
            </w:pPr>
            <w:r>
              <w:rPr>
                <w:noProof/>
              </w:rPr>
              <w:t>Efficacité énergétique du secteur privé – demandes approuvées</w:t>
            </w:r>
          </w:p>
        </w:tc>
        <w:tc>
          <w:tcPr>
            <w:tcW w:w="1418" w:type="dxa"/>
            <w:shd w:val="clear" w:color="auto" w:fill="C6EFCE"/>
            <w:noWrap/>
          </w:tcPr>
          <w:p w14:paraId="45B2F1C4" w14:textId="77777777" w:rsidR="00A00259" w:rsidRDefault="00371282">
            <w:pPr>
              <w:pStyle w:val="P68B1DB1-Normal12"/>
              <w:spacing w:after="0" w:line="240" w:lineRule="auto"/>
              <w:rPr>
                <w:rFonts w:eastAsia="Times New Roman"/>
                <w:noProof/>
              </w:rPr>
            </w:pPr>
            <w:r>
              <w:rPr>
                <w:noProof/>
              </w:rPr>
              <w:t>Approbation par le ministère de l’environnement et de l’énergie des demandes présentées pour des interventions sélectionnées auprès d’entités du secteur privé.</w:t>
            </w:r>
          </w:p>
        </w:tc>
        <w:tc>
          <w:tcPr>
            <w:tcW w:w="1276" w:type="dxa"/>
            <w:shd w:val="clear" w:color="auto" w:fill="C6EFCE"/>
            <w:noWrap/>
          </w:tcPr>
          <w:p w14:paraId="7CF1C2A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61C60B7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05B38D8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5448788F" w14:textId="77777777" w:rsidR="00A00259" w:rsidRDefault="00371282">
            <w:pPr>
              <w:pStyle w:val="P68B1DB1-Normal12"/>
              <w:spacing w:after="0" w:line="240" w:lineRule="auto"/>
              <w:rPr>
                <w:rFonts w:eastAsia="Times New Roman"/>
                <w:noProof/>
              </w:rPr>
            </w:pPr>
            <w:r>
              <w:rPr>
                <w:noProof/>
              </w:rPr>
              <w:t>T4</w:t>
            </w:r>
          </w:p>
        </w:tc>
        <w:tc>
          <w:tcPr>
            <w:tcW w:w="992" w:type="dxa"/>
            <w:shd w:val="clear" w:color="auto" w:fill="C6EFCE"/>
            <w:noWrap/>
          </w:tcPr>
          <w:p w14:paraId="7B45F8F6" w14:textId="77777777" w:rsidR="00A00259" w:rsidRDefault="00371282">
            <w:pPr>
              <w:pStyle w:val="P68B1DB1-Normal12"/>
              <w:spacing w:after="0" w:line="240" w:lineRule="auto"/>
              <w:rPr>
                <w:rFonts w:eastAsia="Times New Roman"/>
                <w:noProof/>
              </w:rPr>
            </w:pPr>
            <w:r>
              <w:rPr>
                <w:noProof/>
              </w:rPr>
              <w:t>2023</w:t>
            </w:r>
          </w:p>
        </w:tc>
        <w:tc>
          <w:tcPr>
            <w:tcW w:w="3937" w:type="dxa"/>
            <w:shd w:val="clear" w:color="auto" w:fill="C6EFCE"/>
            <w:noWrap/>
          </w:tcPr>
          <w:p w14:paraId="466CEE9A" w14:textId="77777777" w:rsidR="00A00259" w:rsidRDefault="00371282">
            <w:pPr>
              <w:pStyle w:val="P68B1DB1-Normal12"/>
              <w:spacing w:after="0" w:line="240" w:lineRule="auto"/>
              <w:rPr>
                <w:rFonts w:eastAsia="Times New Roman"/>
                <w:noProof/>
              </w:rPr>
            </w:pPr>
            <w:r>
              <w:rPr>
                <w:noProof/>
              </w:rPr>
              <w:t>Approbation par le ministère de l’environnement et de l’énergie des demandes de 3 500 entités du secteur privé garantissant que les émissions de gaz carbonique (CO2) sont réduites, en moyenne, d’au moins 30 % par rapport à la situation existante des entités du secteur privé (c’est-à-dire qu’elles peuvent s’appliquer à l’entreprise participante dans son ensemble, au remplacement spécifique d’équipements uniques et/ou au remplacement de processus spécifiques), comme indiqué dans les audits énergétiques réalisés avant les interventions ou d’autres informations certifiées. Les projets sélectionnés doivent être conformes aux orientations techniques «Ne pas causer de préjudice important» (2021/C58/01) grâce à l’utilisation d’une liste d’exclusion et à l’exigence de conformité avec la législation environnementale pertinente de l’UE et nationale.</w:t>
            </w:r>
          </w:p>
        </w:tc>
      </w:tr>
      <w:tr w:rsidR="00A00259" w14:paraId="07ABA352" w14:textId="77777777" w:rsidTr="00CE3F9A">
        <w:trPr>
          <w:trHeight w:val="313"/>
          <w:jc w:val="center"/>
        </w:trPr>
        <w:tc>
          <w:tcPr>
            <w:tcW w:w="675" w:type="dxa"/>
            <w:shd w:val="clear" w:color="auto" w:fill="C6EFCE"/>
            <w:noWrap/>
          </w:tcPr>
          <w:p w14:paraId="150D6E6B" w14:textId="77777777" w:rsidR="00A00259" w:rsidRDefault="00371282">
            <w:pPr>
              <w:pStyle w:val="P68B1DB1-Normal12"/>
              <w:spacing w:after="0" w:line="240" w:lineRule="auto"/>
              <w:rPr>
                <w:rFonts w:eastAsia="Times New Roman"/>
                <w:noProof/>
              </w:rPr>
            </w:pPr>
            <w:r>
              <w:rPr>
                <w:noProof/>
              </w:rPr>
              <w:t>34</w:t>
            </w:r>
          </w:p>
        </w:tc>
        <w:tc>
          <w:tcPr>
            <w:tcW w:w="1833" w:type="dxa"/>
            <w:shd w:val="clear" w:color="auto" w:fill="C6EFCE"/>
            <w:noWrap/>
          </w:tcPr>
          <w:p w14:paraId="3F51C860" w14:textId="77777777" w:rsidR="00A00259" w:rsidRDefault="00371282">
            <w:pPr>
              <w:pStyle w:val="P68B1DB1-Normal12"/>
              <w:spacing w:after="0" w:line="240" w:lineRule="auto"/>
              <w:rPr>
                <w:rFonts w:eastAsia="Times New Roman"/>
                <w:noProof/>
              </w:rPr>
            </w:pPr>
            <w:r>
              <w:rPr>
                <w:noProof/>
              </w:rPr>
              <w:t xml:space="preserve">2 - 1.2. Rénover - 16876_Amélioration énergétique des bâtiments du secteur public </w:t>
            </w:r>
          </w:p>
        </w:tc>
        <w:tc>
          <w:tcPr>
            <w:tcW w:w="1080" w:type="dxa"/>
            <w:shd w:val="clear" w:color="auto" w:fill="C6EFCE"/>
            <w:noWrap/>
          </w:tcPr>
          <w:p w14:paraId="3F80EBFB" w14:textId="77777777" w:rsidR="00A00259" w:rsidRDefault="00371282">
            <w:pPr>
              <w:pStyle w:val="P68B1DB1-Normal12"/>
              <w:spacing w:after="0" w:line="240" w:lineRule="auto"/>
              <w:rPr>
                <w:rFonts w:eastAsia="Times New Roman"/>
                <w:noProof/>
              </w:rPr>
            </w:pPr>
            <w:r>
              <w:rPr>
                <w:noProof/>
              </w:rPr>
              <w:t>Étape</w:t>
            </w:r>
          </w:p>
        </w:tc>
        <w:tc>
          <w:tcPr>
            <w:tcW w:w="1371" w:type="dxa"/>
            <w:shd w:val="clear" w:color="auto" w:fill="C6EFCE"/>
            <w:noWrap/>
          </w:tcPr>
          <w:p w14:paraId="4FE9E59B" w14:textId="77777777" w:rsidR="00A00259" w:rsidRDefault="00371282">
            <w:pPr>
              <w:pStyle w:val="P68B1DB1-Normal12"/>
              <w:spacing w:after="0" w:line="240" w:lineRule="auto"/>
              <w:rPr>
                <w:rFonts w:eastAsia="Times New Roman"/>
                <w:noProof/>
              </w:rPr>
            </w:pPr>
            <w:r>
              <w:rPr>
                <w:noProof/>
              </w:rPr>
              <w:t>Bâtiments publics à haut rendement énergétique – demandes approuvées</w:t>
            </w:r>
          </w:p>
        </w:tc>
        <w:tc>
          <w:tcPr>
            <w:tcW w:w="1418" w:type="dxa"/>
            <w:shd w:val="clear" w:color="auto" w:fill="C6EFCE"/>
            <w:noWrap/>
          </w:tcPr>
          <w:p w14:paraId="5B1A5AF3" w14:textId="77777777" w:rsidR="00A00259" w:rsidRDefault="00371282">
            <w:pPr>
              <w:pStyle w:val="P68B1DB1-Normal12"/>
              <w:spacing w:after="0" w:line="240" w:lineRule="auto"/>
              <w:rPr>
                <w:rFonts w:eastAsia="Times New Roman"/>
                <w:noProof/>
              </w:rPr>
            </w:pPr>
            <w:r>
              <w:rPr>
                <w:noProof/>
              </w:rPr>
              <w:t>Notification d'attributions pour des demandes approuvées par le ministère de l'Environnement et de l'Énergie d'interventions sélectionnées dans des bâtiments du secteur public.</w:t>
            </w:r>
          </w:p>
        </w:tc>
        <w:tc>
          <w:tcPr>
            <w:tcW w:w="1276" w:type="dxa"/>
            <w:shd w:val="clear" w:color="auto" w:fill="C6EFCE"/>
            <w:noWrap/>
          </w:tcPr>
          <w:p w14:paraId="1D200ED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71E643E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29C7705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632DDD2C" w14:textId="77777777" w:rsidR="00A00259" w:rsidRDefault="00371282">
            <w:pPr>
              <w:pStyle w:val="P68B1DB1-Normal12"/>
              <w:spacing w:after="0" w:line="240" w:lineRule="auto"/>
              <w:rPr>
                <w:rFonts w:eastAsia="Times New Roman"/>
                <w:noProof/>
              </w:rPr>
            </w:pPr>
            <w:r>
              <w:rPr>
                <w:noProof/>
              </w:rPr>
              <w:t>T2</w:t>
            </w:r>
          </w:p>
        </w:tc>
        <w:tc>
          <w:tcPr>
            <w:tcW w:w="992" w:type="dxa"/>
            <w:shd w:val="clear" w:color="auto" w:fill="C6EFCE"/>
            <w:noWrap/>
          </w:tcPr>
          <w:p w14:paraId="718ACED4" w14:textId="77777777" w:rsidR="00A00259" w:rsidRDefault="00371282">
            <w:pPr>
              <w:pStyle w:val="P68B1DB1-Normal12"/>
              <w:spacing w:after="0" w:line="240" w:lineRule="auto"/>
              <w:rPr>
                <w:rFonts w:eastAsia="Times New Roman"/>
                <w:noProof/>
              </w:rPr>
            </w:pPr>
            <w:r>
              <w:rPr>
                <w:noProof/>
              </w:rPr>
              <w:t>2023</w:t>
            </w:r>
          </w:p>
        </w:tc>
        <w:tc>
          <w:tcPr>
            <w:tcW w:w="3937" w:type="dxa"/>
            <w:shd w:val="clear" w:color="auto" w:fill="C6EFCE"/>
            <w:noWrap/>
          </w:tcPr>
          <w:p w14:paraId="752D7FCB" w14:textId="77777777" w:rsidR="00A00259" w:rsidRDefault="00371282">
            <w:pPr>
              <w:pStyle w:val="P68B1DB1-Normal12"/>
              <w:spacing w:after="0" w:line="240" w:lineRule="auto"/>
              <w:rPr>
                <w:rFonts w:eastAsia="Times New Roman"/>
                <w:noProof/>
              </w:rPr>
            </w:pPr>
            <w:r>
              <w:rPr>
                <w:noProof/>
              </w:rPr>
              <w:t xml:space="preserve">Approbation par le ministère de l’environnement et de l’énergie des demandes concernant 150 bâtiments du secteur public garantissant que les émissions de CO2 de ces bâtiments respectifs sont réduites, en moyenne, d’au moins 30 % par rapport à leur situation actuelle (comme l’indiquent les audits énergétiques réalisés avant les interventions). </w:t>
            </w:r>
          </w:p>
          <w:p w14:paraId="6D8C746C" w14:textId="77777777" w:rsidR="00A00259" w:rsidRDefault="00A00259">
            <w:pPr>
              <w:spacing w:after="0" w:line="240" w:lineRule="auto"/>
              <w:rPr>
                <w:rFonts w:ascii="Times New Roman" w:eastAsia="Times New Roman" w:hAnsi="Times New Roman" w:cs="Times New Roman"/>
                <w:noProof/>
                <w:color w:val="006100"/>
                <w:sz w:val="18"/>
                <w:szCs w:val="18"/>
              </w:rPr>
            </w:pPr>
          </w:p>
          <w:p w14:paraId="405B3FCE" w14:textId="77777777" w:rsidR="00A00259" w:rsidRDefault="00371282">
            <w:pPr>
              <w:pStyle w:val="P68B1DB1-Normal12"/>
              <w:spacing w:after="0" w:line="240" w:lineRule="auto"/>
              <w:rPr>
                <w:rFonts w:eastAsia="Times New Roman"/>
                <w:noProof/>
              </w:rPr>
            </w:pPr>
            <w:r>
              <w:rPr>
                <w:noProof/>
              </w:rPr>
              <w:t>En ce qui concerne le programme de modernisation énergétique des bâtiments du secteur public, le cadre juridique permettant la conclusion de contrats de performance énergétique a été établi.</w:t>
            </w:r>
          </w:p>
        </w:tc>
      </w:tr>
      <w:tr w:rsidR="00A00259" w14:paraId="73989142" w14:textId="77777777" w:rsidTr="00CE3F9A">
        <w:trPr>
          <w:trHeight w:val="313"/>
          <w:jc w:val="center"/>
        </w:trPr>
        <w:tc>
          <w:tcPr>
            <w:tcW w:w="675" w:type="dxa"/>
            <w:shd w:val="clear" w:color="auto" w:fill="C6EFCE"/>
            <w:noWrap/>
          </w:tcPr>
          <w:p w14:paraId="5EA54054" w14:textId="77777777" w:rsidR="00A00259" w:rsidRDefault="00371282">
            <w:pPr>
              <w:pStyle w:val="P68B1DB1-Normal12"/>
              <w:spacing w:after="0" w:line="240" w:lineRule="auto"/>
              <w:rPr>
                <w:rFonts w:eastAsia="Times New Roman"/>
                <w:noProof/>
              </w:rPr>
            </w:pPr>
            <w:r>
              <w:rPr>
                <w:noProof/>
              </w:rPr>
              <w:t>36</w:t>
            </w:r>
          </w:p>
        </w:tc>
        <w:tc>
          <w:tcPr>
            <w:tcW w:w="1833" w:type="dxa"/>
            <w:shd w:val="clear" w:color="auto" w:fill="C6EFCE"/>
            <w:noWrap/>
          </w:tcPr>
          <w:p w14:paraId="04A1B18F" w14:textId="77777777" w:rsidR="00A00259" w:rsidRDefault="00371282">
            <w:pPr>
              <w:pStyle w:val="P68B1DB1-Normal12"/>
              <w:spacing w:after="0" w:line="240" w:lineRule="auto"/>
              <w:rPr>
                <w:rFonts w:eastAsia="Times New Roman"/>
                <w:noProof/>
              </w:rPr>
            </w:pPr>
            <w:r>
              <w:rPr>
                <w:noProof/>
              </w:rPr>
              <w:t>2 - 1.2. Rénover - 16874_Énergie et entrepreneuriat</w:t>
            </w:r>
          </w:p>
        </w:tc>
        <w:tc>
          <w:tcPr>
            <w:tcW w:w="1080" w:type="dxa"/>
            <w:shd w:val="clear" w:color="auto" w:fill="C6EFCE"/>
            <w:noWrap/>
          </w:tcPr>
          <w:p w14:paraId="4A2562A9" w14:textId="77777777" w:rsidR="00A00259" w:rsidRDefault="00371282">
            <w:pPr>
              <w:pStyle w:val="P68B1DB1-Normal12"/>
              <w:spacing w:after="0" w:line="240" w:lineRule="auto"/>
              <w:rPr>
                <w:noProof/>
              </w:rPr>
            </w:pPr>
            <w:r>
              <w:rPr>
                <w:noProof/>
              </w:rPr>
              <w:t>Objectif</w:t>
            </w:r>
          </w:p>
        </w:tc>
        <w:tc>
          <w:tcPr>
            <w:tcW w:w="1371" w:type="dxa"/>
            <w:shd w:val="clear" w:color="auto" w:fill="C6EFCE"/>
            <w:noWrap/>
          </w:tcPr>
          <w:p w14:paraId="1746D194" w14:textId="77777777" w:rsidR="00A00259" w:rsidRDefault="00371282">
            <w:pPr>
              <w:pStyle w:val="P68B1DB1-Normal12"/>
              <w:spacing w:after="0" w:line="240" w:lineRule="auto"/>
              <w:rPr>
                <w:rFonts w:eastAsia="Times New Roman"/>
                <w:noProof/>
              </w:rPr>
            </w:pPr>
            <w:r>
              <w:rPr>
                <w:noProof/>
              </w:rPr>
              <w:t xml:space="preserve">Efficacité énergétique du secteur privé </w:t>
            </w:r>
          </w:p>
        </w:tc>
        <w:tc>
          <w:tcPr>
            <w:tcW w:w="1418" w:type="dxa"/>
            <w:shd w:val="clear" w:color="auto" w:fill="C6EFCE"/>
            <w:noWrap/>
          </w:tcPr>
          <w:p w14:paraId="12E2C8A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276" w:type="dxa"/>
            <w:shd w:val="clear" w:color="auto" w:fill="C6EFCE"/>
            <w:noWrap/>
          </w:tcPr>
          <w:p w14:paraId="21375BE6" w14:textId="77777777" w:rsidR="00A00259" w:rsidRDefault="00371282">
            <w:pPr>
              <w:pStyle w:val="P68B1DB1-Normal12"/>
              <w:spacing w:after="0" w:line="240" w:lineRule="auto"/>
              <w:rPr>
                <w:rFonts w:eastAsia="Times New Roman"/>
                <w:noProof/>
              </w:rPr>
            </w:pPr>
            <w:r>
              <w:rPr>
                <w:noProof/>
              </w:rPr>
              <w:t>Nombre d ' entités du secteur privé dont les interventions ont été exécutées</w:t>
            </w:r>
          </w:p>
        </w:tc>
        <w:tc>
          <w:tcPr>
            <w:tcW w:w="992" w:type="dxa"/>
            <w:shd w:val="clear" w:color="auto" w:fill="C6EFCE"/>
            <w:noWrap/>
          </w:tcPr>
          <w:p w14:paraId="63CD3BC0" w14:textId="77777777" w:rsidR="00A00259" w:rsidRDefault="00371282">
            <w:pPr>
              <w:pStyle w:val="P68B1DB1-Normal12"/>
              <w:spacing w:after="0" w:line="240" w:lineRule="auto"/>
              <w:rPr>
                <w:rFonts w:eastAsia="Times New Roman"/>
                <w:noProof/>
              </w:rPr>
            </w:pPr>
            <w:r>
              <w:rPr>
                <w:noProof/>
              </w:rPr>
              <w:t>0</w:t>
            </w:r>
          </w:p>
        </w:tc>
        <w:tc>
          <w:tcPr>
            <w:tcW w:w="850" w:type="dxa"/>
            <w:shd w:val="clear" w:color="auto" w:fill="C6EFCE"/>
            <w:noWrap/>
          </w:tcPr>
          <w:p w14:paraId="537A339A" w14:textId="432B5E4B" w:rsidR="00A00259" w:rsidRDefault="00371282">
            <w:pPr>
              <w:pStyle w:val="P68B1DB1-Normal12"/>
              <w:spacing w:after="0" w:line="240" w:lineRule="auto"/>
              <w:rPr>
                <w:rFonts w:eastAsia="Times New Roman"/>
                <w:noProof/>
              </w:rPr>
            </w:pPr>
            <w:r>
              <w:rPr>
                <w:noProof/>
              </w:rPr>
              <w:t>1 060</w:t>
            </w:r>
          </w:p>
        </w:tc>
        <w:tc>
          <w:tcPr>
            <w:tcW w:w="993" w:type="dxa"/>
            <w:shd w:val="clear" w:color="auto" w:fill="C6EFCE"/>
            <w:noWrap/>
          </w:tcPr>
          <w:p w14:paraId="121A88A5" w14:textId="77777777" w:rsidR="00A00259" w:rsidRDefault="00371282">
            <w:pPr>
              <w:pStyle w:val="P68B1DB1-Normal12"/>
              <w:spacing w:after="0" w:line="240" w:lineRule="auto"/>
              <w:rPr>
                <w:rFonts w:eastAsia="Times New Roman"/>
                <w:noProof/>
              </w:rPr>
            </w:pPr>
            <w:r>
              <w:rPr>
                <w:noProof/>
              </w:rPr>
              <w:t>T4</w:t>
            </w:r>
          </w:p>
        </w:tc>
        <w:tc>
          <w:tcPr>
            <w:tcW w:w="992" w:type="dxa"/>
            <w:shd w:val="clear" w:color="auto" w:fill="C6EFCE"/>
            <w:noWrap/>
          </w:tcPr>
          <w:p w14:paraId="1EF8D26C" w14:textId="77777777" w:rsidR="00A00259" w:rsidRDefault="00371282">
            <w:pPr>
              <w:pStyle w:val="P68B1DB1-Normal12"/>
              <w:spacing w:after="0" w:line="240" w:lineRule="auto"/>
              <w:rPr>
                <w:rFonts w:eastAsia="Times New Roman"/>
                <w:noProof/>
              </w:rPr>
            </w:pPr>
            <w:r>
              <w:rPr>
                <w:noProof/>
              </w:rPr>
              <w:t>2025</w:t>
            </w:r>
          </w:p>
        </w:tc>
        <w:tc>
          <w:tcPr>
            <w:tcW w:w="3937" w:type="dxa"/>
            <w:shd w:val="clear" w:color="auto" w:fill="C6EFCE"/>
            <w:noWrap/>
          </w:tcPr>
          <w:p w14:paraId="4AAD40B7" w14:textId="6A9BDBED" w:rsidR="00A00259" w:rsidRDefault="00371282">
            <w:pPr>
              <w:pStyle w:val="P68B1DB1-Normal12"/>
              <w:spacing w:after="0" w:line="240" w:lineRule="auto"/>
              <w:rPr>
                <w:rFonts w:eastAsia="Times New Roman"/>
                <w:noProof/>
              </w:rPr>
            </w:pPr>
            <w:r>
              <w:rPr>
                <w:noProof/>
              </w:rPr>
              <w:t>Interventions en matière d'efficacité énergétique pour 1 060 entités du secteur privé exécutées.</w:t>
            </w:r>
          </w:p>
        </w:tc>
      </w:tr>
    </w:tbl>
    <w:p w14:paraId="3F097694" w14:textId="77777777" w:rsidR="00A00259" w:rsidRDefault="00A00259">
      <w:pPr>
        <w:rPr>
          <w:noProof/>
        </w:rPr>
      </w:pPr>
    </w:p>
    <w:p w14:paraId="6916F14B" w14:textId="77777777" w:rsidR="00A00259" w:rsidRDefault="00A00259">
      <w:pPr>
        <w:rPr>
          <w:noProof/>
        </w:rPr>
      </w:pPr>
    </w:p>
    <w:p w14:paraId="3033A8CF" w14:textId="77777777" w:rsidR="00A00259" w:rsidRDefault="00A00259">
      <w:pPr>
        <w:rPr>
          <w:rFonts w:ascii="Cambria" w:hAnsi="Cambria"/>
          <w:noProof/>
          <w:sz w:val="24"/>
        </w:rPr>
        <w:sectPr w:rsidR="00A00259">
          <w:headerReference w:type="even" r:id="rId54"/>
          <w:headerReference w:type="default" r:id="rId55"/>
          <w:footerReference w:type="even" r:id="rId56"/>
          <w:footerReference w:type="default" r:id="rId57"/>
          <w:headerReference w:type="first" r:id="rId58"/>
          <w:footerReference w:type="first" r:id="rId59"/>
          <w:pgSz w:w="16839" w:h="11907" w:orient="landscape"/>
          <w:pgMar w:top="1134" w:right="1134" w:bottom="1134" w:left="1134" w:header="567" w:footer="567" w:gutter="0"/>
          <w:cols w:space="720"/>
          <w:docGrid w:linePitch="360"/>
        </w:sectPr>
      </w:pPr>
    </w:p>
    <w:p w14:paraId="48DFC984" w14:textId="77777777" w:rsidR="00A00259" w:rsidRDefault="00371282">
      <w:pPr>
        <w:pStyle w:val="P68B1DB1-Normal9"/>
        <w:keepNext/>
        <w:keepLines/>
        <w:spacing w:before="40" w:after="0" w:line="240" w:lineRule="auto"/>
        <w:jc w:val="both"/>
        <w:outlineLvl w:val="4"/>
        <w:rPr>
          <w:rFonts w:eastAsia="Times New Roman"/>
          <w:noProof/>
        </w:rPr>
      </w:pPr>
      <w:r>
        <w:rPr>
          <w:noProof/>
        </w:rPr>
        <w:t>Groupe 3: Interventions dans les zones résidentielles et dans le parc immobilier</w:t>
      </w:r>
    </w:p>
    <w:p w14:paraId="4C42AF42" w14:textId="77777777" w:rsidR="00A00259" w:rsidRDefault="00371282">
      <w:pPr>
        <w:pStyle w:val="P68B1DB1-Normal5"/>
        <w:spacing w:before="120" w:after="120" w:line="240" w:lineRule="auto"/>
        <w:rPr>
          <w:rFonts w:cs="Times New Roman"/>
          <w:noProof/>
        </w:rPr>
      </w:pPr>
      <w:r>
        <w:rPr>
          <w:noProof/>
        </w:rPr>
        <w:t>Les mesures incluses dans ce groupe sont les suivantes:</w:t>
      </w:r>
    </w:p>
    <w:p w14:paraId="354A5CCE" w14:textId="77777777" w:rsidR="00A00259" w:rsidRDefault="00371282">
      <w:pPr>
        <w:spacing w:before="120" w:after="120" w:line="240" w:lineRule="auto"/>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Interventions dans les zones résidentielles et dans le parc immobilier (ID: 16873)</w:t>
      </w:r>
    </w:p>
    <w:p w14:paraId="00D71EE9" w14:textId="77777777" w:rsidR="00A00259" w:rsidRDefault="00371282">
      <w:pPr>
        <w:spacing w:before="120" w:after="120" w:line="240" w:lineRule="auto"/>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Développement des infrastructures et restauration de bâtiments dans l’ancien domaine royal de Tatoi (ID: 16875)</w:t>
      </w:r>
    </w:p>
    <w:p w14:paraId="57C97C7A" w14:textId="77777777" w:rsidR="00A00259" w:rsidRDefault="00371282">
      <w:pPr>
        <w:spacing w:before="120" w:after="120" w:line="240" w:lineRule="auto"/>
        <w:rPr>
          <w:rFonts w:ascii="Times New Roman" w:hAnsi="Times New Roman"/>
          <w:noProof/>
          <w:sz w:val="24"/>
        </w:rPr>
      </w:pPr>
      <w:r>
        <w:rPr>
          <w:rFonts w:ascii="Times New Roman" w:hAnsi="Times New Roman"/>
          <w:noProof/>
          <w:sz w:val="24"/>
        </w:rPr>
        <w:t>●</w:t>
      </w:r>
      <w:r>
        <w:rPr>
          <w:noProof/>
        </w:rPr>
        <w:t xml:space="preserve"> </w:t>
      </w:r>
      <w:r>
        <w:rPr>
          <w:rFonts w:ascii="Times New Roman" w:hAnsi="Times New Roman"/>
          <w:noProof/>
          <w:sz w:val="24"/>
        </w:rPr>
        <w:t>Centre olympique d'athlétisme d'Athènes (ID: 16932)</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1691"/>
        <w:gridCol w:w="1080"/>
        <w:gridCol w:w="1566"/>
        <w:gridCol w:w="1276"/>
        <w:gridCol w:w="1134"/>
        <w:gridCol w:w="992"/>
        <w:gridCol w:w="851"/>
        <w:gridCol w:w="1038"/>
        <w:gridCol w:w="709"/>
        <w:gridCol w:w="4404"/>
      </w:tblGrid>
      <w:tr w:rsidR="00A00259" w14:paraId="7056208E" w14:textId="77777777" w:rsidTr="00CE3F9A">
        <w:trPr>
          <w:trHeight w:val="939"/>
          <w:tblHeader/>
          <w:jc w:val="center"/>
        </w:trPr>
        <w:tc>
          <w:tcPr>
            <w:tcW w:w="761" w:type="dxa"/>
            <w:vMerge w:val="restart"/>
            <w:shd w:val="clear" w:color="auto" w:fill="BDD7EE"/>
            <w:vAlign w:val="center"/>
            <w:hideMark/>
          </w:tcPr>
          <w:p w14:paraId="67B93820" w14:textId="77777777" w:rsidR="00A00259" w:rsidRDefault="00371282">
            <w:pPr>
              <w:pStyle w:val="P68B1DB1-Normal10"/>
              <w:spacing w:after="0" w:line="240" w:lineRule="auto"/>
              <w:jc w:val="center"/>
              <w:rPr>
                <w:rFonts w:eastAsia="Times New Roman" w:cs="Times New Roman"/>
                <w:bCs/>
                <w:noProof/>
                <w:szCs w:val="18"/>
              </w:rPr>
            </w:pPr>
            <w:r>
              <w:rPr>
                <w:noProof/>
              </w:rPr>
              <w:t>Seq.</w:t>
            </w:r>
            <w:r>
              <w:rPr>
                <w:noProof/>
              </w:rPr>
              <w:br/>
              <w:t>Non</w:t>
            </w:r>
          </w:p>
        </w:tc>
        <w:tc>
          <w:tcPr>
            <w:tcW w:w="1691" w:type="dxa"/>
            <w:vMerge w:val="restart"/>
            <w:shd w:val="clear" w:color="auto" w:fill="BDD7EE"/>
            <w:vAlign w:val="center"/>
            <w:hideMark/>
          </w:tcPr>
          <w:p w14:paraId="47AB06D4"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080" w:type="dxa"/>
            <w:vMerge w:val="restart"/>
            <w:shd w:val="clear" w:color="auto" w:fill="BDD7EE"/>
            <w:vAlign w:val="center"/>
            <w:hideMark/>
          </w:tcPr>
          <w:p w14:paraId="0731DFBE"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566" w:type="dxa"/>
            <w:vMerge w:val="restart"/>
            <w:shd w:val="clear" w:color="auto" w:fill="BDD7EE"/>
            <w:vAlign w:val="center"/>
            <w:hideMark/>
          </w:tcPr>
          <w:p w14:paraId="1F611EA5"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276" w:type="dxa"/>
            <w:vMerge w:val="restart"/>
            <w:shd w:val="clear" w:color="auto" w:fill="BDD7EE"/>
            <w:vAlign w:val="center"/>
            <w:hideMark/>
          </w:tcPr>
          <w:p w14:paraId="6BE15045"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2977" w:type="dxa"/>
            <w:gridSpan w:val="3"/>
            <w:shd w:val="clear" w:color="auto" w:fill="BDD7EE"/>
            <w:vAlign w:val="center"/>
            <w:hideMark/>
          </w:tcPr>
          <w:p w14:paraId="3DD146FA" w14:textId="77777777" w:rsidR="00A00259" w:rsidRDefault="00371282">
            <w:pPr>
              <w:pStyle w:val="P68B1DB1-Normal18"/>
              <w:spacing w:after="0" w:line="240" w:lineRule="auto"/>
              <w:jc w:val="center"/>
              <w:rPr>
                <w:rFonts w:ascii="Times New Roman" w:eastAsia="Times New Roman" w:hAnsi="Times New Roman" w:cs="Times New Roman"/>
                <w:bCs/>
                <w:noProof/>
                <w:szCs w:val="18"/>
              </w:rPr>
            </w:pPr>
            <w:r>
              <w:rPr>
                <w:rFonts w:ascii="Times New Roman" w:hAnsi="Times New Roman"/>
                <w:noProof/>
              </w:rPr>
              <w:t xml:space="preserve">Indicateurs quantitatifs </w:t>
            </w:r>
            <w:r>
              <w:rPr>
                <w:rFonts w:ascii="Times New Roman" w:hAnsi="Times New Roman" w:cs="Times New Roman"/>
                <w:noProof/>
                <w:szCs w:val="18"/>
              </w:rPr>
              <w:br/>
            </w:r>
            <w:r>
              <w:rPr>
                <w:rFonts w:ascii="Times New Roman" w:hAnsi="Times New Roman"/>
                <w:noProof/>
              </w:rPr>
              <w:t>(pour les objectifs)</w:t>
            </w:r>
          </w:p>
        </w:tc>
        <w:tc>
          <w:tcPr>
            <w:tcW w:w="1747" w:type="dxa"/>
            <w:gridSpan w:val="2"/>
            <w:shd w:val="clear" w:color="auto" w:fill="BDD7EE"/>
            <w:vAlign w:val="center"/>
            <w:hideMark/>
          </w:tcPr>
          <w:p w14:paraId="209CAB7B"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4404" w:type="dxa"/>
            <w:vMerge w:val="restart"/>
            <w:shd w:val="clear" w:color="auto" w:fill="BDD7EE"/>
            <w:vAlign w:val="center"/>
            <w:hideMark/>
          </w:tcPr>
          <w:p w14:paraId="356B4C2D"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7746644C" w14:textId="77777777" w:rsidTr="00CE3F9A">
        <w:trPr>
          <w:trHeight w:val="654"/>
          <w:tblHeader/>
          <w:jc w:val="center"/>
        </w:trPr>
        <w:tc>
          <w:tcPr>
            <w:tcW w:w="761" w:type="dxa"/>
            <w:vMerge/>
            <w:vAlign w:val="center"/>
            <w:hideMark/>
          </w:tcPr>
          <w:p w14:paraId="332BC8FE" w14:textId="77777777" w:rsidR="00A00259" w:rsidRDefault="00A00259">
            <w:pPr>
              <w:spacing w:after="0" w:line="240" w:lineRule="auto"/>
              <w:rPr>
                <w:rFonts w:ascii="Times New Roman" w:eastAsia="Times New Roman" w:hAnsi="Times New Roman" w:cs="Times New Roman"/>
                <w:b/>
                <w:bCs/>
                <w:noProof/>
                <w:sz w:val="18"/>
                <w:szCs w:val="18"/>
              </w:rPr>
            </w:pPr>
          </w:p>
        </w:tc>
        <w:tc>
          <w:tcPr>
            <w:tcW w:w="1691" w:type="dxa"/>
            <w:vMerge/>
            <w:vAlign w:val="center"/>
            <w:hideMark/>
          </w:tcPr>
          <w:p w14:paraId="31CA9735" w14:textId="77777777" w:rsidR="00A00259" w:rsidRDefault="00A00259">
            <w:pPr>
              <w:spacing w:after="0" w:line="240" w:lineRule="auto"/>
              <w:rPr>
                <w:rFonts w:ascii="Times New Roman" w:eastAsia="Times New Roman" w:hAnsi="Times New Roman" w:cs="Times New Roman"/>
                <w:b/>
                <w:bCs/>
                <w:noProof/>
                <w:sz w:val="18"/>
                <w:szCs w:val="18"/>
              </w:rPr>
            </w:pPr>
          </w:p>
        </w:tc>
        <w:tc>
          <w:tcPr>
            <w:tcW w:w="1080" w:type="dxa"/>
            <w:vMerge/>
            <w:vAlign w:val="center"/>
            <w:hideMark/>
          </w:tcPr>
          <w:p w14:paraId="4417AB6A" w14:textId="77777777" w:rsidR="00A00259" w:rsidRDefault="00A00259">
            <w:pPr>
              <w:spacing w:after="0" w:line="240" w:lineRule="auto"/>
              <w:rPr>
                <w:rFonts w:ascii="Times New Roman" w:eastAsia="Times New Roman" w:hAnsi="Times New Roman" w:cs="Times New Roman"/>
                <w:b/>
                <w:bCs/>
                <w:noProof/>
                <w:sz w:val="18"/>
                <w:szCs w:val="18"/>
              </w:rPr>
            </w:pPr>
          </w:p>
        </w:tc>
        <w:tc>
          <w:tcPr>
            <w:tcW w:w="1566" w:type="dxa"/>
            <w:vMerge/>
            <w:vAlign w:val="center"/>
            <w:hideMark/>
          </w:tcPr>
          <w:p w14:paraId="5B17CF35" w14:textId="77777777" w:rsidR="00A00259" w:rsidRDefault="00A00259">
            <w:pPr>
              <w:spacing w:after="0" w:line="240" w:lineRule="auto"/>
              <w:rPr>
                <w:rFonts w:ascii="Times New Roman" w:eastAsia="Times New Roman" w:hAnsi="Times New Roman" w:cs="Times New Roman"/>
                <w:b/>
                <w:bCs/>
                <w:noProof/>
                <w:sz w:val="18"/>
                <w:szCs w:val="18"/>
              </w:rPr>
            </w:pPr>
          </w:p>
        </w:tc>
        <w:tc>
          <w:tcPr>
            <w:tcW w:w="1276" w:type="dxa"/>
            <w:vMerge/>
            <w:vAlign w:val="center"/>
            <w:hideMark/>
          </w:tcPr>
          <w:p w14:paraId="3B750BF5" w14:textId="77777777" w:rsidR="00A00259" w:rsidRDefault="00A00259">
            <w:pPr>
              <w:spacing w:after="0" w:line="240" w:lineRule="auto"/>
              <w:rPr>
                <w:rFonts w:ascii="Times New Roman" w:eastAsia="Times New Roman" w:hAnsi="Times New Roman" w:cs="Times New Roman"/>
                <w:b/>
                <w:bCs/>
                <w:noProof/>
                <w:sz w:val="18"/>
                <w:szCs w:val="18"/>
              </w:rPr>
            </w:pPr>
          </w:p>
        </w:tc>
        <w:tc>
          <w:tcPr>
            <w:tcW w:w="1134" w:type="dxa"/>
            <w:shd w:val="clear" w:color="auto" w:fill="BDD7EE"/>
            <w:vAlign w:val="center"/>
            <w:hideMark/>
          </w:tcPr>
          <w:p w14:paraId="14587878"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992" w:type="dxa"/>
            <w:shd w:val="clear" w:color="auto" w:fill="BDD7EE"/>
            <w:vAlign w:val="center"/>
            <w:hideMark/>
          </w:tcPr>
          <w:p w14:paraId="21124B7E"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851" w:type="dxa"/>
            <w:shd w:val="clear" w:color="auto" w:fill="BDD7EE"/>
            <w:vAlign w:val="center"/>
            <w:hideMark/>
          </w:tcPr>
          <w:p w14:paraId="55E6E794"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1038" w:type="dxa"/>
            <w:shd w:val="clear" w:color="auto" w:fill="BDD7EE"/>
            <w:vAlign w:val="center"/>
            <w:hideMark/>
          </w:tcPr>
          <w:p w14:paraId="164F0B8F"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709" w:type="dxa"/>
            <w:shd w:val="clear" w:color="auto" w:fill="BDD7EE"/>
            <w:vAlign w:val="center"/>
            <w:hideMark/>
          </w:tcPr>
          <w:p w14:paraId="717B2AEA"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4404" w:type="dxa"/>
            <w:vMerge/>
            <w:vAlign w:val="center"/>
            <w:hideMark/>
          </w:tcPr>
          <w:p w14:paraId="1D2A352B"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4A499EF2" w14:textId="77777777" w:rsidTr="00CE3F9A">
        <w:trPr>
          <w:trHeight w:val="313"/>
          <w:jc w:val="center"/>
        </w:trPr>
        <w:tc>
          <w:tcPr>
            <w:tcW w:w="761" w:type="dxa"/>
            <w:shd w:val="clear" w:color="auto" w:fill="C6EFCE"/>
            <w:noWrap/>
          </w:tcPr>
          <w:p w14:paraId="6282A1DB" w14:textId="77777777" w:rsidR="00A00259" w:rsidRDefault="00371282">
            <w:pPr>
              <w:pStyle w:val="P68B1DB1-Normal12"/>
              <w:spacing w:after="0" w:line="240" w:lineRule="auto"/>
              <w:rPr>
                <w:rFonts w:eastAsia="Times New Roman"/>
                <w:noProof/>
              </w:rPr>
            </w:pPr>
            <w:r>
              <w:rPr>
                <w:noProof/>
              </w:rPr>
              <w:t>37</w:t>
            </w:r>
          </w:p>
        </w:tc>
        <w:tc>
          <w:tcPr>
            <w:tcW w:w="1691" w:type="dxa"/>
            <w:shd w:val="clear" w:color="auto" w:fill="C6EFCE"/>
            <w:noWrap/>
          </w:tcPr>
          <w:p w14:paraId="48883E47" w14:textId="77777777" w:rsidR="00A00259" w:rsidRDefault="00371282">
            <w:pPr>
              <w:pStyle w:val="P68B1DB1-Normal12"/>
              <w:spacing w:after="0" w:line="240" w:lineRule="auto"/>
              <w:rPr>
                <w:rFonts w:eastAsia="Times New Roman"/>
                <w:noProof/>
              </w:rPr>
            </w:pPr>
            <w:r>
              <w:rPr>
                <w:noProof/>
              </w:rPr>
              <w:t>2 - 1.2. 16932_Centre olympique d'athlétisme d'Athènes</w:t>
            </w:r>
          </w:p>
        </w:tc>
        <w:tc>
          <w:tcPr>
            <w:tcW w:w="1080" w:type="dxa"/>
            <w:shd w:val="clear" w:color="auto" w:fill="C6EFCE"/>
            <w:noWrap/>
          </w:tcPr>
          <w:p w14:paraId="2DC9FCF7" w14:textId="77777777" w:rsidR="00A00259" w:rsidRDefault="00371282">
            <w:pPr>
              <w:pStyle w:val="P68B1DB1-Normal12"/>
              <w:spacing w:after="0" w:line="240" w:lineRule="auto"/>
              <w:rPr>
                <w:rFonts w:eastAsia="Times New Roman"/>
                <w:noProof/>
              </w:rPr>
            </w:pPr>
            <w:r>
              <w:rPr>
                <w:noProof/>
              </w:rPr>
              <w:t>Étape</w:t>
            </w:r>
          </w:p>
        </w:tc>
        <w:tc>
          <w:tcPr>
            <w:tcW w:w="1566" w:type="dxa"/>
            <w:shd w:val="clear" w:color="auto" w:fill="C6EFCE"/>
            <w:noWrap/>
          </w:tcPr>
          <w:p w14:paraId="38FA5B09" w14:textId="77777777" w:rsidR="00A00259" w:rsidRDefault="00371282">
            <w:pPr>
              <w:pStyle w:val="P68B1DB1-Normal12"/>
              <w:spacing w:after="0" w:line="240" w:lineRule="auto"/>
              <w:rPr>
                <w:rFonts w:eastAsia="Times New Roman"/>
                <w:noProof/>
              </w:rPr>
            </w:pPr>
            <w:r>
              <w:rPr>
                <w:noProof/>
              </w:rPr>
              <w:t>OAKA – Attribution du marché</w:t>
            </w:r>
          </w:p>
        </w:tc>
        <w:tc>
          <w:tcPr>
            <w:tcW w:w="1276" w:type="dxa"/>
            <w:shd w:val="clear" w:color="auto" w:fill="C6EFCE"/>
            <w:noWrap/>
          </w:tcPr>
          <w:p w14:paraId="778330CC" w14:textId="77777777" w:rsidR="00A00259" w:rsidRDefault="00371282">
            <w:pPr>
              <w:pStyle w:val="P68B1DB1-Normal12"/>
              <w:spacing w:after="0" w:line="240" w:lineRule="auto"/>
              <w:rPr>
                <w:rFonts w:eastAsia="Times New Roman"/>
                <w:noProof/>
              </w:rPr>
            </w:pPr>
            <w:r>
              <w:rPr>
                <w:noProof/>
              </w:rPr>
              <w:t>Notification de l’attribution du ou des marchés</w:t>
            </w:r>
          </w:p>
        </w:tc>
        <w:tc>
          <w:tcPr>
            <w:tcW w:w="1134" w:type="dxa"/>
            <w:shd w:val="clear" w:color="auto" w:fill="C6EFCE"/>
            <w:noWrap/>
          </w:tcPr>
          <w:p w14:paraId="7EF3FBB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710C943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0A9DE74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38" w:type="dxa"/>
            <w:shd w:val="clear" w:color="auto" w:fill="C6EFCE"/>
            <w:noWrap/>
          </w:tcPr>
          <w:p w14:paraId="66BD7F27" w14:textId="77777777" w:rsidR="00A00259" w:rsidRDefault="00371282">
            <w:pPr>
              <w:pStyle w:val="P68B1DB1-Normal12"/>
              <w:spacing w:after="0" w:line="240" w:lineRule="auto"/>
              <w:rPr>
                <w:rFonts w:eastAsia="Times New Roman"/>
                <w:noProof/>
              </w:rPr>
            </w:pPr>
            <w:r>
              <w:rPr>
                <w:noProof/>
              </w:rPr>
              <w:t>T1</w:t>
            </w:r>
          </w:p>
        </w:tc>
        <w:tc>
          <w:tcPr>
            <w:tcW w:w="709" w:type="dxa"/>
            <w:shd w:val="clear" w:color="auto" w:fill="C6EFCE"/>
            <w:noWrap/>
          </w:tcPr>
          <w:p w14:paraId="0EC3F382" w14:textId="77777777" w:rsidR="00A00259" w:rsidRDefault="00371282">
            <w:pPr>
              <w:pStyle w:val="P68B1DB1-Normal12"/>
              <w:spacing w:after="0" w:line="240" w:lineRule="auto"/>
              <w:rPr>
                <w:rFonts w:eastAsia="Times New Roman"/>
                <w:noProof/>
              </w:rPr>
            </w:pPr>
            <w:r>
              <w:rPr>
                <w:noProof/>
              </w:rPr>
              <w:t>2023</w:t>
            </w:r>
          </w:p>
        </w:tc>
        <w:tc>
          <w:tcPr>
            <w:tcW w:w="4404" w:type="dxa"/>
            <w:shd w:val="clear" w:color="auto" w:fill="C6EFCE"/>
            <w:noWrap/>
          </w:tcPr>
          <w:p w14:paraId="0E616AC4" w14:textId="77777777" w:rsidR="00A00259" w:rsidRDefault="00371282">
            <w:pPr>
              <w:pStyle w:val="P68B1DB1-Normal12"/>
              <w:spacing w:after="0" w:line="240" w:lineRule="auto"/>
              <w:rPr>
                <w:rFonts w:eastAsia="Times New Roman"/>
                <w:noProof/>
              </w:rPr>
            </w:pPr>
            <w:r>
              <w:rPr>
                <w:noProof/>
              </w:rPr>
              <w:t xml:space="preserve">Notification de l’attribution du ou des contrats de désignation d’un ou de plusieurs partenaires du secteur privé pour la réalisation des travaux de construction et de rénovation visant à améliorer l’efficacité énergétique pour i) le stade central; ii) Travaux mécaniques et électriques; et iii) les espaces extérieurs et le début des travaux. </w:t>
            </w:r>
          </w:p>
        </w:tc>
      </w:tr>
      <w:tr w:rsidR="00A00259" w14:paraId="459D1484" w14:textId="77777777" w:rsidTr="00CE3F9A">
        <w:trPr>
          <w:trHeight w:val="313"/>
          <w:jc w:val="center"/>
        </w:trPr>
        <w:tc>
          <w:tcPr>
            <w:tcW w:w="761" w:type="dxa"/>
            <w:shd w:val="clear" w:color="auto" w:fill="C6EFCE"/>
            <w:noWrap/>
          </w:tcPr>
          <w:p w14:paraId="0563772B" w14:textId="77777777" w:rsidR="00A00259" w:rsidRDefault="00371282">
            <w:pPr>
              <w:pStyle w:val="P68B1DB1-Normal12"/>
              <w:spacing w:after="0" w:line="240" w:lineRule="auto"/>
              <w:rPr>
                <w:rFonts w:eastAsia="Times New Roman"/>
                <w:noProof/>
              </w:rPr>
            </w:pPr>
            <w:r>
              <w:rPr>
                <w:noProof/>
              </w:rPr>
              <w:t>38</w:t>
            </w:r>
          </w:p>
        </w:tc>
        <w:tc>
          <w:tcPr>
            <w:tcW w:w="1691" w:type="dxa"/>
            <w:shd w:val="clear" w:color="auto" w:fill="C6EFCE"/>
            <w:noWrap/>
          </w:tcPr>
          <w:p w14:paraId="53DF6A83" w14:textId="77777777" w:rsidR="00A00259" w:rsidRDefault="00371282">
            <w:pPr>
              <w:pStyle w:val="P68B1DB1-Normal12"/>
              <w:spacing w:after="0" w:line="240" w:lineRule="auto"/>
              <w:rPr>
                <w:rFonts w:eastAsia="Times New Roman"/>
                <w:noProof/>
              </w:rPr>
            </w:pPr>
            <w:r>
              <w:rPr>
                <w:noProof/>
              </w:rPr>
              <w:t>2 - 1.2. Rénover - 16873_ Interventions dans les zones résidentielles et dans le parc immobilier</w:t>
            </w:r>
          </w:p>
        </w:tc>
        <w:tc>
          <w:tcPr>
            <w:tcW w:w="1080" w:type="dxa"/>
            <w:shd w:val="clear" w:color="auto" w:fill="C6EFCE"/>
            <w:noWrap/>
          </w:tcPr>
          <w:p w14:paraId="3D05FEC7" w14:textId="77777777" w:rsidR="00A00259" w:rsidRDefault="00371282">
            <w:pPr>
              <w:pStyle w:val="P68B1DB1-Normal12"/>
              <w:spacing w:after="0" w:line="240" w:lineRule="auto"/>
              <w:rPr>
                <w:rFonts w:eastAsia="Times New Roman"/>
                <w:noProof/>
              </w:rPr>
            </w:pPr>
            <w:r>
              <w:rPr>
                <w:noProof/>
              </w:rPr>
              <w:t>Étape</w:t>
            </w:r>
          </w:p>
        </w:tc>
        <w:tc>
          <w:tcPr>
            <w:tcW w:w="1566" w:type="dxa"/>
            <w:shd w:val="clear" w:color="auto" w:fill="C6EFCE"/>
            <w:noWrap/>
          </w:tcPr>
          <w:p w14:paraId="2A0BF44E" w14:textId="77777777" w:rsidR="00A00259" w:rsidRDefault="00371282">
            <w:pPr>
              <w:pStyle w:val="P68B1DB1-Normal12"/>
              <w:spacing w:after="0" w:line="240" w:lineRule="auto"/>
              <w:rPr>
                <w:rFonts w:eastAsia="Times New Roman"/>
                <w:noProof/>
              </w:rPr>
            </w:pPr>
            <w:r>
              <w:rPr>
                <w:noProof/>
              </w:rPr>
              <w:t>Interventions urbaines - attribution de contrats</w:t>
            </w:r>
          </w:p>
        </w:tc>
        <w:tc>
          <w:tcPr>
            <w:tcW w:w="1276" w:type="dxa"/>
            <w:shd w:val="clear" w:color="auto" w:fill="C6EFCE"/>
            <w:noWrap/>
          </w:tcPr>
          <w:p w14:paraId="27A83046" w14:textId="77777777" w:rsidR="00A00259" w:rsidRDefault="00371282">
            <w:pPr>
              <w:pStyle w:val="P68B1DB1-Normal12"/>
              <w:spacing w:after="0" w:line="240" w:lineRule="auto"/>
              <w:rPr>
                <w:rFonts w:eastAsia="Times New Roman"/>
                <w:noProof/>
              </w:rPr>
            </w:pPr>
            <w:r>
              <w:rPr>
                <w:noProof/>
              </w:rPr>
              <w:t>Notification de l’attribution du ou des marchés</w:t>
            </w:r>
          </w:p>
        </w:tc>
        <w:tc>
          <w:tcPr>
            <w:tcW w:w="1134" w:type="dxa"/>
            <w:shd w:val="clear" w:color="auto" w:fill="C6EFCE"/>
            <w:noWrap/>
          </w:tcPr>
          <w:p w14:paraId="7A50C26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073E9C2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07F9103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38" w:type="dxa"/>
            <w:shd w:val="clear" w:color="auto" w:fill="C6EFCE"/>
            <w:noWrap/>
          </w:tcPr>
          <w:p w14:paraId="78F08AA3"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3F037BF0" w14:textId="77777777" w:rsidR="00A00259" w:rsidRDefault="00371282">
            <w:pPr>
              <w:pStyle w:val="P68B1DB1-Normal12"/>
              <w:spacing w:after="0" w:line="240" w:lineRule="auto"/>
              <w:rPr>
                <w:rFonts w:eastAsia="Times New Roman"/>
                <w:noProof/>
              </w:rPr>
            </w:pPr>
            <w:r>
              <w:rPr>
                <w:noProof/>
              </w:rPr>
              <w:t>2023</w:t>
            </w:r>
          </w:p>
        </w:tc>
        <w:tc>
          <w:tcPr>
            <w:tcW w:w="4404" w:type="dxa"/>
            <w:shd w:val="clear" w:color="auto" w:fill="C6EFCE"/>
            <w:noWrap/>
          </w:tcPr>
          <w:p w14:paraId="03B66F3F" w14:textId="77777777" w:rsidR="00A00259" w:rsidRDefault="00371282">
            <w:pPr>
              <w:pStyle w:val="P68B1DB1-Normal12"/>
              <w:spacing w:after="0" w:line="240" w:lineRule="auto"/>
              <w:rPr>
                <w:rFonts w:eastAsia="Times New Roman"/>
                <w:noProof/>
              </w:rPr>
            </w:pPr>
            <w:r>
              <w:rPr>
                <w:noProof/>
              </w:rPr>
              <w:t xml:space="preserve">Notification de l'attribution du(des) marché(s) pour l'exécution des travaux </w:t>
            </w:r>
          </w:p>
          <w:p w14:paraId="08D67B30" w14:textId="77777777" w:rsidR="00A00259" w:rsidRDefault="00371282">
            <w:pPr>
              <w:pStyle w:val="P68B1DB1-Normal12"/>
              <w:spacing w:after="0" w:line="240" w:lineRule="auto"/>
              <w:rPr>
                <w:rFonts w:eastAsia="Times New Roman"/>
                <w:noProof/>
              </w:rPr>
            </w:pPr>
            <w:r>
              <w:rPr>
                <w:noProof/>
              </w:rPr>
              <w:t>i) l’amélioration de l’environnement urbain et de l’espace public dans certaines municipalités à la suite d’un appel ouvert visant à renforcer la résilience au changement climatique;</w:t>
            </w:r>
          </w:p>
          <w:p w14:paraId="274095DD" w14:textId="77777777" w:rsidR="00A00259" w:rsidRDefault="00371282">
            <w:pPr>
              <w:pStyle w:val="P68B1DB1-Normal12"/>
              <w:spacing w:after="0" w:line="240" w:lineRule="auto"/>
              <w:rPr>
                <w:rFonts w:eastAsia="Times New Roman"/>
                <w:noProof/>
              </w:rPr>
            </w:pPr>
            <w:r>
              <w:rPr>
                <w:noProof/>
              </w:rPr>
              <w:t xml:space="preserve">ii) la régénération urbaine de l’ancienne zone industrielle de Votanikos/Elaionas et la rénovation du campus de l’université agricole d’Athènes (AUA); </w:t>
            </w:r>
          </w:p>
          <w:p w14:paraId="73C20650" w14:textId="77777777" w:rsidR="00A00259" w:rsidRDefault="00371282">
            <w:pPr>
              <w:pStyle w:val="P68B1DB1-Normal12"/>
              <w:spacing w:after="0" w:line="240" w:lineRule="auto"/>
              <w:rPr>
                <w:rFonts w:eastAsia="Times New Roman"/>
                <w:noProof/>
              </w:rPr>
            </w:pPr>
            <w:r>
              <w:rPr>
                <w:noProof/>
              </w:rPr>
              <w:t xml:space="preserve">iii) Riviera d'Athènes: les infrastructures cyclables; et </w:t>
            </w:r>
          </w:p>
          <w:p w14:paraId="757932C1" w14:textId="77777777" w:rsidR="00A00259" w:rsidRDefault="00371282">
            <w:pPr>
              <w:pStyle w:val="P68B1DB1-Normal12"/>
              <w:spacing w:after="0" w:line="240" w:lineRule="auto"/>
              <w:rPr>
                <w:rFonts w:eastAsia="Times New Roman"/>
                <w:noProof/>
              </w:rPr>
            </w:pPr>
            <w:r>
              <w:rPr>
                <w:noProof/>
              </w:rPr>
              <w:t xml:space="preserve">iv) d’autres interventions stratégiques, qui sont sélectionnées à la suite d’un appel ouvert aux municipalités couvrant: (1) les projets d’efficacité énergétique et de démonstration dans les PME ou les grandes entreprises et la réalisation, au moins, d’une rénovation de moyenne profondeur telle que définie dans la recommandation de la Commission sur la rénovation des bâtiments (UE) 2019/786, ou, en moyenne, d’une réduction d’au moins 30 % des émissions directes et indirectes de CO2 par rapport aux émissions ex ante; (2) la construction de nouveaux bâtiments économes en énergie et ayant une demande d'énergie primaire (DEP) inférieure d'au moins 20 % à l'exigence relative aux bâtiments à consommation d'énergie quasi nulle (bâtiment à consommation d'énergie quasi nulle, directives nationales); et 3) la protection de la nature et de la biodiversité, le patrimoine et les ressources naturelles, les infrastructures vertes et bleues. </w:t>
            </w:r>
          </w:p>
        </w:tc>
      </w:tr>
      <w:tr w:rsidR="00A00259" w14:paraId="4C4523DC" w14:textId="77777777" w:rsidTr="00CE3F9A">
        <w:trPr>
          <w:trHeight w:val="313"/>
          <w:jc w:val="center"/>
        </w:trPr>
        <w:tc>
          <w:tcPr>
            <w:tcW w:w="761" w:type="dxa"/>
            <w:shd w:val="clear" w:color="auto" w:fill="C6EFCE"/>
            <w:noWrap/>
          </w:tcPr>
          <w:p w14:paraId="3628F647" w14:textId="77777777" w:rsidR="00A00259" w:rsidRDefault="00371282">
            <w:pPr>
              <w:pStyle w:val="P68B1DB1-Normal12"/>
              <w:spacing w:after="0" w:line="240" w:lineRule="auto"/>
              <w:rPr>
                <w:rFonts w:eastAsia="Times New Roman"/>
                <w:noProof/>
              </w:rPr>
            </w:pPr>
            <w:r>
              <w:rPr>
                <w:noProof/>
              </w:rPr>
              <w:t>39</w:t>
            </w:r>
          </w:p>
        </w:tc>
        <w:tc>
          <w:tcPr>
            <w:tcW w:w="1691" w:type="dxa"/>
            <w:shd w:val="clear" w:color="auto" w:fill="C6EFCE"/>
            <w:noWrap/>
          </w:tcPr>
          <w:p w14:paraId="5C7CD1F7" w14:textId="77777777" w:rsidR="00A00259" w:rsidRDefault="00371282">
            <w:pPr>
              <w:pStyle w:val="P68B1DB1-Normal12"/>
              <w:spacing w:after="0" w:line="240" w:lineRule="auto"/>
              <w:rPr>
                <w:rFonts w:eastAsia="Times New Roman"/>
                <w:noProof/>
              </w:rPr>
            </w:pPr>
            <w:r>
              <w:rPr>
                <w:noProof/>
              </w:rPr>
              <w:t>2 - 1.2. 16932_Centre olympique d'athlétisme d'Athènes</w:t>
            </w:r>
          </w:p>
        </w:tc>
        <w:tc>
          <w:tcPr>
            <w:tcW w:w="1080" w:type="dxa"/>
            <w:shd w:val="clear" w:color="auto" w:fill="C6EFCE"/>
            <w:noWrap/>
          </w:tcPr>
          <w:p w14:paraId="3B8FD835" w14:textId="77777777" w:rsidR="00A00259" w:rsidRDefault="00371282">
            <w:pPr>
              <w:pStyle w:val="P68B1DB1-Normal12"/>
              <w:spacing w:after="0" w:line="240" w:lineRule="auto"/>
              <w:rPr>
                <w:rFonts w:eastAsia="Times New Roman"/>
                <w:noProof/>
              </w:rPr>
            </w:pPr>
            <w:r>
              <w:rPr>
                <w:noProof/>
              </w:rPr>
              <w:t>Étape</w:t>
            </w:r>
          </w:p>
        </w:tc>
        <w:tc>
          <w:tcPr>
            <w:tcW w:w="1566" w:type="dxa"/>
            <w:shd w:val="clear" w:color="auto" w:fill="C6EFCE"/>
            <w:noWrap/>
          </w:tcPr>
          <w:p w14:paraId="18663D2D" w14:textId="77777777" w:rsidR="00A00259" w:rsidRDefault="00371282">
            <w:pPr>
              <w:pStyle w:val="P68B1DB1-Normal12"/>
              <w:spacing w:after="0" w:line="240" w:lineRule="auto"/>
              <w:rPr>
                <w:rFonts w:eastAsia="Times New Roman"/>
                <w:noProof/>
              </w:rPr>
            </w:pPr>
            <w:r>
              <w:rPr>
                <w:noProof/>
              </w:rPr>
              <w:t xml:space="preserve">OAKA – exécution des travaux </w:t>
            </w:r>
          </w:p>
        </w:tc>
        <w:tc>
          <w:tcPr>
            <w:tcW w:w="1276" w:type="dxa"/>
            <w:shd w:val="clear" w:color="auto" w:fill="C6EFCE"/>
            <w:noWrap/>
          </w:tcPr>
          <w:p w14:paraId="2545AB9C" w14:textId="77777777" w:rsidR="00A00259" w:rsidRDefault="00371282">
            <w:pPr>
              <w:pStyle w:val="P68B1DB1-Normal12"/>
              <w:spacing w:after="0" w:line="240" w:lineRule="auto"/>
              <w:rPr>
                <w:noProof/>
              </w:rPr>
            </w:pPr>
            <w:r>
              <w:rPr>
                <w:noProof/>
              </w:rPr>
              <w:t>Exécution des travaux</w:t>
            </w:r>
          </w:p>
        </w:tc>
        <w:tc>
          <w:tcPr>
            <w:tcW w:w="1134" w:type="dxa"/>
            <w:shd w:val="clear" w:color="auto" w:fill="C6EFCE"/>
            <w:noWrap/>
          </w:tcPr>
          <w:p w14:paraId="7CD5455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CD28B0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542D473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38" w:type="dxa"/>
            <w:shd w:val="clear" w:color="auto" w:fill="C6EFCE"/>
            <w:noWrap/>
          </w:tcPr>
          <w:p w14:paraId="6811EC7C"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12AA3348" w14:textId="77777777" w:rsidR="00A00259" w:rsidRDefault="00371282">
            <w:pPr>
              <w:pStyle w:val="P68B1DB1-Normal12"/>
              <w:spacing w:after="0" w:line="240" w:lineRule="auto"/>
              <w:rPr>
                <w:rFonts w:eastAsia="Times New Roman"/>
                <w:noProof/>
              </w:rPr>
            </w:pPr>
            <w:r>
              <w:rPr>
                <w:noProof/>
              </w:rPr>
              <w:t>2025</w:t>
            </w:r>
          </w:p>
        </w:tc>
        <w:tc>
          <w:tcPr>
            <w:tcW w:w="4404" w:type="dxa"/>
            <w:shd w:val="clear" w:color="auto" w:fill="C6EFCE"/>
            <w:noWrap/>
          </w:tcPr>
          <w:p w14:paraId="267E09A7" w14:textId="2FAFF669" w:rsidR="00A00259" w:rsidRDefault="00371282">
            <w:pPr>
              <w:pStyle w:val="P68B1DB1-Normal12"/>
              <w:spacing w:after="0" w:line="240" w:lineRule="auto"/>
              <w:rPr>
                <w:rFonts w:eastAsia="Times New Roman"/>
                <w:noProof/>
              </w:rPr>
            </w:pPr>
            <w:r>
              <w:rPr>
                <w:noProof/>
              </w:rPr>
              <w:t>Certificats d'achèvement des interventions suivantes: i) Mise à niveau des installations mécaniques et électriques du stade central; ii) les travaux pour les installations mécaniques et électriques et les machines pour les installations aquatiques; iii) la restauration de la verrière en acier du Vélodrome; et iv) la rénovation d’espaces extérieurs, y compris les structures en acier de l’Agora et du Mur des Nations.</w:t>
            </w:r>
          </w:p>
        </w:tc>
      </w:tr>
      <w:tr w:rsidR="00A00259" w14:paraId="679A3CAF" w14:textId="77777777" w:rsidTr="00CE3F9A">
        <w:trPr>
          <w:trHeight w:val="313"/>
          <w:jc w:val="center"/>
        </w:trPr>
        <w:tc>
          <w:tcPr>
            <w:tcW w:w="761" w:type="dxa"/>
            <w:shd w:val="clear" w:color="auto" w:fill="C6EFCE"/>
            <w:noWrap/>
          </w:tcPr>
          <w:p w14:paraId="137D80BF" w14:textId="77777777" w:rsidR="00A00259" w:rsidRDefault="00371282">
            <w:pPr>
              <w:pStyle w:val="P68B1DB1-Normal12"/>
              <w:spacing w:after="0" w:line="240" w:lineRule="auto"/>
              <w:rPr>
                <w:rFonts w:eastAsia="Times New Roman"/>
                <w:noProof/>
              </w:rPr>
            </w:pPr>
            <w:r>
              <w:rPr>
                <w:noProof/>
              </w:rPr>
              <w:t>40</w:t>
            </w:r>
          </w:p>
        </w:tc>
        <w:tc>
          <w:tcPr>
            <w:tcW w:w="1691" w:type="dxa"/>
            <w:shd w:val="clear" w:color="auto" w:fill="C6EFCE"/>
            <w:noWrap/>
          </w:tcPr>
          <w:p w14:paraId="50C0E059" w14:textId="77777777" w:rsidR="00A00259" w:rsidRDefault="00371282">
            <w:pPr>
              <w:pStyle w:val="P68B1DB1-Normal12"/>
              <w:spacing w:after="0" w:line="240" w:lineRule="auto"/>
              <w:rPr>
                <w:rFonts w:eastAsia="Times New Roman"/>
                <w:noProof/>
              </w:rPr>
            </w:pPr>
            <w:r>
              <w:rPr>
                <w:noProof/>
              </w:rPr>
              <w:t>2 - 1.2. Rénover - 16873_ - Interventions dans les zones résidentielles et dans le parc immobilier</w:t>
            </w:r>
          </w:p>
        </w:tc>
        <w:tc>
          <w:tcPr>
            <w:tcW w:w="1080" w:type="dxa"/>
            <w:shd w:val="clear" w:color="auto" w:fill="C6EFCE"/>
            <w:noWrap/>
          </w:tcPr>
          <w:p w14:paraId="126BA2AE" w14:textId="77777777" w:rsidR="00A00259" w:rsidRDefault="00371282">
            <w:pPr>
              <w:pStyle w:val="P68B1DB1-Normal12"/>
              <w:spacing w:after="0" w:line="240" w:lineRule="auto"/>
              <w:rPr>
                <w:rFonts w:eastAsia="Times New Roman"/>
                <w:noProof/>
              </w:rPr>
            </w:pPr>
            <w:r>
              <w:rPr>
                <w:noProof/>
              </w:rPr>
              <w:t>Étape</w:t>
            </w:r>
          </w:p>
        </w:tc>
        <w:tc>
          <w:tcPr>
            <w:tcW w:w="1566" w:type="dxa"/>
            <w:shd w:val="clear" w:color="auto" w:fill="C6EFCE"/>
            <w:noWrap/>
          </w:tcPr>
          <w:p w14:paraId="464CB9B6" w14:textId="77777777" w:rsidR="00A00259" w:rsidRDefault="00371282">
            <w:pPr>
              <w:pStyle w:val="P68B1DB1-Normal12"/>
              <w:spacing w:after="0" w:line="240" w:lineRule="auto"/>
              <w:rPr>
                <w:noProof/>
              </w:rPr>
            </w:pPr>
            <w:r>
              <w:rPr>
                <w:noProof/>
              </w:rPr>
              <w:t>Interventions urbaines – Exécution des travaux</w:t>
            </w:r>
          </w:p>
        </w:tc>
        <w:tc>
          <w:tcPr>
            <w:tcW w:w="1276" w:type="dxa"/>
            <w:shd w:val="clear" w:color="auto" w:fill="C6EFCE"/>
            <w:noWrap/>
          </w:tcPr>
          <w:p w14:paraId="087D666B" w14:textId="500ED46A" w:rsidR="00A00259" w:rsidRDefault="00371282">
            <w:pPr>
              <w:pStyle w:val="P68B1DB1-Normal12"/>
              <w:spacing w:after="0" w:line="240" w:lineRule="auto"/>
              <w:rPr>
                <w:noProof/>
              </w:rPr>
            </w:pPr>
            <w:r>
              <w:rPr>
                <w:noProof/>
              </w:rPr>
              <w:t>Exécution des travaux</w:t>
            </w:r>
          </w:p>
        </w:tc>
        <w:tc>
          <w:tcPr>
            <w:tcW w:w="1134" w:type="dxa"/>
            <w:shd w:val="clear" w:color="auto" w:fill="C6EFCE"/>
            <w:noWrap/>
          </w:tcPr>
          <w:p w14:paraId="4DCECE8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1D682C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6D634BA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38" w:type="dxa"/>
            <w:shd w:val="clear" w:color="auto" w:fill="C6EFCE"/>
            <w:noWrap/>
          </w:tcPr>
          <w:p w14:paraId="155942B2"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1C606D06" w14:textId="77777777" w:rsidR="00A00259" w:rsidRDefault="00371282">
            <w:pPr>
              <w:pStyle w:val="P68B1DB1-Normal12"/>
              <w:spacing w:after="0" w:line="240" w:lineRule="auto"/>
              <w:rPr>
                <w:rFonts w:eastAsia="Times New Roman"/>
                <w:noProof/>
              </w:rPr>
            </w:pPr>
            <w:r>
              <w:rPr>
                <w:noProof/>
              </w:rPr>
              <w:t>2025</w:t>
            </w:r>
          </w:p>
        </w:tc>
        <w:tc>
          <w:tcPr>
            <w:tcW w:w="4404" w:type="dxa"/>
            <w:shd w:val="clear" w:color="auto" w:fill="C6EFCE"/>
            <w:noWrap/>
          </w:tcPr>
          <w:p w14:paraId="3A434829" w14:textId="38E57FC6" w:rsidR="00A00259" w:rsidRDefault="00371282">
            <w:pPr>
              <w:pStyle w:val="P68B1DB1-Normal12"/>
              <w:spacing w:after="0" w:line="240" w:lineRule="auto"/>
              <w:rPr>
                <w:rFonts w:eastAsia="Times New Roman"/>
                <w:noProof/>
              </w:rPr>
            </w:pPr>
            <w:r>
              <w:rPr>
                <w:noProof/>
              </w:rPr>
              <w:t>Certificats d'achèvement pour:</w:t>
            </w:r>
          </w:p>
          <w:p w14:paraId="42342396" w14:textId="52593159" w:rsidR="00A00259" w:rsidRDefault="00371282">
            <w:pPr>
              <w:pStyle w:val="P68B1DB1-Normal12"/>
              <w:spacing w:after="0" w:line="240" w:lineRule="auto"/>
              <w:rPr>
                <w:rFonts w:eastAsia="Times New Roman"/>
                <w:noProof/>
              </w:rPr>
            </w:pPr>
            <w:r>
              <w:rPr>
                <w:noProof/>
              </w:rPr>
              <w:t xml:space="preserve">i) Interventions dans l'environnement urbain et l'espace public dans 35 zones urbaines et côtières; </w:t>
            </w:r>
          </w:p>
          <w:p w14:paraId="11E3B4C2" w14:textId="5A9722AF" w:rsidR="00A00259" w:rsidRDefault="00371282">
            <w:pPr>
              <w:pStyle w:val="P68B1DB1-Normal12"/>
              <w:spacing w:after="0" w:line="240" w:lineRule="auto"/>
              <w:jc w:val="both"/>
              <w:rPr>
                <w:noProof/>
              </w:rPr>
            </w:pPr>
            <w:r>
              <w:rPr>
                <w:noProof/>
              </w:rPr>
              <w:t>ii) Interventions dans les espaces extérieurs du campus de l'Université agricole d'Athènes</w:t>
            </w:r>
          </w:p>
        </w:tc>
      </w:tr>
      <w:tr w:rsidR="00A00259" w14:paraId="1AC75F75" w14:textId="77777777" w:rsidTr="00CE3F9A">
        <w:trPr>
          <w:trHeight w:val="313"/>
          <w:jc w:val="center"/>
        </w:trPr>
        <w:tc>
          <w:tcPr>
            <w:tcW w:w="761" w:type="dxa"/>
            <w:shd w:val="clear" w:color="auto" w:fill="C6EFCE"/>
            <w:noWrap/>
          </w:tcPr>
          <w:p w14:paraId="2316E6FC" w14:textId="77777777" w:rsidR="00A00259" w:rsidRDefault="00371282">
            <w:pPr>
              <w:pStyle w:val="P68B1DB1-Normal12"/>
              <w:spacing w:after="0" w:line="240" w:lineRule="auto"/>
              <w:rPr>
                <w:rFonts w:eastAsia="Times New Roman"/>
                <w:noProof/>
              </w:rPr>
            </w:pPr>
            <w:r>
              <w:rPr>
                <w:noProof/>
              </w:rPr>
              <w:t>41</w:t>
            </w:r>
          </w:p>
        </w:tc>
        <w:tc>
          <w:tcPr>
            <w:tcW w:w="1691" w:type="dxa"/>
            <w:shd w:val="clear" w:color="auto" w:fill="C6EFCE"/>
            <w:noWrap/>
          </w:tcPr>
          <w:p w14:paraId="40A80A1E" w14:textId="77777777" w:rsidR="00A00259" w:rsidRDefault="00371282">
            <w:pPr>
              <w:pStyle w:val="P68B1DB1-Normal12"/>
              <w:spacing w:after="0" w:line="240" w:lineRule="auto"/>
              <w:rPr>
                <w:rFonts w:eastAsia="Times New Roman"/>
                <w:noProof/>
              </w:rPr>
            </w:pPr>
            <w:r>
              <w:rPr>
                <w:noProof/>
              </w:rPr>
              <w:t>2 - 1.2. 16875_ Développement des infrastructures et restauration de bâtiments dans l'ancien domaine royal de Tatoi</w:t>
            </w:r>
          </w:p>
        </w:tc>
        <w:tc>
          <w:tcPr>
            <w:tcW w:w="1080" w:type="dxa"/>
            <w:shd w:val="clear" w:color="auto" w:fill="C6EFCE"/>
            <w:noWrap/>
          </w:tcPr>
          <w:p w14:paraId="09990010" w14:textId="77777777" w:rsidR="00A00259" w:rsidRDefault="00371282">
            <w:pPr>
              <w:pStyle w:val="P68B1DB1-Normal12"/>
              <w:spacing w:after="0" w:line="240" w:lineRule="auto"/>
              <w:rPr>
                <w:rFonts w:eastAsia="Times New Roman"/>
                <w:noProof/>
              </w:rPr>
            </w:pPr>
            <w:r>
              <w:rPr>
                <w:noProof/>
              </w:rPr>
              <w:t>Étape</w:t>
            </w:r>
          </w:p>
        </w:tc>
        <w:tc>
          <w:tcPr>
            <w:tcW w:w="1566" w:type="dxa"/>
            <w:shd w:val="clear" w:color="auto" w:fill="C6EFCE"/>
            <w:noWrap/>
          </w:tcPr>
          <w:p w14:paraId="4DA40D26" w14:textId="77777777" w:rsidR="00A00259" w:rsidRDefault="00371282">
            <w:pPr>
              <w:pStyle w:val="P68B1DB1-Normal12"/>
              <w:spacing w:after="0" w:line="240" w:lineRule="auto"/>
              <w:rPr>
                <w:rFonts w:eastAsia="Times New Roman"/>
                <w:noProof/>
              </w:rPr>
            </w:pPr>
            <w:r>
              <w:rPr>
                <w:noProof/>
              </w:rPr>
              <w:t>Tatoi – restauré</w:t>
            </w:r>
          </w:p>
        </w:tc>
        <w:tc>
          <w:tcPr>
            <w:tcW w:w="1276" w:type="dxa"/>
            <w:shd w:val="clear" w:color="auto" w:fill="C6EFCE"/>
            <w:noWrap/>
          </w:tcPr>
          <w:p w14:paraId="29995282" w14:textId="77777777" w:rsidR="00A00259" w:rsidRDefault="00371282">
            <w:pPr>
              <w:pStyle w:val="P68B1DB1-Normal12"/>
              <w:spacing w:after="0" w:line="240" w:lineRule="auto"/>
              <w:rPr>
                <w:rFonts w:eastAsia="Times New Roman"/>
                <w:noProof/>
              </w:rPr>
            </w:pPr>
            <w:r>
              <w:rPr>
                <w:noProof/>
              </w:rPr>
              <w:t xml:space="preserve">Restauration de Tatoi </w:t>
            </w:r>
          </w:p>
        </w:tc>
        <w:tc>
          <w:tcPr>
            <w:tcW w:w="1134" w:type="dxa"/>
            <w:shd w:val="clear" w:color="auto" w:fill="C6EFCE"/>
            <w:noWrap/>
          </w:tcPr>
          <w:p w14:paraId="79FF07A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7D6C93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15F1707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38" w:type="dxa"/>
            <w:shd w:val="clear" w:color="auto" w:fill="C6EFCE"/>
            <w:noWrap/>
          </w:tcPr>
          <w:p w14:paraId="6A751F68"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2A42DB3C" w14:textId="77777777" w:rsidR="00A00259" w:rsidRDefault="00371282">
            <w:pPr>
              <w:pStyle w:val="P68B1DB1-Normal12"/>
              <w:spacing w:after="0" w:line="240" w:lineRule="auto"/>
              <w:rPr>
                <w:rFonts w:eastAsia="Times New Roman"/>
                <w:noProof/>
              </w:rPr>
            </w:pPr>
            <w:r>
              <w:rPr>
                <w:noProof/>
              </w:rPr>
              <w:t>2025</w:t>
            </w:r>
          </w:p>
        </w:tc>
        <w:tc>
          <w:tcPr>
            <w:tcW w:w="4404" w:type="dxa"/>
            <w:shd w:val="clear" w:color="auto" w:fill="C6EFCE"/>
            <w:noWrap/>
          </w:tcPr>
          <w:p w14:paraId="61E14956" w14:textId="77777777" w:rsidR="00A00259" w:rsidRDefault="00371282">
            <w:pPr>
              <w:pStyle w:val="P68B1DB1-Normal12"/>
              <w:spacing w:after="0" w:line="240" w:lineRule="auto"/>
              <w:rPr>
                <w:rFonts w:eastAsia="Times New Roman"/>
                <w:noProof/>
              </w:rPr>
            </w:pPr>
            <w:r>
              <w:rPr>
                <w:noProof/>
              </w:rPr>
              <w:t>Exécution des travaux dans le cadre du programme « Développement des infrastructures et restauration des bâtiments dans l’ancien domaine royal de Tatoi ».</w:t>
            </w:r>
          </w:p>
        </w:tc>
      </w:tr>
    </w:tbl>
    <w:p w14:paraId="6DA5BE9A" w14:textId="77777777" w:rsidR="00A00259" w:rsidRDefault="00A00259">
      <w:pPr>
        <w:framePr w:w="15464" w:wrap="auto" w:hAnchor="text"/>
        <w:spacing w:before="120" w:after="120" w:line="240" w:lineRule="auto"/>
        <w:rPr>
          <w:rFonts w:ascii="Times New Roman" w:hAnsi="Times New Roman" w:cs="Times New Roman"/>
          <w:noProof/>
          <w:sz w:val="24"/>
        </w:rPr>
        <w:sectPr w:rsidR="00A00259">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p>
    <w:p w14:paraId="0A8E1581" w14:textId="77777777" w:rsidR="00A00259" w:rsidRDefault="00371282">
      <w:pPr>
        <w:pStyle w:val="P68B1DB1-Normal19"/>
        <w:spacing w:before="120" w:after="120" w:line="240" w:lineRule="auto"/>
        <w:jc w:val="both"/>
        <w:rPr>
          <w:rFonts w:cs="Times New Roman"/>
          <w:bCs/>
          <w:i/>
          <w:iCs/>
          <w:noProof/>
          <w:color w:val="4F81BD"/>
        </w:rPr>
      </w:pPr>
      <w:r>
        <w:rPr>
          <w:noProof/>
        </w:rPr>
        <w:t xml:space="preserve">B.3. Description des réformes et des investissements pour le prêt </w:t>
      </w:r>
    </w:p>
    <w:p w14:paraId="07DBBD93"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Programme de mise à niveau énergétique «Upgrade My Home» (mesure ID 16401)</w:t>
      </w:r>
    </w:p>
    <w:p w14:paraId="14045D5D" w14:textId="0C6CEFA3" w:rsidR="00A00259" w:rsidRDefault="00371282">
      <w:pPr>
        <w:pStyle w:val="NormalWeb"/>
        <w:spacing w:line="240" w:lineRule="auto"/>
        <w:jc w:val="both"/>
        <w:rPr>
          <w:noProof/>
        </w:rPr>
      </w:pPr>
      <w:r>
        <w:rPr>
          <w:noProof/>
        </w:rPr>
        <w:t>Cette mesure consistera en un investissement public dans la facilité «Améliorer mon logement», afin d’encourager l’investissement privé et d’améliorer l’accès au financement dans le secteur du logement en Grèce. La facilité fonctionne en accordant des prêts directement au secteur privé. Sur la base de l’investissement au titre de la FRR, la facilité «Upgrade My Home» vise initialement à fournir un financement d’au moins 62 000 000 EUR.</w:t>
      </w:r>
    </w:p>
    <w:p w14:paraId="067E6BAA" w14:textId="77777777" w:rsidR="00A00259" w:rsidRDefault="00371282">
      <w:pPr>
        <w:pStyle w:val="NormalWeb"/>
        <w:spacing w:line="240" w:lineRule="auto"/>
        <w:jc w:val="both"/>
        <w:rPr>
          <w:noProof/>
        </w:rPr>
      </w:pPr>
      <w:r>
        <w:rPr>
          <w:noProof/>
        </w:rPr>
        <w:t xml:space="preserve">La facilité «Upgrade My Home» est gérée par la Banque hellénique de développement en tant que partenaire chargé de la mise en œuvre. La facilité comprend la gamme de produits suivante: </w:t>
      </w:r>
    </w:p>
    <w:p w14:paraId="3AF5190C" w14:textId="77777777" w:rsidR="00A00259" w:rsidRDefault="00371282">
      <w:pPr>
        <w:pStyle w:val="P68B1DB1-LegalNumPar220"/>
        <w:numPr>
          <w:ilvl w:val="1"/>
          <w:numId w:val="24"/>
        </w:numPr>
        <w:jc w:val="both"/>
        <w:rPr>
          <w:noProof/>
        </w:rPr>
      </w:pPr>
      <w:r>
        <w:rPr>
          <w:noProof/>
        </w:rPr>
        <w:t>La Banque hellénique de développement sélectionne les banques commerciales en tant qu’intermédiaires financiers pour participer à la facilité, de manière ouverte, transparente et non discriminatoire, au moyen d’un appel ouvert. Les banques commerciales cofinancent les prêts en faveur de la rénovation de l’efficacité énergétique octroyés au titre de la facilité. Ces prêts seront accordés à des particuliers pour des améliorations énergétiques dans leurs résidences principales ou secondaires non louées. La structure de prêt prévoit un financement sans intérêt de 75 % au titre de la facilité «Upgrade My Home» et un financement de 25 % par les banques participantes aux taux du marché. Les dépenses admissibles comprendront, par exemple, les interventions suivantes:</w:t>
      </w:r>
    </w:p>
    <w:p w14:paraId="67CEB55A" w14:textId="77777777" w:rsidR="00A00259" w:rsidRDefault="00371282">
      <w:pPr>
        <w:pStyle w:val="P68B1DB1-LegalNumPar220"/>
        <w:jc w:val="both"/>
        <w:rPr>
          <w:noProof/>
        </w:rPr>
      </w:pPr>
      <w:r>
        <w:rPr>
          <w:noProof/>
        </w:rPr>
        <w:t>Isolation thermique (interne / externe).</w:t>
      </w:r>
    </w:p>
    <w:p w14:paraId="00102F4A" w14:textId="77777777" w:rsidR="00A00259" w:rsidRDefault="00371282">
      <w:pPr>
        <w:pStyle w:val="P68B1DB1-LegalNumPar220"/>
        <w:jc w:val="both"/>
        <w:rPr>
          <w:noProof/>
        </w:rPr>
      </w:pPr>
      <w:r>
        <w:rPr>
          <w:noProof/>
        </w:rPr>
        <w:t>Installation d'un toit vert.</w:t>
      </w:r>
    </w:p>
    <w:p w14:paraId="07F2EB73" w14:textId="77777777" w:rsidR="00A00259" w:rsidRDefault="00371282">
      <w:pPr>
        <w:pStyle w:val="P68B1DB1-LegalNumPar220"/>
        <w:jc w:val="both"/>
        <w:rPr>
          <w:noProof/>
        </w:rPr>
      </w:pPr>
      <w:r>
        <w:rPr>
          <w:noProof/>
        </w:rPr>
        <w:t>Remplacement des cadres de fenêtres et des vitres économes en énergie.</w:t>
      </w:r>
    </w:p>
    <w:p w14:paraId="0D3F4BC9" w14:textId="77777777" w:rsidR="00A00259" w:rsidRDefault="00371282">
      <w:pPr>
        <w:pStyle w:val="P68B1DB1-LegalNumPar220"/>
        <w:jc w:val="both"/>
        <w:rPr>
          <w:noProof/>
        </w:rPr>
      </w:pPr>
      <w:r>
        <w:rPr>
          <w:noProof/>
        </w:rPr>
        <w:t>Remplacement / installation d'un chauffe-eau solaire.</w:t>
      </w:r>
    </w:p>
    <w:p w14:paraId="504B1735" w14:textId="77777777" w:rsidR="00A00259" w:rsidRDefault="00371282">
      <w:pPr>
        <w:pStyle w:val="P68B1DB1-LegalNumPar220"/>
        <w:jc w:val="both"/>
        <w:rPr>
          <w:noProof/>
        </w:rPr>
      </w:pPr>
      <w:r>
        <w:rPr>
          <w:noProof/>
        </w:rPr>
        <w:t>Installation de systèmes d'ombrage externe permanents.</w:t>
      </w:r>
    </w:p>
    <w:p w14:paraId="6BC634F2" w14:textId="77777777" w:rsidR="00A00259" w:rsidRDefault="00371282">
      <w:pPr>
        <w:pStyle w:val="P68B1DB1-LegalNumPar220"/>
        <w:jc w:val="both"/>
        <w:rPr>
          <w:noProof/>
        </w:rPr>
      </w:pPr>
      <w:r>
        <w:rPr>
          <w:noProof/>
        </w:rPr>
        <w:t>Remplacement/installation de systèmes de chauffage-refroidissement (les combustibles fossiles produits ne sont pas éligibles) utilisant des sources d’énergie renouvelables ou des systèmes combinés de production de chaleur et d’électricité à haut rendement (par exemple, pompes à chaleur électriques, unités de climatisation à onduleur de classe énergétique A+ ou supérieure).</w:t>
      </w:r>
    </w:p>
    <w:p w14:paraId="2DEA16BC" w14:textId="77777777" w:rsidR="00A00259" w:rsidRDefault="00371282">
      <w:pPr>
        <w:pStyle w:val="P68B1DB1-LegalNumPar220"/>
        <w:jc w:val="both"/>
        <w:rPr>
          <w:noProof/>
        </w:rPr>
      </w:pPr>
      <w:r>
        <w:rPr>
          <w:noProof/>
        </w:rPr>
        <w:t>Installation de systèmes de régulation thermostatique.</w:t>
      </w:r>
    </w:p>
    <w:p w14:paraId="0876F6A7" w14:textId="77777777" w:rsidR="00A00259" w:rsidRDefault="00371282">
      <w:pPr>
        <w:pStyle w:val="P68B1DB1-LegalNumPar220"/>
        <w:jc w:val="both"/>
        <w:rPr>
          <w:noProof/>
        </w:rPr>
      </w:pPr>
      <w:r>
        <w:rPr>
          <w:noProof/>
        </w:rPr>
        <w:t>Installation de systèmes de stockage d'énergie (batteries) à partir de sources d'énergie renouvelables.</w:t>
      </w:r>
    </w:p>
    <w:p w14:paraId="56E11BAA" w14:textId="77777777" w:rsidR="00A00259" w:rsidRDefault="00371282">
      <w:pPr>
        <w:pStyle w:val="P68B1DB1-LegalNumPar220"/>
        <w:jc w:val="both"/>
        <w:rPr>
          <w:noProof/>
        </w:rPr>
      </w:pPr>
      <w:r>
        <w:rPr>
          <w:noProof/>
        </w:rPr>
        <w:t>Installation de stations photovoltaïques, de petites éoliennes et d'autres sources d'énergie renouvelables.</w:t>
      </w:r>
    </w:p>
    <w:p w14:paraId="14EF2F0A" w14:textId="77777777" w:rsidR="00A00259" w:rsidRDefault="00371282">
      <w:pPr>
        <w:pStyle w:val="P68B1DB1-LegalNumPar220"/>
        <w:jc w:val="both"/>
        <w:rPr>
          <w:noProof/>
        </w:rPr>
      </w:pPr>
      <w:r>
        <w:rPr>
          <w:noProof/>
        </w:rPr>
        <w:t>Travaux d'installation / Services de consultants techniques ou d'ingénieurs.</w:t>
      </w:r>
    </w:p>
    <w:p w14:paraId="36EC43C9" w14:textId="77777777" w:rsidR="00A00259" w:rsidRDefault="00371282">
      <w:pPr>
        <w:pStyle w:val="NormalWeb"/>
        <w:spacing w:line="240" w:lineRule="auto"/>
        <w:jc w:val="both"/>
        <w:rPr>
          <w:noProof/>
        </w:rPr>
      </w:pPr>
      <w:r>
        <w:rPr>
          <w:noProof/>
        </w:rPr>
        <w:t>Afin de mettre en œuvre l’investissement dans la facilité «Upgrade My Home», la Grèce et la Banque hellénique de développement signent un accord de mise en œuvre. L’accord de mise en œuvre contient les éléments suivants:</w:t>
      </w:r>
    </w:p>
    <w:p w14:paraId="20F155DB" w14:textId="77777777" w:rsidR="00A00259" w:rsidRDefault="00371282">
      <w:pPr>
        <w:pStyle w:val="P68B1DB1-LegalNumPar21"/>
        <w:numPr>
          <w:ilvl w:val="0"/>
          <w:numId w:val="25"/>
        </w:numPr>
        <w:jc w:val="both"/>
        <w:rPr>
          <w:rFonts w:eastAsia="Times New Roman"/>
          <w:noProof/>
        </w:rPr>
      </w:pPr>
      <w:r>
        <w:rPr>
          <w:noProof/>
        </w:rPr>
        <w:t>Description du processus décisionnel de la facilité «Upgrade My Home». La décision finale d’investissement de la facilité est prise par un comité d’investissement ou un autre organe directeur équivalent compétent et approuvée à la majorité des voix des membres indépendants du gouvernement.</w:t>
      </w:r>
    </w:p>
    <w:p w14:paraId="6577723F" w14:textId="77777777" w:rsidR="00A00259" w:rsidRDefault="00371282">
      <w:pPr>
        <w:pStyle w:val="P68B1DB1-LegalNumPar21"/>
        <w:jc w:val="both"/>
        <w:rPr>
          <w:noProof/>
        </w:rPr>
      </w:pPr>
      <w:r>
        <w:rPr>
          <w:noProof/>
        </w:rPr>
        <w:t>Les principales exigences des produits financiers,</w:t>
      </w:r>
      <w:r>
        <w:rPr>
          <w:b/>
          <w:noProof/>
        </w:rPr>
        <w:t xml:space="preserve"> </w:t>
      </w:r>
      <w:r>
        <w:rPr>
          <w:noProof/>
        </w:rPr>
        <w:t>qui comprennent:</w:t>
      </w:r>
    </w:p>
    <w:p w14:paraId="3266C3DD" w14:textId="77777777" w:rsidR="00A00259" w:rsidRDefault="00371282">
      <w:pPr>
        <w:pStyle w:val="P68B1DB1-LegalNumPar220"/>
        <w:spacing w:after="0"/>
        <w:ind w:left="952" w:hanging="476"/>
        <w:jc w:val="both"/>
        <w:rPr>
          <w:noProof/>
        </w:rPr>
      </w:pPr>
      <w:r>
        <w:rPr>
          <w:noProof/>
        </w:rPr>
        <w:t>Description des produits financiers et des bénéficiaires finaux éligibles.</w:t>
      </w:r>
    </w:p>
    <w:p w14:paraId="2B74BB1F" w14:textId="77777777" w:rsidR="00A00259" w:rsidRDefault="00371282">
      <w:pPr>
        <w:pStyle w:val="P68B1DB1-LegalNumPar220"/>
        <w:spacing w:after="0"/>
        <w:ind w:left="952" w:hanging="476"/>
        <w:jc w:val="both"/>
        <w:rPr>
          <w:noProof/>
        </w:rPr>
      </w:pPr>
      <w:r>
        <w:rPr>
          <w:noProof/>
        </w:rPr>
        <w:t>L’exigence selon laquelle tous les investissements soutenus sont économiquement viables</w:t>
      </w:r>
      <w:r>
        <w:rPr>
          <w:b/>
          <w:noProof/>
        </w:rPr>
        <w:t>.</w:t>
      </w:r>
    </w:p>
    <w:p w14:paraId="383B52D4" w14:textId="77777777" w:rsidR="00A00259" w:rsidRDefault="00371282">
      <w:pPr>
        <w:pStyle w:val="P68B1DB1-LegalNumPar220"/>
        <w:spacing w:after="0"/>
        <w:ind w:left="952" w:hanging="476"/>
        <w:jc w:val="both"/>
        <w:rPr>
          <w:noProof/>
        </w:rPr>
      </w:pPr>
      <w:r>
        <w:rPr>
          <w:noProof/>
        </w:rPr>
        <w:t>L’exigence selon laquelle les bénéficiaires finaux de la facilité ne reçoivent pas de soutien d’autres instruments de l’Union pour couvrir le même coût.</w:t>
      </w:r>
    </w:p>
    <w:p w14:paraId="56E55C31" w14:textId="77777777" w:rsidR="00A00259" w:rsidRDefault="00371282">
      <w:pPr>
        <w:pStyle w:val="P68B1DB1-LegalNumPar22"/>
        <w:jc w:val="both"/>
        <w:rPr>
          <w:rFonts w:ascii="Times New Roman" w:hAnsi="Times New Roman" w:cs="Times New Roman"/>
          <w:noProof/>
        </w:rPr>
      </w:pPr>
      <w:r>
        <w:rPr>
          <w:rFonts w:ascii="Times New Roman" w:hAnsi="Times New Roman" w:cs="Times New Roman"/>
          <w:noProof/>
        </w:rPr>
        <w:t xml:space="preserve">Le montant couvert par l’accord de mise en œuvre, la structure des frais pour le partenaire chargé de la mise en œuvre et les intermédiaires financiers, et </w:t>
      </w:r>
      <w:r>
        <w:rPr>
          <w:rFonts w:ascii="Times New Roman" w:eastAsia="Times New Roman" w:hAnsi="Times New Roman" w:cs="Times New Roman"/>
          <w:noProof/>
          <w:color w:val="000000" w:themeColor="text1"/>
        </w:rPr>
        <w:t>l’obligation de réinvestir tout remboursement conformément à la politique d’investissement de la facilité, à moins qu’ils ne soient utilisés pour assurer le service des remboursements de prêts de la facilité pour la reprise et la résilience.</w:t>
      </w:r>
    </w:p>
    <w:p w14:paraId="380EA116" w14:textId="77777777" w:rsidR="00A00259" w:rsidRDefault="00371282">
      <w:pPr>
        <w:pStyle w:val="P68B1DB1-LegalNumPar21"/>
        <w:jc w:val="both"/>
        <w:rPr>
          <w:noProof/>
        </w:rPr>
      </w:pPr>
      <w:r>
        <w:rPr>
          <w:noProof/>
        </w:rPr>
        <w:t>Exigences en matière de suivi, d’audit et de contrôle, y compris la description des procédures du partenaire chargé de la mise en œuvre qui garantissent la prévention, la détection et la correction de la fraude, de la corruption et des conflits d’intérêts.</w:t>
      </w:r>
    </w:p>
    <w:p w14:paraId="2446A84E" w14:textId="77777777" w:rsidR="00A00259" w:rsidRDefault="00371282">
      <w:pPr>
        <w:pStyle w:val="P68B1DB1-LegalNumPar21"/>
        <w:jc w:val="both"/>
        <w:rPr>
          <w:noProof/>
        </w:rPr>
      </w:pPr>
      <w:r>
        <w:rPr>
          <w:noProof/>
        </w:rPr>
        <w:t>La Banque hellénique de développement signe des accords de financement avec les intermédiaires financiers conformément aux exigences essentielles qui figurent en annexe de l’accord de mise en œuvre. Les principales exigences des accords de financement comprennent toutes les exigences en vertu desquelles la facilité fonctionne, y compris: </w:t>
      </w:r>
    </w:p>
    <w:p w14:paraId="45B36D9C" w14:textId="77777777" w:rsidR="00A00259" w:rsidRDefault="00371282">
      <w:pPr>
        <w:pStyle w:val="P68B1DB1-LegalNumPar220"/>
        <w:numPr>
          <w:ilvl w:val="1"/>
          <w:numId w:val="24"/>
        </w:numPr>
        <w:jc w:val="both"/>
        <w:rPr>
          <w:noProof/>
        </w:rPr>
      </w:pPr>
      <w:r>
        <w:rPr>
          <w:noProof/>
        </w:rPr>
        <w:t>La décision finale sur les émissions de prêts est prise par les intermédiaires financiers conformément à leurs politiques et procédures, indépendamment du gouvernement.</w:t>
      </w:r>
    </w:p>
    <w:p w14:paraId="0F80D922" w14:textId="77777777" w:rsidR="00A00259" w:rsidRDefault="00371282">
      <w:pPr>
        <w:pStyle w:val="P68B1DB1-LegalNumPar220"/>
        <w:numPr>
          <w:ilvl w:val="1"/>
          <w:numId w:val="24"/>
        </w:numPr>
        <w:jc w:val="both"/>
        <w:rPr>
          <w:noProof/>
        </w:rPr>
      </w:pPr>
      <w:r>
        <w:rPr>
          <w:noProof/>
        </w:rPr>
        <w:t xml:space="preserve">L'obligation pour les intermédiaires financiers de prendre leurs décisions en conformité </w:t>
      </w:r>
      <w:r>
        <w:rPr>
          <w:i/>
          <w:noProof/>
        </w:rPr>
        <w:t>mutatis mutandis</w:t>
      </w:r>
      <w:r>
        <w:rPr>
          <w:noProof/>
        </w:rPr>
        <w:t xml:space="preserve"> avec les exigences de la politique d'investissement spécifiées ci-dessus. </w:t>
      </w:r>
    </w:p>
    <w:p w14:paraId="5D16B090" w14:textId="77777777" w:rsidR="00A00259" w:rsidRDefault="00371282">
      <w:pPr>
        <w:pStyle w:val="P68B1DB1-LegalNumPar220"/>
        <w:numPr>
          <w:ilvl w:val="1"/>
          <w:numId w:val="24"/>
        </w:numPr>
        <w:jc w:val="both"/>
        <w:rPr>
          <w:noProof/>
        </w:rPr>
      </w:pPr>
      <w:r>
        <w:rPr>
          <w:noProof/>
        </w:rPr>
        <w:t>Exigences en matière de suivi, d’audit et de contrôle applicables aux intermédiaires financiers, notamment:</w:t>
      </w:r>
    </w:p>
    <w:p w14:paraId="4A805B87" w14:textId="77777777" w:rsidR="00A00259" w:rsidRDefault="00371282">
      <w:pPr>
        <w:pStyle w:val="P68B1DB1-LegalNumPar220"/>
        <w:numPr>
          <w:ilvl w:val="2"/>
          <w:numId w:val="26"/>
        </w:numPr>
        <w:jc w:val="both"/>
        <w:rPr>
          <w:noProof/>
        </w:rPr>
      </w:pPr>
      <w:r>
        <w:rPr>
          <w:noProof/>
        </w:rPr>
        <w:t>Description du système de suivi des intermédiaires financiers pour rendre compte de l’investissement mobilisé.</w:t>
      </w:r>
    </w:p>
    <w:p w14:paraId="3944345E" w14:textId="77777777" w:rsidR="00A00259" w:rsidRDefault="00371282">
      <w:pPr>
        <w:pStyle w:val="P68B1DB1-LegalNumPar220"/>
        <w:numPr>
          <w:ilvl w:val="2"/>
          <w:numId w:val="26"/>
        </w:numPr>
        <w:jc w:val="both"/>
        <w:rPr>
          <w:noProof/>
        </w:rPr>
      </w:pPr>
      <w:r>
        <w:rPr>
          <w:noProof/>
        </w:rPr>
        <w:t xml:space="preserve">Description des procédures des intermédiaires financiers qui assurent la prévention, la détection et la correction de la fraude, de la corruption et des conflits d’intérêts. </w:t>
      </w:r>
    </w:p>
    <w:p w14:paraId="0899CA53" w14:textId="77777777" w:rsidR="00A00259" w:rsidRDefault="00371282">
      <w:pPr>
        <w:pStyle w:val="P68B1DB1-LegalNumPar220"/>
        <w:numPr>
          <w:ilvl w:val="2"/>
          <w:numId w:val="26"/>
        </w:numPr>
        <w:jc w:val="both"/>
        <w:rPr>
          <w:noProof/>
        </w:rPr>
      </w:pPr>
      <w:r>
        <w:rPr>
          <w:noProof/>
        </w:rPr>
        <w:t>L’obligation de vérifier l’éligibilité de chaque opération conformément aux exigences énoncées dans l’accord de mise en œuvre avant de s’engager à financer une opération.</w:t>
      </w:r>
    </w:p>
    <w:p w14:paraId="0EF39345" w14:textId="77777777" w:rsidR="00A00259" w:rsidRDefault="00371282">
      <w:pPr>
        <w:pStyle w:val="P68B1DB1-LegalNumPar220"/>
        <w:numPr>
          <w:ilvl w:val="2"/>
          <w:numId w:val="26"/>
        </w:numPr>
        <w:jc w:val="both"/>
        <w:rPr>
          <w:noProof/>
        </w:rPr>
      </w:pPr>
      <w:r>
        <w:rPr>
          <w:noProof/>
        </w:rPr>
        <w:t xml:space="preserve">L’obligation de réaliser des audits ex post fondés sur les risques conformément à un plan d’audit des intermédiaires financiers. Ces audits vérifient: i) que les systèmes de contrôle sont efficaces, y compris la détection de la fraude, de la corruption et des conflits d'intérêts; ii) le respect des exigences relatives aux objectifs climatiques; et iii) que l’exigence selon laquelle les bénéficiaires finaux de la facilité n’ont pas reçu d’aide d’autres instruments de l’Union pour couvrir le même coût soit respectée. Les audits vérifient également la légalité des opérations et le respect des conditions des accords applicables. </w:t>
      </w:r>
    </w:p>
    <w:p w14:paraId="6948A4A5" w14:textId="5382DE46" w:rsidR="00A00259" w:rsidRDefault="00371282">
      <w:pPr>
        <w:pStyle w:val="LegalNumPar"/>
        <w:ind w:left="709"/>
        <w:contextualSpacing/>
        <w:jc w:val="both"/>
        <w:rPr>
          <w:noProof/>
        </w:rPr>
        <w:sectPr w:rsidR="00A00259">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r>
        <w:rPr>
          <w:rStyle w:val="normaltextrun"/>
          <w:rFonts w:ascii="Times New Roman" w:hAnsi="Times New Roman" w:cs="Times New Roman"/>
          <w:noProof/>
          <w:sz w:val="24"/>
          <w:szCs w:val="24"/>
        </w:rPr>
        <w:t>Exigences applicables aux investissements climatiques réalisés par le partenaire chargé de la mise en œuvre: au moins 40 % de l’investissement de la FRR dans la facilité «Upgrade My Home» contribuent aux objectifs en matière de changement climatique conformément à l’annexe VI du règlement FRR.</w:t>
      </w:r>
      <w:r>
        <w:rPr>
          <w:rStyle w:val="FootnoteReference"/>
          <w:rFonts w:ascii="Times New Roman" w:hAnsi="Times New Roman" w:cs="Times New Roman"/>
          <w:noProof/>
          <w:szCs w:val="24"/>
        </w:rPr>
        <w:footnoteReference w:id="2"/>
      </w:r>
    </w:p>
    <w:p w14:paraId="22E14B4C" w14:textId="77777777" w:rsidR="00A00259" w:rsidRDefault="00371282">
      <w:pPr>
        <w:pStyle w:val="P68B1DB1-Normal6"/>
        <w:spacing w:before="120" w:after="120" w:line="240" w:lineRule="auto"/>
        <w:jc w:val="both"/>
        <w:rPr>
          <w:rFonts w:cs="Times New Roman"/>
          <w:bCs/>
          <w:noProof/>
        </w:rPr>
      </w:pPr>
      <w:r>
        <w:rPr>
          <w:noProof/>
        </w:rPr>
        <w:t xml:space="preserve">B.4. Étapes, objectifs, indicateurs et calendrier du suivi et de la mise en œuvre du prêt </w:t>
      </w:r>
    </w:p>
    <w:p w14:paraId="38127807" w14:textId="77777777" w:rsidR="00A00259" w:rsidRDefault="00371282">
      <w:pPr>
        <w:pStyle w:val="P68B1DB1-Normal9"/>
        <w:keepNext/>
        <w:keepLines/>
        <w:spacing w:before="40" w:after="240" w:line="240" w:lineRule="auto"/>
        <w:jc w:val="both"/>
        <w:outlineLvl w:val="4"/>
        <w:rPr>
          <w:rFonts w:eastAsia="Times New Roman"/>
          <w:noProof/>
        </w:rPr>
      </w:pPr>
      <w:r>
        <w:rPr>
          <w:noProof/>
        </w:rPr>
        <w:t>Programme de mise à niveau énergétique «Upgrade My Home» (16401)</w:t>
      </w:r>
    </w:p>
    <w:tbl>
      <w:tblPr>
        <w:tblW w:w="158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
        <w:gridCol w:w="1945"/>
        <w:gridCol w:w="1134"/>
        <w:gridCol w:w="1276"/>
        <w:gridCol w:w="1278"/>
        <w:gridCol w:w="1200"/>
        <w:gridCol w:w="1080"/>
        <w:gridCol w:w="930"/>
        <w:gridCol w:w="992"/>
        <w:gridCol w:w="851"/>
        <w:gridCol w:w="4595"/>
      </w:tblGrid>
      <w:tr w:rsidR="00A00259" w14:paraId="6C1F14B5" w14:textId="77777777" w:rsidTr="00CE3F9A">
        <w:trPr>
          <w:trHeight w:val="810"/>
          <w:tblHeader/>
          <w:jc w:val="center"/>
        </w:trPr>
        <w:tc>
          <w:tcPr>
            <w:tcW w:w="602" w:type="dxa"/>
            <w:vMerge w:val="restart"/>
            <w:shd w:val="clear" w:color="auto" w:fill="BDD7EE"/>
            <w:vAlign w:val="center"/>
            <w:hideMark/>
          </w:tcPr>
          <w:p w14:paraId="37938115" w14:textId="77777777" w:rsidR="00A00259" w:rsidRDefault="00371282">
            <w:pPr>
              <w:pStyle w:val="P68B1DB1-Normal18"/>
              <w:spacing w:after="0" w:line="240" w:lineRule="auto"/>
              <w:jc w:val="center"/>
              <w:rPr>
                <w:rFonts w:ascii="Times New Roman" w:eastAsia="Times New Roman" w:hAnsi="Times New Roman" w:cs="Times New Roman"/>
                <w:noProof/>
                <w:szCs w:val="18"/>
              </w:rPr>
            </w:pPr>
            <w:r>
              <w:rPr>
                <w:rFonts w:ascii="Times New Roman" w:hAnsi="Times New Roman"/>
                <w:noProof/>
              </w:rPr>
              <w:t>Seq.</w:t>
            </w:r>
            <w:r>
              <w:rPr>
                <w:rFonts w:ascii="Times New Roman" w:hAnsi="Times New Roman"/>
                <w:noProof/>
              </w:rPr>
              <w:br/>
              <w:t>Non</w:t>
            </w:r>
            <w:r>
              <w:rPr>
                <w:rFonts w:ascii="Times New Roman" w:hAnsi="Times New Roman" w:cs="Times New Roman"/>
                <w:noProof/>
                <w:szCs w:val="18"/>
              </w:rPr>
              <w:t>.</w:t>
            </w:r>
          </w:p>
        </w:tc>
        <w:tc>
          <w:tcPr>
            <w:tcW w:w="1945" w:type="dxa"/>
            <w:vMerge w:val="restart"/>
            <w:shd w:val="clear" w:color="auto" w:fill="BDD7EE"/>
            <w:vAlign w:val="center"/>
            <w:hideMark/>
          </w:tcPr>
          <w:p w14:paraId="30CBC29E" w14:textId="77777777" w:rsidR="00A00259" w:rsidRDefault="00371282">
            <w:pPr>
              <w:pStyle w:val="P68B1DB1-Normal15"/>
              <w:spacing w:after="0" w:line="240" w:lineRule="auto"/>
              <w:jc w:val="center"/>
              <w:rPr>
                <w:rFonts w:eastAsia="Times New Roman"/>
                <w:noProof/>
              </w:rPr>
            </w:pPr>
            <w:r>
              <w:rPr>
                <w:noProof/>
              </w:rPr>
              <w:t>Mesure connexe (réforme ou investissement)</w:t>
            </w:r>
          </w:p>
        </w:tc>
        <w:tc>
          <w:tcPr>
            <w:tcW w:w="1134" w:type="dxa"/>
            <w:vMerge w:val="restart"/>
            <w:shd w:val="clear" w:color="auto" w:fill="BDD7EE"/>
            <w:vAlign w:val="center"/>
            <w:hideMark/>
          </w:tcPr>
          <w:p w14:paraId="13F605E3" w14:textId="77777777" w:rsidR="00A00259" w:rsidRDefault="00371282">
            <w:pPr>
              <w:pStyle w:val="P68B1DB1-Normal15"/>
              <w:spacing w:after="0" w:line="240" w:lineRule="auto"/>
              <w:jc w:val="center"/>
              <w:rPr>
                <w:rFonts w:eastAsia="Times New Roman"/>
                <w:noProof/>
              </w:rPr>
            </w:pPr>
            <w:r>
              <w:rPr>
                <w:noProof/>
              </w:rPr>
              <w:t>Étape/cible</w:t>
            </w:r>
          </w:p>
        </w:tc>
        <w:tc>
          <w:tcPr>
            <w:tcW w:w="1276" w:type="dxa"/>
            <w:vMerge w:val="restart"/>
            <w:shd w:val="clear" w:color="auto" w:fill="BDD7EE"/>
            <w:vAlign w:val="center"/>
            <w:hideMark/>
          </w:tcPr>
          <w:p w14:paraId="604C8AD0" w14:textId="77777777" w:rsidR="00A00259" w:rsidRDefault="00371282">
            <w:pPr>
              <w:pStyle w:val="P68B1DB1-Normal15"/>
              <w:spacing w:after="0" w:line="240" w:lineRule="auto"/>
              <w:jc w:val="center"/>
              <w:rPr>
                <w:rFonts w:eastAsia="Times New Roman"/>
                <w:noProof/>
              </w:rPr>
            </w:pPr>
            <w:r>
              <w:rPr>
                <w:noProof/>
              </w:rPr>
              <w:t>Nom</w:t>
            </w:r>
          </w:p>
        </w:tc>
        <w:tc>
          <w:tcPr>
            <w:tcW w:w="1278" w:type="dxa"/>
            <w:vMerge w:val="restart"/>
            <w:shd w:val="clear" w:color="auto" w:fill="BDD7EE"/>
            <w:vAlign w:val="center"/>
            <w:hideMark/>
          </w:tcPr>
          <w:p w14:paraId="737633FD" w14:textId="77777777" w:rsidR="00A00259" w:rsidRDefault="00371282">
            <w:pPr>
              <w:pStyle w:val="P68B1DB1-Normal15"/>
              <w:spacing w:after="0" w:line="240" w:lineRule="auto"/>
              <w:jc w:val="center"/>
              <w:rPr>
                <w:rFonts w:eastAsia="Times New Roman"/>
                <w:noProof/>
              </w:rPr>
            </w:pPr>
            <w:r>
              <w:rPr>
                <w:noProof/>
              </w:rPr>
              <w:t>Indicateurs qualitatifs (pour les jalons)</w:t>
            </w:r>
          </w:p>
        </w:tc>
        <w:tc>
          <w:tcPr>
            <w:tcW w:w="3210" w:type="dxa"/>
            <w:gridSpan w:val="3"/>
            <w:shd w:val="clear" w:color="auto" w:fill="BDD7EE"/>
            <w:vAlign w:val="center"/>
            <w:hideMark/>
          </w:tcPr>
          <w:p w14:paraId="18B5565E" w14:textId="77777777" w:rsidR="00A00259" w:rsidRDefault="00371282">
            <w:pPr>
              <w:pStyle w:val="P68B1DB1-Normal15"/>
              <w:spacing w:after="0" w:line="240" w:lineRule="auto"/>
              <w:jc w:val="center"/>
              <w:rPr>
                <w:rFonts w:eastAsia="Times New Roman"/>
                <w:noProof/>
              </w:rPr>
            </w:pPr>
            <w:r>
              <w:rPr>
                <w:noProof/>
              </w:rPr>
              <w:t>Indicateurs quantitatifs (pour les objectifs)</w:t>
            </w:r>
          </w:p>
        </w:tc>
        <w:tc>
          <w:tcPr>
            <w:tcW w:w="1843" w:type="dxa"/>
            <w:gridSpan w:val="2"/>
            <w:shd w:val="clear" w:color="auto" w:fill="BDD7EE"/>
            <w:vAlign w:val="center"/>
            <w:hideMark/>
          </w:tcPr>
          <w:p w14:paraId="7FBF0586" w14:textId="77777777" w:rsidR="00A00259" w:rsidRDefault="00371282">
            <w:pPr>
              <w:pStyle w:val="P68B1DB1-Normal15"/>
              <w:spacing w:after="0" w:line="240" w:lineRule="auto"/>
              <w:jc w:val="center"/>
              <w:rPr>
                <w:rFonts w:eastAsia="Times New Roman"/>
                <w:noProof/>
              </w:rPr>
            </w:pPr>
            <w:r>
              <w:rPr>
                <w:noProof/>
              </w:rPr>
              <w:t>Calendrier indicatif d'achèvement</w:t>
            </w:r>
          </w:p>
        </w:tc>
        <w:tc>
          <w:tcPr>
            <w:tcW w:w="4595" w:type="dxa"/>
            <w:vMerge w:val="restart"/>
            <w:shd w:val="clear" w:color="auto" w:fill="BDD7EE"/>
            <w:vAlign w:val="center"/>
            <w:hideMark/>
          </w:tcPr>
          <w:p w14:paraId="5E43DA6B" w14:textId="77777777" w:rsidR="00A00259" w:rsidRDefault="00371282">
            <w:pPr>
              <w:pStyle w:val="P68B1DB1-Normal15"/>
              <w:spacing w:after="0" w:line="240" w:lineRule="auto"/>
              <w:jc w:val="center"/>
              <w:rPr>
                <w:rFonts w:eastAsia="Times New Roman"/>
                <w:noProof/>
              </w:rPr>
            </w:pPr>
            <w:r>
              <w:rPr>
                <w:noProof/>
              </w:rPr>
              <w:t>Description de chaque jalon et cible</w:t>
            </w:r>
          </w:p>
        </w:tc>
      </w:tr>
      <w:tr w:rsidR="00A00259" w14:paraId="2F4CC3AB" w14:textId="77777777" w:rsidTr="00CE3F9A">
        <w:trPr>
          <w:trHeight w:val="581"/>
          <w:tblHeader/>
          <w:jc w:val="center"/>
        </w:trPr>
        <w:tc>
          <w:tcPr>
            <w:tcW w:w="602" w:type="dxa"/>
            <w:vMerge/>
            <w:vAlign w:val="center"/>
            <w:hideMark/>
          </w:tcPr>
          <w:p w14:paraId="7F6A5BC9" w14:textId="77777777" w:rsidR="00A00259" w:rsidRDefault="00A00259">
            <w:pPr>
              <w:spacing w:after="0" w:line="240" w:lineRule="auto"/>
              <w:rPr>
                <w:rFonts w:ascii="Times New Roman" w:eastAsia="Times New Roman" w:hAnsi="Times New Roman" w:cs="Times New Roman"/>
                <w:b/>
                <w:bCs/>
                <w:noProof/>
                <w:sz w:val="18"/>
                <w:szCs w:val="18"/>
              </w:rPr>
            </w:pPr>
          </w:p>
        </w:tc>
        <w:tc>
          <w:tcPr>
            <w:tcW w:w="1945" w:type="dxa"/>
            <w:vMerge/>
            <w:vAlign w:val="center"/>
            <w:hideMark/>
          </w:tcPr>
          <w:p w14:paraId="2E502DEC" w14:textId="77777777" w:rsidR="00A00259" w:rsidRDefault="00A00259">
            <w:pPr>
              <w:spacing w:after="0" w:line="240" w:lineRule="auto"/>
              <w:rPr>
                <w:rFonts w:ascii="Times New Roman" w:eastAsia="Times New Roman" w:hAnsi="Times New Roman" w:cs="Times New Roman"/>
                <w:b/>
                <w:bCs/>
                <w:noProof/>
                <w:sz w:val="18"/>
                <w:szCs w:val="18"/>
              </w:rPr>
            </w:pPr>
          </w:p>
        </w:tc>
        <w:tc>
          <w:tcPr>
            <w:tcW w:w="1134" w:type="dxa"/>
            <w:vMerge/>
            <w:vAlign w:val="center"/>
            <w:hideMark/>
          </w:tcPr>
          <w:p w14:paraId="54FE92F8" w14:textId="77777777" w:rsidR="00A00259" w:rsidRDefault="00A00259">
            <w:pPr>
              <w:spacing w:after="0" w:line="240" w:lineRule="auto"/>
              <w:rPr>
                <w:rFonts w:ascii="Times New Roman" w:eastAsia="Times New Roman" w:hAnsi="Times New Roman" w:cs="Times New Roman"/>
                <w:b/>
                <w:bCs/>
                <w:noProof/>
                <w:sz w:val="18"/>
                <w:szCs w:val="18"/>
              </w:rPr>
            </w:pPr>
          </w:p>
        </w:tc>
        <w:tc>
          <w:tcPr>
            <w:tcW w:w="1276" w:type="dxa"/>
            <w:vMerge/>
            <w:vAlign w:val="center"/>
            <w:hideMark/>
          </w:tcPr>
          <w:p w14:paraId="455924F0" w14:textId="77777777" w:rsidR="00A00259" w:rsidRDefault="00A00259">
            <w:pPr>
              <w:spacing w:after="0" w:line="240" w:lineRule="auto"/>
              <w:rPr>
                <w:rFonts w:ascii="Times New Roman" w:eastAsia="Times New Roman" w:hAnsi="Times New Roman" w:cs="Times New Roman"/>
                <w:b/>
                <w:bCs/>
                <w:noProof/>
                <w:sz w:val="18"/>
                <w:szCs w:val="18"/>
              </w:rPr>
            </w:pPr>
          </w:p>
        </w:tc>
        <w:tc>
          <w:tcPr>
            <w:tcW w:w="1278" w:type="dxa"/>
            <w:vMerge/>
            <w:vAlign w:val="center"/>
            <w:hideMark/>
          </w:tcPr>
          <w:p w14:paraId="07EAD3CC" w14:textId="77777777" w:rsidR="00A00259" w:rsidRDefault="00A00259">
            <w:pPr>
              <w:spacing w:after="0" w:line="240" w:lineRule="auto"/>
              <w:rPr>
                <w:rFonts w:ascii="Times New Roman" w:eastAsia="Times New Roman" w:hAnsi="Times New Roman" w:cs="Times New Roman"/>
                <w:b/>
                <w:bCs/>
                <w:noProof/>
                <w:sz w:val="18"/>
                <w:szCs w:val="18"/>
              </w:rPr>
            </w:pPr>
          </w:p>
        </w:tc>
        <w:tc>
          <w:tcPr>
            <w:tcW w:w="1200" w:type="dxa"/>
            <w:shd w:val="clear" w:color="auto" w:fill="BDD7EE"/>
            <w:vAlign w:val="center"/>
            <w:hideMark/>
          </w:tcPr>
          <w:p w14:paraId="56CBECF5" w14:textId="77777777" w:rsidR="00A00259" w:rsidRDefault="00371282">
            <w:pPr>
              <w:pStyle w:val="P68B1DB1-Normal10"/>
              <w:spacing w:after="0" w:line="240" w:lineRule="auto"/>
              <w:jc w:val="center"/>
              <w:rPr>
                <w:rFonts w:eastAsia="Times New Roman" w:cs="Times New Roman"/>
                <w:noProof/>
                <w:szCs w:val="18"/>
              </w:rPr>
            </w:pPr>
            <w:r>
              <w:rPr>
                <w:noProof/>
              </w:rPr>
              <w:t>Unité de mesure</w:t>
            </w:r>
          </w:p>
        </w:tc>
        <w:tc>
          <w:tcPr>
            <w:tcW w:w="1080" w:type="dxa"/>
            <w:shd w:val="clear" w:color="auto" w:fill="BDD7EE"/>
            <w:vAlign w:val="center"/>
            <w:hideMark/>
          </w:tcPr>
          <w:p w14:paraId="684E6784" w14:textId="77777777" w:rsidR="00A00259" w:rsidRDefault="00371282">
            <w:pPr>
              <w:pStyle w:val="P68B1DB1-Normal10"/>
              <w:spacing w:after="0" w:line="240" w:lineRule="auto"/>
              <w:jc w:val="center"/>
              <w:rPr>
                <w:rFonts w:eastAsia="Times New Roman" w:cs="Times New Roman"/>
                <w:noProof/>
                <w:szCs w:val="18"/>
              </w:rPr>
            </w:pPr>
            <w:r>
              <w:rPr>
                <w:noProof/>
              </w:rPr>
              <w:t>Données de référence</w:t>
            </w:r>
          </w:p>
        </w:tc>
        <w:tc>
          <w:tcPr>
            <w:tcW w:w="930" w:type="dxa"/>
            <w:shd w:val="clear" w:color="auto" w:fill="BDD7EE"/>
            <w:vAlign w:val="center"/>
            <w:hideMark/>
          </w:tcPr>
          <w:p w14:paraId="22E61E1A" w14:textId="77777777" w:rsidR="00A00259" w:rsidRDefault="00371282">
            <w:pPr>
              <w:pStyle w:val="P68B1DB1-Normal10"/>
              <w:spacing w:after="0" w:line="240" w:lineRule="auto"/>
              <w:jc w:val="center"/>
              <w:rPr>
                <w:rFonts w:eastAsia="Times New Roman" w:cs="Times New Roman"/>
                <w:noProof/>
                <w:szCs w:val="18"/>
              </w:rPr>
            </w:pPr>
            <w:r>
              <w:rPr>
                <w:noProof/>
              </w:rPr>
              <w:t>Objectif</w:t>
            </w:r>
          </w:p>
        </w:tc>
        <w:tc>
          <w:tcPr>
            <w:tcW w:w="992" w:type="dxa"/>
            <w:shd w:val="clear" w:color="auto" w:fill="BDD7EE"/>
            <w:vAlign w:val="center"/>
            <w:hideMark/>
          </w:tcPr>
          <w:p w14:paraId="711D9B8A" w14:textId="77777777" w:rsidR="00A00259" w:rsidRDefault="00371282">
            <w:pPr>
              <w:pStyle w:val="P68B1DB1-Normal10"/>
              <w:spacing w:after="0" w:line="240" w:lineRule="auto"/>
              <w:jc w:val="center"/>
              <w:rPr>
                <w:rFonts w:eastAsia="Times New Roman" w:cs="Times New Roman"/>
                <w:noProof/>
                <w:szCs w:val="18"/>
              </w:rPr>
            </w:pPr>
            <w:r>
              <w:rPr>
                <w:noProof/>
              </w:rPr>
              <w:t>Trimestre</w:t>
            </w:r>
          </w:p>
        </w:tc>
        <w:tc>
          <w:tcPr>
            <w:tcW w:w="851" w:type="dxa"/>
            <w:shd w:val="clear" w:color="auto" w:fill="BDD7EE"/>
            <w:vAlign w:val="center"/>
            <w:hideMark/>
          </w:tcPr>
          <w:p w14:paraId="17E50402" w14:textId="77777777" w:rsidR="00A00259" w:rsidRDefault="00371282">
            <w:pPr>
              <w:pStyle w:val="P68B1DB1-Normal10"/>
              <w:spacing w:after="0" w:line="240" w:lineRule="auto"/>
              <w:jc w:val="center"/>
              <w:rPr>
                <w:rFonts w:eastAsia="Times New Roman" w:cs="Times New Roman"/>
                <w:noProof/>
                <w:szCs w:val="18"/>
              </w:rPr>
            </w:pPr>
            <w:r>
              <w:rPr>
                <w:noProof/>
              </w:rPr>
              <w:t>Année</w:t>
            </w:r>
          </w:p>
        </w:tc>
        <w:tc>
          <w:tcPr>
            <w:tcW w:w="4595" w:type="dxa"/>
            <w:vMerge/>
            <w:vAlign w:val="center"/>
            <w:hideMark/>
          </w:tcPr>
          <w:p w14:paraId="47D77267"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112ECA95" w14:textId="77777777" w:rsidTr="00CE3F9A">
        <w:trPr>
          <w:trHeight w:val="314"/>
          <w:jc w:val="center"/>
        </w:trPr>
        <w:tc>
          <w:tcPr>
            <w:tcW w:w="602" w:type="dxa"/>
            <w:shd w:val="clear" w:color="auto" w:fill="C6EFCE"/>
            <w:noWrap/>
          </w:tcPr>
          <w:p w14:paraId="2EFB4054" w14:textId="77777777" w:rsidR="00A00259" w:rsidRDefault="00371282">
            <w:pPr>
              <w:pStyle w:val="P68B1DB1-Normal12"/>
              <w:spacing w:after="0" w:line="240" w:lineRule="auto"/>
              <w:rPr>
                <w:rFonts w:eastAsia="Times New Roman"/>
                <w:noProof/>
              </w:rPr>
            </w:pPr>
            <w:r>
              <w:rPr>
                <w:noProof/>
              </w:rPr>
              <w:t>374</w:t>
            </w:r>
          </w:p>
        </w:tc>
        <w:tc>
          <w:tcPr>
            <w:tcW w:w="1945" w:type="dxa"/>
            <w:shd w:val="clear" w:color="auto" w:fill="C6EFCE"/>
            <w:noWrap/>
          </w:tcPr>
          <w:p w14:paraId="77DF9BBF" w14:textId="77777777" w:rsidR="00A00259" w:rsidRDefault="00371282">
            <w:pPr>
              <w:pStyle w:val="P68B1DB1-Normal12"/>
              <w:spacing w:after="0" w:line="240" w:lineRule="auto"/>
              <w:rPr>
                <w:rFonts w:eastAsia="Times New Roman"/>
                <w:noProof/>
              </w:rPr>
            </w:pPr>
            <w:r>
              <w:rPr>
                <w:noProof/>
              </w:rPr>
              <w:t>2 - 1.2. «Renovate - 16401_ Energy Upgrade Programme “Upgrade My Home”» (Mettre à niveau ma maison)</w:t>
            </w:r>
          </w:p>
        </w:tc>
        <w:tc>
          <w:tcPr>
            <w:tcW w:w="1134" w:type="dxa"/>
            <w:shd w:val="clear" w:color="auto" w:fill="C6EFCE"/>
            <w:noWrap/>
          </w:tcPr>
          <w:p w14:paraId="5866E84B" w14:textId="77777777" w:rsidR="00A00259" w:rsidRDefault="00371282">
            <w:pPr>
              <w:pStyle w:val="P68B1DB1-Normal12"/>
              <w:spacing w:after="0" w:line="240" w:lineRule="auto"/>
              <w:rPr>
                <w:rFonts w:eastAsia="Times New Roman"/>
                <w:noProof/>
              </w:rPr>
            </w:pPr>
            <w:r>
              <w:rPr>
                <w:noProof/>
              </w:rPr>
              <w:t>Étape</w:t>
            </w:r>
          </w:p>
        </w:tc>
        <w:tc>
          <w:tcPr>
            <w:tcW w:w="1276" w:type="dxa"/>
            <w:shd w:val="clear" w:color="auto" w:fill="C6EFCE"/>
            <w:noWrap/>
          </w:tcPr>
          <w:p w14:paraId="7EEA7376" w14:textId="77777777" w:rsidR="00A00259" w:rsidRDefault="00371282">
            <w:pPr>
              <w:pStyle w:val="P68B1DB1-Normal12"/>
              <w:spacing w:after="0" w:line="240" w:lineRule="auto"/>
              <w:rPr>
                <w:rFonts w:eastAsia="Times New Roman"/>
                <w:noProof/>
              </w:rPr>
            </w:pPr>
            <w:r>
              <w:rPr>
                <w:noProof/>
              </w:rPr>
              <w:t>Upgrade My Home -Accord de mise en œuvre entre la Banque hellénique de développement et le ministère des Finances</w:t>
            </w:r>
          </w:p>
        </w:tc>
        <w:tc>
          <w:tcPr>
            <w:tcW w:w="1278" w:type="dxa"/>
            <w:shd w:val="clear" w:color="auto" w:fill="C6EFCE"/>
            <w:noWrap/>
          </w:tcPr>
          <w:p w14:paraId="035C7D7E" w14:textId="77777777" w:rsidR="00A00259" w:rsidRDefault="00371282">
            <w:pPr>
              <w:pStyle w:val="P68B1DB1-Normal12"/>
              <w:spacing w:after="0" w:line="240" w:lineRule="auto"/>
              <w:rPr>
                <w:noProof/>
              </w:rPr>
            </w:pPr>
            <w:r>
              <w:rPr>
                <w:noProof/>
              </w:rPr>
              <w:t>Entrée en vigueur de l'accord de mise en œuvre</w:t>
            </w:r>
          </w:p>
        </w:tc>
        <w:tc>
          <w:tcPr>
            <w:tcW w:w="1200" w:type="dxa"/>
            <w:shd w:val="clear" w:color="auto" w:fill="C6EFCE"/>
            <w:noWrap/>
          </w:tcPr>
          <w:p w14:paraId="0E46F590" w14:textId="77777777" w:rsidR="00A00259" w:rsidRDefault="00A00259">
            <w:pPr>
              <w:spacing w:after="0" w:line="240" w:lineRule="auto"/>
              <w:rPr>
                <w:rFonts w:ascii="Times New Roman" w:hAnsi="Times New Roman" w:cs="Times New Roman"/>
                <w:noProof/>
                <w:color w:val="006100"/>
                <w:sz w:val="18"/>
                <w:szCs w:val="18"/>
              </w:rPr>
            </w:pPr>
          </w:p>
        </w:tc>
        <w:tc>
          <w:tcPr>
            <w:tcW w:w="1080" w:type="dxa"/>
            <w:shd w:val="clear" w:color="auto" w:fill="C6EFCE"/>
            <w:noWrap/>
          </w:tcPr>
          <w:p w14:paraId="53473DEC" w14:textId="77777777" w:rsidR="00A00259" w:rsidRDefault="00A00259">
            <w:pPr>
              <w:spacing w:after="0" w:line="240" w:lineRule="auto"/>
              <w:rPr>
                <w:rFonts w:ascii="Times New Roman" w:hAnsi="Times New Roman" w:cs="Times New Roman"/>
                <w:noProof/>
                <w:color w:val="006100"/>
                <w:sz w:val="18"/>
                <w:szCs w:val="18"/>
              </w:rPr>
            </w:pPr>
          </w:p>
        </w:tc>
        <w:tc>
          <w:tcPr>
            <w:tcW w:w="930" w:type="dxa"/>
            <w:shd w:val="clear" w:color="auto" w:fill="C6EFCE"/>
            <w:noWrap/>
          </w:tcPr>
          <w:p w14:paraId="6F1F71CE" w14:textId="77777777" w:rsidR="00A00259" w:rsidRDefault="00A00259">
            <w:pPr>
              <w:spacing w:after="0" w:line="240" w:lineRule="auto"/>
              <w:rPr>
                <w:rFonts w:ascii="Times New Roman" w:hAnsi="Times New Roman" w:cs="Times New Roman"/>
                <w:noProof/>
                <w:color w:val="006100"/>
                <w:sz w:val="18"/>
                <w:szCs w:val="18"/>
              </w:rPr>
            </w:pPr>
          </w:p>
        </w:tc>
        <w:tc>
          <w:tcPr>
            <w:tcW w:w="992" w:type="dxa"/>
            <w:shd w:val="clear" w:color="auto" w:fill="C6EFCE"/>
            <w:noWrap/>
          </w:tcPr>
          <w:p w14:paraId="245DDB55" w14:textId="77777777" w:rsidR="00A00259" w:rsidRDefault="00371282">
            <w:pPr>
              <w:pStyle w:val="P68B1DB1-Normal12"/>
              <w:spacing w:after="0" w:line="240" w:lineRule="auto"/>
              <w:rPr>
                <w:noProof/>
              </w:rPr>
            </w:pPr>
            <w:r>
              <w:rPr>
                <w:noProof/>
              </w:rPr>
              <w:t>T4</w:t>
            </w:r>
          </w:p>
        </w:tc>
        <w:tc>
          <w:tcPr>
            <w:tcW w:w="851" w:type="dxa"/>
            <w:shd w:val="clear" w:color="auto" w:fill="C6EFCE"/>
            <w:noWrap/>
          </w:tcPr>
          <w:p w14:paraId="3FB40A25" w14:textId="77777777" w:rsidR="00A00259" w:rsidRDefault="00371282">
            <w:pPr>
              <w:pStyle w:val="P68B1DB1-Normal12"/>
              <w:spacing w:after="0" w:line="240" w:lineRule="auto"/>
              <w:rPr>
                <w:noProof/>
              </w:rPr>
            </w:pPr>
            <w:r>
              <w:rPr>
                <w:noProof/>
              </w:rPr>
              <w:t>2024</w:t>
            </w:r>
          </w:p>
        </w:tc>
        <w:tc>
          <w:tcPr>
            <w:tcW w:w="4595" w:type="dxa"/>
            <w:shd w:val="clear" w:color="auto" w:fill="C6EFCE"/>
            <w:noWrap/>
          </w:tcPr>
          <w:p w14:paraId="78F6051B" w14:textId="77777777" w:rsidR="00A00259" w:rsidRDefault="00371282">
            <w:pPr>
              <w:pStyle w:val="P68B1DB1-Normal12"/>
              <w:spacing w:after="0" w:line="240" w:lineRule="auto"/>
              <w:rPr>
                <w:noProof/>
              </w:rPr>
            </w:pPr>
            <w:r>
              <w:rPr>
                <w:noProof/>
              </w:rPr>
              <w:t>Entrée en vigueur de l'accord de mise en œuvre.</w:t>
            </w:r>
          </w:p>
        </w:tc>
      </w:tr>
      <w:tr w:rsidR="00A00259" w14:paraId="10396878" w14:textId="77777777" w:rsidTr="00CE3F9A">
        <w:trPr>
          <w:trHeight w:val="314"/>
          <w:jc w:val="center"/>
        </w:trPr>
        <w:tc>
          <w:tcPr>
            <w:tcW w:w="602" w:type="dxa"/>
            <w:shd w:val="clear" w:color="auto" w:fill="C6EFCE"/>
            <w:noWrap/>
          </w:tcPr>
          <w:p w14:paraId="4B1E6DA7" w14:textId="77777777" w:rsidR="00A00259" w:rsidRDefault="00371282">
            <w:pPr>
              <w:pStyle w:val="P68B1DB1-Normal12"/>
              <w:spacing w:after="0" w:line="240" w:lineRule="auto"/>
              <w:rPr>
                <w:noProof/>
              </w:rPr>
            </w:pPr>
            <w:r>
              <w:rPr>
                <w:noProof/>
              </w:rPr>
              <w:t>376</w:t>
            </w:r>
          </w:p>
        </w:tc>
        <w:tc>
          <w:tcPr>
            <w:tcW w:w="1945" w:type="dxa"/>
            <w:shd w:val="clear" w:color="auto" w:fill="C6EFCE"/>
            <w:noWrap/>
          </w:tcPr>
          <w:p w14:paraId="696169FF" w14:textId="77777777" w:rsidR="00A00259" w:rsidRDefault="00371282">
            <w:pPr>
              <w:pStyle w:val="P68B1DB1-Normal12"/>
              <w:spacing w:after="0" w:line="240" w:lineRule="auto"/>
              <w:rPr>
                <w:noProof/>
              </w:rPr>
            </w:pPr>
            <w:r>
              <w:rPr>
                <w:noProof/>
              </w:rPr>
              <w:t>2 - 1.2. «Renovate - 16401_ Energy Upgrade Programme “Upgrade My Home”» (Mettre à niveau ma maison)</w:t>
            </w:r>
          </w:p>
        </w:tc>
        <w:tc>
          <w:tcPr>
            <w:tcW w:w="1134" w:type="dxa"/>
            <w:shd w:val="clear" w:color="auto" w:fill="C6EFCE"/>
            <w:noWrap/>
          </w:tcPr>
          <w:p w14:paraId="592C3CAB" w14:textId="77777777" w:rsidR="00A00259" w:rsidRDefault="00371282">
            <w:pPr>
              <w:pStyle w:val="P68B1DB1-Normal23"/>
              <w:spacing w:after="0" w:line="240" w:lineRule="auto"/>
              <w:rPr>
                <w:noProof/>
              </w:rPr>
            </w:pPr>
            <w:r>
              <w:rPr>
                <w:noProof/>
              </w:rPr>
              <w:t>Objectif</w:t>
            </w:r>
          </w:p>
        </w:tc>
        <w:tc>
          <w:tcPr>
            <w:tcW w:w="1276" w:type="dxa"/>
            <w:shd w:val="clear" w:color="auto" w:fill="C6EFCE"/>
            <w:noWrap/>
          </w:tcPr>
          <w:p w14:paraId="11204E94" w14:textId="77777777" w:rsidR="00A00259" w:rsidRDefault="00371282">
            <w:pPr>
              <w:pStyle w:val="P68B1DB1-Normal12"/>
              <w:spacing w:after="0" w:line="240" w:lineRule="auto"/>
              <w:rPr>
                <w:rFonts w:eastAsia="Times New Roman"/>
                <w:noProof/>
              </w:rPr>
            </w:pPr>
            <w:r>
              <w:rPr>
                <w:noProof/>
              </w:rPr>
              <w:t>Upgrade My Home - Accords juridiques signés avec les bénéficiaires finaux - 100%</w:t>
            </w:r>
          </w:p>
        </w:tc>
        <w:tc>
          <w:tcPr>
            <w:tcW w:w="1278" w:type="dxa"/>
            <w:shd w:val="clear" w:color="auto" w:fill="C6EFCE"/>
            <w:noWrap/>
          </w:tcPr>
          <w:p w14:paraId="1F73512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200" w:type="dxa"/>
            <w:shd w:val="clear" w:color="auto" w:fill="C6EFCE"/>
            <w:noWrap/>
          </w:tcPr>
          <w:p w14:paraId="25FDAA73" w14:textId="77777777" w:rsidR="00A00259" w:rsidRDefault="00371282">
            <w:pPr>
              <w:pStyle w:val="P68B1DB1-Normal12"/>
              <w:spacing w:after="0" w:line="240" w:lineRule="auto"/>
              <w:rPr>
                <w:rFonts w:eastAsia="Times New Roman"/>
                <w:noProof/>
              </w:rPr>
            </w:pPr>
            <w:r>
              <w:rPr>
                <w:noProof/>
              </w:rPr>
              <w:t>Pourcentage (%)</w:t>
            </w:r>
          </w:p>
        </w:tc>
        <w:tc>
          <w:tcPr>
            <w:tcW w:w="1080" w:type="dxa"/>
            <w:shd w:val="clear" w:color="auto" w:fill="C6EFCE"/>
            <w:noWrap/>
          </w:tcPr>
          <w:p w14:paraId="0F80D0BA" w14:textId="77777777" w:rsidR="00A00259" w:rsidRDefault="00371282">
            <w:pPr>
              <w:pStyle w:val="P68B1DB1-Normal12"/>
              <w:spacing w:after="0" w:line="240" w:lineRule="auto"/>
              <w:rPr>
                <w:rFonts w:eastAsia="Times New Roman"/>
                <w:noProof/>
              </w:rPr>
            </w:pPr>
            <w:r>
              <w:rPr>
                <w:noProof/>
              </w:rPr>
              <w:t>0%</w:t>
            </w:r>
          </w:p>
        </w:tc>
        <w:tc>
          <w:tcPr>
            <w:tcW w:w="930" w:type="dxa"/>
            <w:shd w:val="clear" w:color="auto" w:fill="C6EFCE"/>
            <w:noWrap/>
          </w:tcPr>
          <w:p w14:paraId="5BD425F8" w14:textId="77777777" w:rsidR="00A00259" w:rsidRDefault="00371282">
            <w:pPr>
              <w:pStyle w:val="P68B1DB1-Normal12"/>
              <w:spacing w:after="0" w:line="240" w:lineRule="auto"/>
              <w:rPr>
                <w:rFonts w:eastAsia="Times New Roman"/>
                <w:noProof/>
              </w:rPr>
            </w:pPr>
            <w:r>
              <w:rPr>
                <w:noProof/>
              </w:rPr>
              <w:t>100%</w:t>
            </w:r>
          </w:p>
        </w:tc>
        <w:tc>
          <w:tcPr>
            <w:tcW w:w="992" w:type="dxa"/>
            <w:shd w:val="clear" w:color="auto" w:fill="C6EFCE"/>
            <w:noWrap/>
          </w:tcPr>
          <w:p w14:paraId="74C16FFC" w14:textId="152A3B54" w:rsidR="00A00259" w:rsidRDefault="00371282">
            <w:pPr>
              <w:pStyle w:val="P68B1DB1-Normal12"/>
              <w:spacing w:after="0" w:line="240" w:lineRule="auto"/>
              <w:rPr>
                <w:rFonts w:eastAsia="Times New Roman"/>
                <w:noProof/>
              </w:rPr>
            </w:pPr>
            <w:r>
              <w:rPr>
                <w:noProof/>
              </w:rPr>
              <w:t>T1</w:t>
            </w:r>
          </w:p>
        </w:tc>
        <w:tc>
          <w:tcPr>
            <w:tcW w:w="851" w:type="dxa"/>
            <w:shd w:val="clear" w:color="auto" w:fill="C6EFCE"/>
            <w:noWrap/>
          </w:tcPr>
          <w:p w14:paraId="3BF20F08" w14:textId="77777777" w:rsidR="00A00259" w:rsidRDefault="00371282">
            <w:pPr>
              <w:pStyle w:val="P68B1DB1-Normal12"/>
              <w:spacing w:after="0" w:line="240" w:lineRule="auto"/>
              <w:rPr>
                <w:rFonts w:eastAsia="Times New Roman"/>
                <w:noProof/>
              </w:rPr>
            </w:pPr>
            <w:r>
              <w:rPr>
                <w:noProof/>
              </w:rPr>
              <w:t>2026</w:t>
            </w:r>
          </w:p>
        </w:tc>
        <w:tc>
          <w:tcPr>
            <w:tcW w:w="4595" w:type="dxa"/>
            <w:shd w:val="clear" w:color="auto" w:fill="C6EFCE"/>
            <w:noWrap/>
          </w:tcPr>
          <w:p w14:paraId="503782BE" w14:textId="77777777" w:rsidR="00A00259" w:rsidRDefault="00371282">
            <w:pPr>
              <w:pStyle w:val="P68B1DB1-Normal12"/>
              <w:spacing w:line="240" w:lineRule="auto"/>
              <w:jc w:val="both"/>
              <w:rPr>
                <w:noProof/>
              </w:rPr>
            </w:pPr>
            <w:r>
              <w:rPr>
                <w:noProof/>
              </w:rPr>
              <w:t xml:space="preserve">Les intermédiaires financiers ont conclu des conventions de financement légales avec les bénéficiaires finaux pour un montant nécessaire à l’utilisation de 100 % de l’investissement de la FRR dans la facilité (en tenant compte des frais de gestion). </w:t>
            </w:r>
          </w:p>
          <w:p w14:paraId="7C9F8EE2" w14:textId="77777777" w:rsidR="00A00259" w:rsidRDefault="00371282">
            <w:pPr>
              <w:pStyle w:val="P68B1DB1-Normal12"/>
              <w:spacing w:after="0" w:line="240" w:lineRule="auto"/>
              <w:rPr>
                <w:rFonts w:eastAsia="Times New Roman"/>
                <w:noProof/>
              </w:rPr>
            </w:pPr>
            <w:r>
              <w:rPr>
                <w:noProof/>
              </w:rPr>
              <w:t>Au moins 40 % de ce financement contribuent à la réalisation des objectifs climatiques en utilisant la méthode figurant à l’annexe VI du règlement FRR.</w:t>
            </w:r>
          </w:p>
        </w:tc>
      </w:tr>
      <w:tr w:rsidR="00A00259" w14:paraId="4091B565" w14:textId="77777777" w:rsidTr="00CE3F9A">
        <w:trPr>
          <w:trHeight w:val="314"/>
          <w:jc w:val="center"/>
        </w:trPr>
        <w:tc>
          <w:tcPr>
            <w:tcW w:w="602" w:type="dxa"/>
            <w:shd w:val="clear" w:color="auto" w:fill="C6EFCE"/>
            <w:noWrap/>
          </w:tcPr>
          <w:p w14:paraId="05697A85" w14:textId="77777777" w:rsidR="00A00259" w:rsidRDefault="00371282">
            <w:pPr>
              <w:pStyle w:val="P68B1DB1-Normal12"/>
              <w:spacing w:after="0" w:line="240" w:lineRule="auto"/>
              <w:rPr>
                <w:rFonts w:eastAsia="Times New Roman"/>
                <w:noProof/>
              </w:rPr>
            </w:pPr>
            <w:r>
              <w:rPr>
                <w:noProof/>
              </w:rPr>
              <w:t>377</w:t>
            </w:r>
          </w:p>
        </w:tc>
        <w:tc>
          <w:tcPr>
            <w:tcW w:w="1945" w:type="dxa"/>
            <w:shd w:val="clear" w:color="auto" w:fill="C6EFCE"/>
            <w:noWrap/>
          </w:tcPr>
          <w:p w14:paraId="3A8DF943" w14:textId="77777777" w:rsidR="00A00259" w:rsidRDefault="00371282">
            <w:pPr>
              <w:pStyle w:val="P68B1DB1-Normal12"/>
              <w:spacing w:after="0" w:line="240" w:lineRule="auto"/>
              <w:rPr>
                <w:noProof/>
              </w:rPr>
            </w:pPr>
            <w:r>
              <w:rPr>
                <w:noProof/>
              </w:rPr>
              <w:t>2 - 1.2. «Renovate - 16401_ Energy Upgrade Programme “Upgrade My Home”» (Mettre à niveau ma maison)</w:t>
            </w:r>
          </w:p>
        </w:tc>
        <w:tc>
          <w:tcPr>
            <w:tcW w:w="1134" w:type="dxa"/>
            <w:shd w:val="clear" w:color="auto" w:fill="C6EFCE"/>
            <w:noWrap/>
          </w:tcPr>
          <w:p w14:paraId="73A05AF9" w14:textId="77777777" w:rsidR="00A00259" w:rsidRDefault="00371282">
            <w:pPr>
              <w:pStyle w:val="P68B1DB1-Normal12"/>
              <w:spacing w:after="0" w:line="240" w:lineRule="auto"/>
              <w:rPr>
                <w:rFonts w:eastAsia="Times New Roman"/>
                <w:noProof/>
              </w:rPr>
            </w:pPr>
            <w:r>
              <w:rPr>
                <w:noProof/>
              </w:rPr>
              <w:t>Étape</w:t>
            </w:r>
          </w:p>
        </w:tc>
        <w:tc>
          <w:tcPr>
            <w:tcW w:w="1276" w:type="dxa"/>
            <w:shd w:val="clear" w:color="auto" w:fill="C6EFCE"/>
            <w:noWrap/>
          </w:tcPr>
          <w:p w14:paraId="69CF0847" w14:textId="77777777" w:rsidR="00A00259" w:rsidRDefault="00371282">
            <w:pPr>
              <w:pStyle w:val="P68B1DB1-Normal12"/>
              <w:spacing w:after="0" w:line="240" w:lineRule="auto"/>
              <w:rPr>
                <w:rFonts w:eastAsia="Times New Roman"/>
                <w:noProof/>
              </w:rPr>
            </w:pPr>
            <w:r>
              <w:rPr>
                <w:noProof/>
              </w:rPr>
              <w:t>Upgrade My Home - Le ministère des Finances a terminé l'investissement</w:t>
            </w:r>
          </w:p>
        </w:tc>
        <w:tc>
          <w:tcPr>
            <w:tcW w:w="1278" w:type="dxa"/>
            <w:shd w:val="clear" w:color="auto" w:fill="C6EFCE"/>
            <w:noWrap/>
          </w:tcPr>
          <w:p w14:paraId="467D7584" w14:textId="77777777" w:rsidR="00A00259" w:rsidRDefault="00371282">
            <w:pPr>
              <w:pStyle w:val="P68B1DB1-Normal12"/>
              <w:spacing w:after="0" w:line="240" w:lineRule="auto"/>
              <w:rPr>
                <w:rFonts w:eastAsia="Times New Roman"/>
                <w:noProof/>
              </w:rPr>
            </w:pPr>
            <w:r>
              <w:rPr>
                <w:noProof/>
              </w:rPr>
              <w:t xml:space="preserve">Certificat de transfert </w:t>
            </w:r>
          </w:p>
        </w:tc>
        <w:tc>
          <w:tcPr>
            <w:tcW w:w="1200" w:type="dxa"/>
            <w:shd w:val="clear" w:color="auto" w:fill="C6EFCE"/>
            <w:noWrap/>
          </w:tcPr>
          <w:p w14:paraId="56122E1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80" w:type="dxa"/>
            <w:shd w:val="clear" w:color="auto" w:fill="C6EFCE"/>
            <w:noWrap/>
          </w:tcPr>
          <w:p w14:paraId="127FA3E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30" w:type="dxa"/>
            <w:shd w:val="clear" w:color="auto" w:fill="C6EFCE"/>
            <w:noWrap/>
          </w:tcPr>
          <w:p w14:paraId="45BF32C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530AD02F" w14:textId="1032CE20" w:rsidR="00A00259" w:rsidRDefault="00371282">
            <w:pPr>
              <w:pStyle w:val="P68B1DB1-Normal12"/>
              <w:spacing w:after="0" w:line="240" w:lineRule="auto"/>
              <w:rPr>
                <w:rFonts w:eastAsia="Times New Roman"/>
                <w:noProof/>
              </w:rPr>
            </w:pPr>
            <w:r>
              <w:rPr>
                <w:noProof/>
              </w:rPr>
              <w:t>T1</w:t>
            </w:r>
          </w:p>
        </w:tc>
        <w:tc>
          <w:tcPr>
            <w:tcW w:w="851" w:type="dxa"/>
            <w:shd w:val="clear" w:color="auto" w:fill="C6EFCE"/>
            <w:noWrap/>
          </w:tcPr>
          <w:p w14:paraId="60E16C25" w14:textId="77777777" w:rsidR="00A00259" w:rsidRDefault="00371282">
            <w:pPr>
              <w:pStyle w:val="P68B1DB1-Normal12"/>
              <w:spacing w:after="0" w:line="240" w:lineRule="auto"/>
              <w:rPr>
                <w:rFonts w:eastAsia="Times New Roman"/>
                <w:noProof/>
              </w:rPr>
            </w:pPr>
            <w:r>
              <w:rPr>
                <w:noProof/>
              </w:rPr>
              <w:t>2026</w:t>
            </w:r>
          </w:p>
        </w:tc>
        <w:tc>
          <w:tcPr>
            <w:tcW w:w="4595" w:type="dxa"/>
            <w:shd w:val="clear" w:color="auto" w:fill="C6EFCE"/>
            <w:noWrap/>
          </w:tcPr>
          <w:p w14:paraId="42FEB5D0" w14:textId="0D82777B" w:rsidR="00A00259" w:rsidRDefault="00371282">
            <w:pPr>
              <w:pStyle w:val="P68B1DB1-Normal12"/>
              <w:spacing w:after="0" w:line="240" w:lineRule="auto"/>
              <w:rPr>
                <w:rFonts w:eastAsia="Times New Roman"/>
                <w:noProof/>
              </w:rPr>
            </w:pPr>
            <w:r>
              <w:rPr>
                <w:noProof/>
              </w:rPr>
              <w:t>La Grèce transfère 62 000 000 EUR à la Banque hellénique de développement pour la facilité.</w:t>
            </w:r>
          </w:p>
        </w:tc>
      </w:tr>
    </w:tbl>
    <w:p w14:paraId="30E8AC73" w14:textId="77777777" w:rsidR="00A00259" w:rsidRDefault="00A00259">
      <w:pPr>
        <w:spacing w:before="120" w:after="120" w:line="240" w:lineRule="auto"/>
        <w:jc w:val="both"/>
        <w:rPr>
          <w:rFonts w:ascii="Times New Roman" w:hAnsi="Times New Roman" w:cs="Times New Roman"/>
          <w:noProof/>
          <w:sz w:val="24"/>
        </w:rPr>
        <w:sectPr w:rsidR="00A00259">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692C7990" w14:textId="77777777" w:rsidR="00A00259" w:rsidRDefault="00371282">
      <w:pPr>
        <w:pStyle w:val="P68B1DB1-Normal24"/>
        <w:spacing w:before="120" w:after="120" w:line="240" w:lineRule="auto"/>
        <w:jc w:val="both"/>
        <w:outlineLvl w:val="3"/>
        <w:rPr>
          <w:noProof/>
        </w:rPr>
      </w:pPr>
      <w:r>
        <w:rPr>
          <w:noProof/>
        </w:rPr>
        <w:t>C. ÉLÉMENT 1.3: RECHARGE ET RÉFUGIATION</w:t>
      </w:r>
    </w:p>
    <w:p w14:paraId="6A407595" w14:textId="77777777" w:rsidR="00A00259" w:rsidRDefault="00371282">
      <w:pPr>
        <w:pStyle w:val="P68B1DB1-Normal5"/>
        <w:spacing w:before="120" w:after="120" w:line="240" w:lineRule="auto"/>
        <w:jc w:val="both"/>
        <w:rPr>
          <w:rFonts w:cs="Times New Roman"/>
          <w:noProof/>
        </w:rPr>
      </w:pPr>
      <w:r>
        <w:rPr>
          <w:noProof/>
        </w:rPr>
        <w:t xml:space="preserve">Le volet «recharge et ravitaillement» du plan grec pour la reprise et la résilience comprend des réformes et des investissements ciblés visant à accroître la mobilité durable, à renforcer la croissance économique, à créer des possibilités d’emploi et à promouvoir la résilience sociale. Les mesures incluses dans ce volet sont liées à la stratégie nationale de mobilité durable, soutenant ainsi la mise en œuvre du plan national en matière d’énergie et de climat (PNEC). Ils contribuent également à la transition écologique en apportant un soutien aux entreprises menant des opérations liées à l’économie à faible intensité de carbone et à la résilience au changement climatique. Ce volet comprend en outre des réformes visant à soutenir l’installation d’infrastructures de mobilité électrique et la révision des services publics de transport urbain et régional de voyageurs. Ce volet comprend également des investissements visant à soutenir le développement de la capacité de production de fournitures liées à l’électromobilité et le remplacement des autobus et des taxis par des véhicules électriques à batterie. </w:t>
      </w:r>
    </w:p>
    <w:p w14:paraId="45EBC107" w14:textId="77777777" w:rsidR="00A00259" w:rsidRDefault="00371282">
      <w:pPr>
        <w:pStyle w:val="P68B1DB1-Normal5"/>
        <w:spacing w:before="120" w:after="120" w:line="240" w:lineRule="auto"/>
        <w:jc w:val="both"/>
        <w:rPr>
          <w:rFonts w:cs="Times New Roman"/>
          <w:noProof/>
        </w:rPr>
      </w:pPr>
      <w:r>
        <w:rPr>
          <w:noProof/>
        </w:rPr>
        <w:t>Le volet soutient la mise en œuvre de la recommandation par pays no 3 de 2020 et de la recommandation par pays no 2 de 2019 sur les investissements publics et privés. 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0058F29A" w14:textId="77777777" w:rsidR="00A00259" w:rsidRDefault="00371282">
      <w:pPr>
        <w:pStyle w:val="P68B1DB1-Normal25"/>
        <w:spacing w:before="120" w:after="120" w:line="240" w:lineRule="auto"/>
        <w:jc w:val="both"/>
        <w:rPr>
          <w:rFonts w:ascii="Times New Roman" w:hAnsi="Times New Roman" w:cs="Times New Roman"/>
          <w:b/>
          <w:bCs/>
          <w:i/>
          <w:iCs/>
          <w:noProof/>
          <w:color w:val="4F81BD"/>
          <w:sz w:val="24"/>
        </w:rPr>
      </w:pPr>
      <w:r>
        <w:rPr>
          <w:rFonts w:ascii="Times New Roman" w:hAnsi="Times New Roman"/>
          <w:b/>
          <w:noProof/>
          <w:sz w:val="24"/>
        </w:rPr>
        <w:t xml:space="preserve">C.1. </w:t>
      </w:r>
      <w:r>
        <w:rPr>
          <w:noProof/>
        </w:rPr>
        <w:t xml:space="preserve"> </w:t>
      </w:r>
      <w:r>
        <w:rPr>
          <w:rFonts w:ascii="Times New Roman" w:hAnsi="Times New Roman"/>
          <w:b/>
          <w:noProof/>
          <w:sz w:val="24"/>
        </w:rPr>
        <w:t>Description des réformes et des investissements pour le soutien financier non remboursable</w:t>
      </w:r>
    </w:p>
    <w:p w14:paraId="6F5FB53D"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Produc-E Green (ID de mesure: 16831)</w:t>
      </w:r>
    </w:p>
    <w:p w14:paraId="45B8E750" w14:textId="378BBE93" w:rsidR="00A00259" w:rsidRDefault="00371282">
      <w:pPr>
        <w:pStyle w:val="P68B1DB1-Normal7"/>
        <w:spacing w:before="120" w:after="120" w:line="240" w:lineRule="auto"/>
        <w:jc w:val="both"/>
        <w:rPr>
          <w:noProof/>
        </w:rPr>
      </w:pPr>
      <w:r>
        <w:rPr>
          <w:noProof/>
        </w:rPr>
        <w:t>L’objectif de cette mesure est de contribuer à l’économie à faible intensité de carbone et de renforcer la résilience au changement climatique. Cette mesure consiste à développer des unités industrielles pour la transition écologique et à soutenir la mise en place de la première installation de stockage de CO2 en Grèce.</w:t>
      </w:r>
    </w:p>
    <w:p w14:paraId="618EBD8E"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Cadre pour l’installation et l’exploitation de l’infrastructure de recharge des véhicules électriques (mesure ID: 16281)</w:t>
      </w:r>
    </w:p>
    <w:p w14:paraId="3C0AD417" w14:textId="77777777" w:rsidR="00A00259" w:rsidRDefault="00371282">
      <w:pPr>
        <w:pStyle w:val="P68B1DB1-Normal7"/>
        <w:spacing w:before="120" w:after="120" w:line="240" w:lineRule="auto"/>
        <w:jc w:val="both"/>
        <w:rPr>
          <w:rFonts w:cs="Times New Roman"/>
          <w:noProof/>
        </w:rPr>
      </w:pPr>
      <w:r>
        <w:rPr>
          <w:noProof/>
        </w:rPr>
        <w:t>La réforme établit un cadre réglementaire complet pour l’installation et l’exploitation de points de recharge pour véhicules électriques. Cela permettra à la Grèce d’atteindre l’objectif du PNEC d’une part de 30 % de véhicules électriques sur le marché intérieur d’ici à 2030. D’ici la fin de 2022, le ministère de l’environnement et de l’énergie adopte au moins 300 plans soumis par les autorités locales pour l’installation de bornes de recharge pour véhicules électriques accessibles au public. La mise en œuvre de la réforme est achevée au plus tard le 31 décembre 2022.</w:t>
      </w:r>
    </w:p>
    <w:p w14:paraId="06775897"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Électromobilité (ID de mesure: 16924)</w:t>
      </w:r>
    </w:p>
    <w:p w14:paraId="2B8E515A" w14:textId="77777777" w:rsidR="00A00259" w:rsidRDefault="00371282">
      <w:pPr>
        <w:pStyle w:val="P68B1DB1-Normal5"/>
        <w:spacing w:before="120" w:after="120" w:line="240" w:lineRule="auto"/>
        <w:jc w:val="both"/>
        <w:rPr>
          <w:rFonts w:cs="Times New Roman"/>
          <w:b/>
          <w:bCs/>
          <w:noProof/>
          <w:szCs w:val="24"/>
          <w:u w:val="single"/>
        </w:rPr>
      </w:pPr>
      <w:r>
        <w:rPr>
          <w:noProof/>
        </w:rPr>
        <w:t>L’objectif de cette mesure est de soutenir l’électromobilité. La mesure consiste en de nouveaux bus de transport public électriques et en une modification des obligations de service public pour les compagnies d’autobus.</w:t>
      </w:r>
    </w:p>
    <w:p w14:paraId="0DD3C1E4" w14:textId="77777777" w:rsidR="00A00259" w:rsidRDefault="00A00259">
      <w:pPr>
        <w:spacing w:before="120" w:after="120" w:line="240" w:lineRule="auto"/>
        <w:ind w:left="709"/>
        <w:jc w:val="both"/>
        <w:rPr>
          <w:rFonts w:ascii="Times New Roman" w:hAnsi="Times New Roman" w:cs="Times New Roman"/>
          <w:noProof/>
          <w:sz w:val="24"/>
        </w:rPr>
        <w:sectPr w:rsidR="00A00259">
          <w:headerReference w:type="even" r:id="rId78"/>
          <w:headerReference w:type="default" r:id="rId79"/>
          <w:footerReference w:type="even" r:id="rId80"/>
          <w:footerReference w:type="default" r:id="rId81"/>
          <w:headerReference w:type="first" r:id="rId82"/>
          <w:footerReference w:type="first" r:id="rId83"/>
          <w:pgSz w:w="11906" w:h="16838"/>
          <w:pgMar w:top="1134" w:right="1134" w:bottom="1134" w:left="1134" w:header="567" w:footer="567" w:gutter="0"/>
          <w:cols w:space="708"/>
          <w:docGrid w:linePitch="360"/>
        </w:sectPr>
      </w:pPr>
    </w:p>
    <w:p w14:paraId="0FC1F34A" w14:textId="77777777" w:rsidR="00A00259" w:rsidRDefault="00371282">
      <w:pPr>
        <w:pStyle w:val="P68B1DB1-Normal6"/>
        <w:keepNext/>
        <w:keepLines/>
        <w:spacing w:before="40" w:after="0" w:line="240" w:lineRule="auto"/>
        <w:jc w:val="both"/>
        <w:outlineLvl w:val="4"/>
        <w:rPr>
          <w:rFonts w:cs="Times New Roman"/>
          <w:bCs/>
          <w:noProof/>
        </w:rPr>
      </w:pPr>
      <w:r>
        <w:rPr>
          <w:noProof/>
        </w:rPr>
        <w:t>C.2. Étapes, cibles, indicateurs et calendrier pour le suivi et la mise en œuvre du soutien financier non remboursable</w:t>
      </w:r>
    </w:p>
    <w:p w14:paraId="1E9F1ED9" w14:textId="77777777" w:rsidR="00A00259" w:rsidRDefault="00371282">
      <w:pPr>
        <w:pStyle w:val="P68B1DB1-Normal9"/>
        <w:keepNext/>
        <w:keepLines/>
        <w:spacing w:before="40" w:after="240" w:line="240" w:lineRule="auto"/>
        <w:jc w:val="both"/>
        <w:outlineLvl w:val="4"/>
        <w:rPr>
          <w:noProof/>
        </w:rPr>
      </w:pPr>
      <w:r>
        <w:rPr>
          <w:noProof/>
        </w:rPr>
        <w:t>Réforme clé 3: Cadre pour l’installation et l’exploitation de l’infrastructure de recharge des véhicules électriques</w:t>
      </w:r>
    </w:p>
    <w:tbl>
      <w:tblPr>
        <w:tblW w:w="15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1920"/>
        <w:gridCol w:w="1081"/>
        <w:gridCol w:w="1197"/>
        <w:gridCol w:w="1717"/>
        <w:gridCol w:w="1296"/>
        <w:gridCol w:w="1090"/>
        <w:gridCol w:w="846"/>
        <w:gridCol w:w="992"/>
        <w:gridCol w:w="851"/>
        <w:gridCol w:w="4438"/>
      </w:tblGrid>
      <w:tr w:rsidR="00A00259" w14:paraId="0A98342D" w14:textId="77777777">
        <w:trPr>
          <w:trHeight w:val="927"/>
          <w:tblHeader/>
          <w:jc w:val="center"/>
        </w:trPr>
        <w:tc>
          <w:tcPr>
            <w:tcW w:w="588" w:type="dxa"/>
            <w:vMerge w:val="restart"/>
            <w:shd w:val="clear" w:color="auto" w:fill="BDD7EE"/>
            <w:vAlign w:val="center"/>
            <w:hideMark/>
          </w:tcPr>
          <w:p w14:paraId="596F30D0" w14:textId="77777777" w:rsidR="00A00259" w:rsidRDefault="00371282">
            <w:pPr>
              <w:pStyle w:val="P68B1DB1-Normal10"/>
              <w:spacing w:after="0" w:line="240" w:lineRule="auto"/>
              <w:jc w:val="center"/>
              <w:rPr>
                <w:rFonts w:eastAsia="Times New Roman" w:cs="Times New Roman"/>
                <w:bCs/>
                <w:noProof/>
                <w:szCs w:val="18"/>
              </w:rPr>
            </w:pPr>
            <w:r>
              <w:rPr>
                <w:noProof/>
              </w:rPr>
              <w:t>Seq.</w:t>
            </w:r>
            <w:r>
              <w:rPr>
                <w:noProof/>
              </w:rPr>
              <w:br/>
              <w:t>Non.</w:t>
            </w:r>
          </w:p>
        </w:tc>
        <w:tc>
          <w:tcPr>
            <w:tcW w:w="1920" w:type="dxa"/>
            <w:vMerge w:val="restart"/>
            <w:shd w:val="clear" w:color="auto" w:fill="BDD7EE"/>
            <w:vAlign w:val="center"/>
            <w:hideMark/>
          </w:tcPr>
          <w:p w14:paraId="19B08E6E"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081" w:type="dxa"/>
            <w:vMerge w:val="restart"/>
            <w:shd w:val="clear" w:color="auto" w:fill="BDD7EE"/>
            <w:vAlign w:val="center"/>
            <w:hideMark/>
          </w:tcPr>
          <w:p w14:paraId="2554D6E6"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197" w:type="dxa"/>
            <w:vMerge w:val="restart"/>
            <w:shd w:val="clear" w:color="auto" w:fill="BDD7EE"/>
            <w:vAlign w:val="center"/>
            <w:hideMark/>
          </w:tcPr>
          <w:p w14:paraId="42C4ED3A"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717" w:type="dxa"/>
            <w:vMerge w:val="restart"/>
            <w:shd w:val="clear" w:color="auto" w:fill="BDD7EE"/>
            <w:vAlign w:val="center"/>
            <w:hideMark/>
          </w:tcPr>
          <w:p w14:paraId="17CDA257"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Indicateurs qualitatifs </w:t>
            </w:r>
            <w:r>
              <w:rPr>
                <w:noProof/>
              </w:rPr>
              <w:br/>
              <w:t>(pour les jalons)</w:t>
            </w:r>
          </w:p>
        </w:tc>
        <w:tc>
          <w:tcPr>
            <w:tcW w:w="2961" w:type="dxa"/>
            <w:gridSpan w:val="3"/>
            <w:shd w:val="clear" w:color="auto" w:fill="BDD7EE"/>
            <w:vAlign w:val="center"/>
            <w:hideMark/>
          </w:tcPr>
          <w:p w14:paraId="46D99608" w14:textId="77777777" w:rsidR="00A00259" w:rsidRDefault="00371282">
            <w:pPr>
              <w:pStyle w:val="P68B1DB1-Normal10"/>
              <w:spacing w:after="0" w:line="240" w:lineRule="auto"/>
              <w:jc w:val="center"/>
              <w:rPr>
                <w:rFonts w:eastAsia="Times New Roman" w:cs="Times New Roman"/>
                <w:bCs/>
                <w:noProof/>
                <w:szCs w:val="18"/>
              </w:rPr>
            </w:pPr>
            <w:r>
              <w:rPr>
                <w:noProof/>
              </w:rPr>
              <w:t>Indicateurs quantitatifs (pour les objectifs)</w:t>
            </w:r>
          </w:p>
        </w:tc>
        <w:tc>
          <w:tcPr>
            <w:tcW w:w="1843" w:type="dxa"/>
            <w:gridSpan w:val="2"/>
            <w:shd w:val="clear" w:color="auto" w:fill="BDD7EE"/>
            <w:vAlign w:val="center"/>
            <w:hideMark/>
          </w:tcPr>
          <w:p w14:paraId="245D941D"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4438" w:type="dxa"/>
            <w:vMerge w:val="restart"/>
            <w:shd w:val="clear" w:color="auto" w:fill="BDD7EE"/>
            <w:vAlign w:val="center"/>
            <w:hideMark/>
          </w:tcPr>
          <w:p w14:paraId="3507E2E5"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0AB3B3E5" w14:textId="77777777">
        <w:trPr>
          <w:trHeight w:val="327"/>
          <w:jc w:val="center"/>
        </w:trPr>
        <w:tc>
          <w:tcPr>
            <w:tcW w:w="588" w:type="dxa"/>
            <w:vMerge/>
            <w:vAlign w:val="center"/>
            <w:hideMark/>
          </w:tcPr>
          <w:p w14:paraId="0C1652AE" w14:textId="77777777" w:rsidR="00A00259" w:rsidRDefault="00A00259">
            <w:pPr>
              <w:spacing w:after="0" w:line="240" w:lineRule="auto"/>
              <w:rPr>
                <w:rFonts w:ascii="Times New Roman" w:eastAsia="Times New Roman" w:hAnsi="Times New Roman" w:cs="Times New Roman"/>
                <w:b/>
                <w:bCs/>
                <w:noProof/>
                <w:sz w:val="18"/>
                <w:szCs w:val="18"/>
              </w:rPr>
            </w:pPr>
          </w:p>
        </w:tc>
        <w:tc>
          <w:tcPr>
            <w:tcW w:w="1920" w:type="dxa"/>
            <w:vMerge/>
            <w:vAlign w:val="center"/>
            <w:hideMark/>
          </w:tcPr>
          <w:p w14:paraId="4F6E96C1" w14:textId="77777777" w:rsidR="00A00259" w:rsidRDefault="00A00259">
            <w:pPr>
              <w:spacing w:after="0" w:line="240" w:lineRule="auto"/>
              <w:rPr>
                <w:rFonts w:ascii="Times New Roman" w:eastAsia="Times New Roman" w:hAnsi="Times New Roman" w:cs="Times New Roman"/>
                <w:b/>
                <w:bCs/>
                <w:noProof/>
                <w:sz w:val="18"/>
                <w:szCs w:val="18"/>
              </w:rPr>
            </w:pPr>
          </w:p>
        </w:tc>
        <w:tc>
          <w:tcPr>
            <w:tcW w:w="1081" w:type="dxa"/>
            <w:vMerge/>
            <w:vAlign w:val="center"/>
            <w:hideMark/>
          </w:tcPr>
          <w:p w14:paraId="609A5722" w14:textId="77777777" w:rsidR="00A00259" w:rsidRDefault="00A00259">
            <w:pPr>
              <w:spacing w:after="0" w:line="240" w:lineRule="auto"/>
              <w:rPr>
                <w:rFonts w:ascii="Times New Roman" w:eastAsia="Times New Roman" w:hAnsi="Times New Roman" w:cs="Times New Roman"/>
                <w:b/>
                <w:bCs/>
                <w:noProof/>
                <w:sz w:val="18"/>
                <w:szCs w:val="18"/>
              </w:rPr>
            </w:pPr>
          </w:p>
        </w:tc>
        <w:tc>
          <w:tcPr>
            <w:tcW w:w="1197" w:type="dxa"/>
            <w:vMerge/>
            <w:vAlign w:val="center"/>
            <w:hideMark/>
          </w:tcPr>
          <w:p w14:paraId="1C0D9835" w14:textId="77777777" w:rsidR="00A00259" w:rsidRDefault="00A00259">
            <w:pPr>
              <w:spacing w:after="0" w:line="240" w:lineRule="auto"/>
              <w:rPr>
                <w:rFonts w:ascii="Times New Roman" w:eastAsia="Times New Roman" w:hAnsi="Times New Roman" w:cs="Times New Roman"/>
                <w:b/>
                <w:bCs/>
                <w:noProof/>
                <w:sz w:val="18"/>
                <w:szCs w:val="18"/>
              </w:rPr>
            </w:pPr>
          </w:p>
        </w:tc>
        <w:tc>
          <w:tcPr>
            <w:tcW w:w="1717" w:type="dxa"/>
            <w:vMerge/>
            <w:vAlign w:val="center"/>
            <w:hideMark/>
          </w:tcPr>
          <w:p w14:paraId="5094EF76" w14:textId="77777777" w:rsidR="00A00259" w:rsidRDefault="00A00259">
            <w:pPr>
              <w:spacing w:after="0" w:line="240" w:lineRule="auto"/>
              <w:rPr>
                <w:rFonts w:ascii="Times New Roman" w:eastAsia="Times New Roman" w:hAnsi="Times New Roman" w:cs="Times New Roman"/>
                <w:b/>
                <w:bCs/>
                <w:noProof/>
                <w:sz w:val="18"/>
                <w:szCs w:val="18"/>
              </w:rPr>
            </w:pPr>
          </w:p>
        </w:tc>
        <w:tc>
          <w:tcPr>
            <w:tcW w:w="1162" w:type="dxa"/>
            <w:shd w:val="clear" w:color="auto" w:fill="BDD7EE"/>
            <w:vAlign w:val="center"/>
            <w:hideMark/>
          </w:tcPr>
          <w:p w14:paraId="7CB36345"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1090" w:type="dxa"/>
            <w:shd w:val="clear" w:color="auto" w:fill="BDD7EE"/>
            <w:vAlign w:val="center"/>
            <w:hideMark/>
          </w:tcPr>
          <w:p w14:paraId="08F4535E"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709" w:type="dxa"/>
            <w:shd w:val="clear" w:color="auto" w:fill="BDD7EE"/>
            <w:vAlign w:val="center"/>
            <w:hideMark/>
          </w:tcPr>
          <w:p w14:paraId="202EF605"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992" w:type="dxa"/>
            <w:shd w:val="clear" w:color="auto" w:fill="BDD7EE"/>
            <w:vAlign w:val="center"/>
            <w:hideMark/>
          </w:tcPr>
          <w:p w14:paraId="44A0F27C"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851" w:type="dxa"/>
            <w:shd w:val="clear" w:color="auto" w:fill="BDD7EE"/>
            <w:vAlign w:val="center"/>
            <w:hideMark/>
          </w:tcPr>
          <w:p w14:paraId="6D8362A0"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4438" w:type="dxa"/>
            <w:vMerge/>
            <w:vAlign w:val="center"/>
            <w:hideMark/>
          </w:tcPr>
          <w:p w14:paraId="646B7D53"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671BDDAC" w14:textId="77777777">
        <w:trPr>
          <w:trHeight w:val="309"/>
          <w:jc w:val="center"/>
        </w:trPr>
        <w:tc>
          <w:tcPr>
            <w:tcW w:w="588" w:type="dxa"/>
            <w:shd w:val="clear" w:color="auto" w:fill="C6EFCE"/>
            <w:noWrap/>
          </w:tcPr>
          <w:p w14:paraId="2B090A65" w14:textId="77777777" w:rsidR="00A00259" w:rsidRDefault="00371282">
            <w:pPr>
              <w:pStyle w:val="P68B1DB1-Normal13"/>
              <w:spacing w:after="0" w:line="240" w:lineRule="auto"/>
              <w:rPr>
                <w:rFonts w:eastAsia="Times New Roman"/>
                <w:noProof/>
                <w:szCs w:val="18"/>
              </w:rPr>
            </w:pPr>
            <w:r>
              <w:rPr>
                <w:noProof/>
              </w:rPr>
              <w:t>42</w:t>
            </w:r>
          </w:p>
        </w:tc>
        <w:tc>
          <w:tcPr>
            <w:tcW w:w="1920" w:type="dxa"/>
            <w:shd w:val="clear" w:color="auto" w:fill="C6EFCE"/>
            <w:noWrap/>
          </w:tcPr>
          <w:p w14:paraId="14E092FF" w14:textId="77777777" w:rsidR="00A00259" w:rsidRDefault="00371282">
            <w:pPr>
              <w:pStyle w:val="P68B1DB1-Normal13"/>
              <w:spacing w:after="0" w:line="240" w:lineRule="auto"/>
              <w:rPr>
                <w:rFonts w:eastAsia="Times New Roman"/>
                <w:noProof/>
                <w:szCs w:val="18"/>
              </w:rPr>
            </w:pPr>
            <w:r>
              <w:rPr>
                <w:noProof/>
              </w:rPr>
              <w:t>3 - 1.3. 16281_Cadre pour l'installation et l'exploitation de l'infrastructure de recharge des véhicules électriques</w:t>
            </w:r>
          </w:p>
        </w:tc>
        <w:tc>
          <w:tcPr>
            <w:tcW w:w="1081" w:type="dxa"/>
            <w:shd w:val="clear" w:color="auto" w:fill="C6EFCE"/>
            <w:noWrap/>
          </w:tcPr>
          <w:p w14:paraId="0673ED00" w14:textId="77777777" w:rsidR="00A00259" w:rsidRDefault="00371282">
            <w:pPr>
              <w:pStyle w:val="P68B1DB1-Normal13"/>
              <w:spacing w:after="0" w:line="240" w:lineRule="auto"/>
              <w:rPr>
                <w:rFonts w:eastAsia="Times New Roman"/>
                <w:noProof/>
                <w:szCs w:val="18"/>
              </w:rPr>
            </w:pPr>
            <w:r>
              <w:rPr>
                <w:noProof/>
              </w:rPr>
              <w:t>Étape</w:t>
            </w:r>
          </w:p>
        </w:tc>
        <w:tc>
          <w:tcPr>
            <w:tcW w:w="1197" w:type="dxa"/>
            <w:shd w:val="clear" w:color="auto" w:fill="C6EFCE"/>
            <w:noWrap/>
          </w:tcPr>
          <w:p w14:paraId="2857BA7F" w14:textId="77777777" w:rsidR="00A00259" w:rsidRDefault="00371282">
            <w:pPr>
              <w:pStyle w:val="P68B1DB1-Normal13"/>
              <w:spacing w:after="0" w:line="240" w:lineRule="auto"/>
              <w:rPr>
                <w:rFonts w:eastAsia="Times New Roman"/>
                <w:noProof/>
                <w:szCs w:val="18"/>
              </w:rPr>
            </w:pPr>
            <w:r>
              <w:rPr>
                <w:noProof/>
              </w:rPr>
              <w:t>Points de recharge pour véhicules électriques – Entrée en vigueur du cadre juridique</w:t>
            </w:r>
          </w:p>
        </w:tc>
        <w:tc>
          <w:tcPr>
            <w:tcW w:w="1717" w:type="dxa"/>
            <w:shd w:val="clear" w:color="auto" w:fill="C6EFCE"/>
            <w:noWrap/>
          </w:tcPr>
          <w:p w14:paraId="489A5508" w14:textId="7A7CF522" w:rsidR="00A00259" w:rsidRDefault="00371282">
            <w:pPr>
              <w:pStyle w:val="P68B1DB1-Normal13"/>
              <w:spacing w:after="0" w:line="240" w:lineRule="auto"/>
              <w:rPr>
                <w:rFonts w:eastAsia="Times New Roman"/>
                <w:noProof/>
                <w:szCs w:val="18"/>
              </w:rPr>
            </w:pPr>
            <w:r>
              <w:rPr>
                <w:noProof/>
              </w:rPr>
              <w:t>Entrée en vigueur des décisions ministérielles adoptées</w:t>
            </w:r>
          </w:p>
        </w:tc>
        <w:tc>
          <w:tcPr>
            <w:tcW w:w="1162" w:type="dxa"/>
            <w:shd w:val="clear" w:color="auto" w:fill="C6EFCE"/>
            <w:noWrap/>
          </w:tcPr>
          <w:p w14:paraId="63BCE4E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90" w:type="dxa"/>
            <w:shd w:val="clear" w:color="auto" w:fill="C6EFCE"/>
            <w:noWrap/>
          </w:tcPr>
          <w:p w14:paraId="60A6595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09" w:type="dxa"/>
            <w:shd w:val="clear" w:color="auto" w:fill="C6EFCE"/>
            <w:noWrap/>
          </w:tcPr>
          <w:p w14:paraId="68BD6BB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5DB2067" w14:textId="77777777" w:rsidR="00A00259" w:rsidRDefault="00371282">
            <w:pPr>
              <w:pStyle w:val="P68B1DB1-Normal13"/>
              <w:spacing w:after="0" w:line="240" w:lineRule="auto"/>
              <w:rPr>
                <w:rFonts w:eastAsia="Times New Roman"/>
                <w:noProof/>
                <w:szCs w:val="18"/>
              </w:rPr>
            </w:pPr>
            <w:r>
              <w:rPr>
                <w:noProof/>
              </w:rPr>
              <w:t>T3</w:t>
            </w:r>
          </w:p>
        </w:tc>
        <w:tc>
          <w:tcPr>
            <w:tcW w:w="851" w:type="dxa"/>
            <w:shd w:val="clear" w:color="auto" w:fill="C6EFCE"/>
            <w:noWrap/>
          </w:tcPr>
          <w:p w14:paraId="0276FB18" w14:textId="77777777" w:rsidR="00A00259" w:rsidRDefault="00371282">
            <w:pPr>
              <w:pStyle w:val="P68B1DB1-Normal13"/>
              <w:spacing w:after="0" w:line="240" w:lineRule="auto"/>
              <w:rPr>
                <w:rFonts w:eastAsia="Times New Roman"/>
                <w:noProof/>
                <w:szCs w:val="18"/>
              </w:rPr>
            </w:pPr>
            <w:r>
              <w:rPr>
                <w:noProof/>
              </w:rPr>
              <w:t>2021</w:t>
            </w:r>
          </w:p>
        </w:tc>
        <w:tc>
          <w:tcPr>
            <w:tcW w:w="4438" w:type="dxa"/>
            <w:shd w:val="clear" w:color="auto" w:fill="C6EFCE"/>
            <w:noWrap/>
          </w:tcPr>
          <w:p w14:paraId="298B7BDF" w14:textId="77777777" w:rsidR="00A00259" w:rsidRDefault="00371282">
            <w:pPr>
              <w:pStyle w:val="P68B1DB1-Normal13"/>
              <w:spacing w:after="0" w:line="240" w:lineRule="auto"/>
              <w:rPr>
                <w:rFonts w:eastAsia="Times New Roman"/>
                <w:noProof/>
                <w:szCs w:val="18"/>
              </w:rPr>
            </w:pPr>
            <w:r>
              <w:rPr>
                <w:noProof/>
              </w:rPr>
              <w:t>Entrée en vigueur de toutes les décisions ministérielles (MD) prévues par la loi 4710/ 2020 et signées par le ministre de l'Environnement et de l'Énergie; ministre des infrastructures et des transports, ministre de l’intérieur et ministre des finances, organisant le marché des véhicules électriques, en mettant l’accent sur le marché des services de recharge et prévoyant des incitations fiscales pour l’achat de véhicules électriques et l’installation d’infrastructures de recharge pour les véhicules électriques.</w:t>
            </w:r>
          </w:p>
        </w:tc>
      </w:tr>
      <w:tr w:rsidR="00A00259" w14:paraId="46080850" w14:textId="77777777">
        <w:trPr>
          <w:trHeight w:val="309"/>
          <w:jc w:val="center"/>
        </w:trPr>
        <w:tc>
          <w:tcPr>
            <w:tcW w:w="588" w:type="dxa"/>
            <w:shd w:val="clear" w:color="auto" w:fill="C6EFCE"/>
            <w:noWrap/>
          </w:tcPr>
          <w:p w14:paraId="33140127" w14:textId="77777777" w:rsidR="00A00259" w:rsidRDefault="00371282">
            <w:pPr>
              <w:pStyle w:val="P68B1DB1-Normal13"/>
              <w:spacing w:after="0" w:line="240" w:lineRule="auto"/>
              <w:rPr>
                <w:rFonts w:eastAsia="Times New Roman"/>
                <w:noProof/>
                <w:szCs w:val="18"/>
              </w:rPr>
            </w:pPr>
            <w:r>
              <w:rPr>
                <w:noProof/>
              </w:rPr>
              <w:t>43</w:t>
            </w:r>
          </w:p>
        </w:tc>
        <w:tc>
          <w:tcPr>
            <w:tcW w:w="1920" w:type="dxa"/>
            <w:shd w:val="clear" w:color="auto" w:fill="C6EFCE"/>
            <w:noWrap/>
          </w:tcPr>
          <w:p w14:paraId="217CFDB3" w14:textId="77777777" w:rsidR="00A00259" w:rsidRDefault="00371282">
            <w:pPr>
              <w:pStyle w:val="P68B1DB1-Normal13"/>
              <w:spacing w:after="0" w:line="240" w:lineRule="auto"/>
              <w:rPr>
                <w:rFonts w:eastAsia="Times New Roman"/>
                <w:noProof/>
                <w:szCs w:val="18"/>
              </w:rPr>
            </w:pPr>
            <w:r>
              <w:rPr>
                <w:noProof/>
              </w:rPr>
              <w:t>3 - 1.3. 16281_Cadre pour l'installation et l'exploitation de l'infrastructure de recharge des véhicules électriques</w:t>
            </w:r>
          </w:p>
        </w:tc>
        <w:tc>
          <w:tcPr>
            <w:tcW w:w="1081" w:type="dxa"/>
            <w:shd w:val="clear" w:color="auto" w:fill="C6EFCE"/>
            <w:noWrap/>
          </w:tcPr>
          <w:p w14:paraId="531D8F46" w14:textId="77777777" w:rsidR="00A00259" w:rsidRDefault="00371282">
            <w:pPr>
              <w:pStyle w:val="P68B1DB1-Normal13"/>
              <w:spacing w:after="0" w:line="240" w:lineRule="auto"/>
              <w:rPr>
                <w:rFonts w:eastAsia="Times New Roman"/>
                <w:noProof/>
                <w:szCs w:val="18"/>
              </w:rPr>
            </w:pPr>
            <w:r>
              <w:rPr>
                <w:noProof/>
              </w:rPr>
              <w:t>Objectif</w:t>
            </w:r>
          </w:p>
        </w:tc>
        <w:tc>
          <w:tcPr>
            <w:tcW w:w="1197" w:type="dxa"/>
            <w:shd w:val="clear" w:color="auto" w:fill="C6EFCE"/>
            <w:noWrap/>
          </w:tcPr>
          <w:p w14:paraId="300E42B4" w14:textId="77777777" w:rsidR="00A00259" w:rsidRDefault="00371282">
            <w:pPr>
              <w:pStyle w:val="P68B1DB1-Normal13"/>
              <w:spacing w:after="0" w:line="240" w:lineRule="auto"/>
              <w:rPr>
                <w:rFonts w:eastAsia="Times New Roman"/>
                <w:noProof/>
                <w:szCs w:val="18"/>
              </w:rPr>
            </w:pPr>
            <w:r>
              <w:rPr>
                <w:noProof/>
              </w:rPr>
              <w:t>Points de recharge pour véhicules électriques – plans locaux approuvés</w:t>
            </w:r>
          </w:p>
        </w:tc>
        <w:tc>
          <w:tcPr>
            <w:tcW w:w="1717" w:type="dxa"/>
            <w:shd w:val="clear" w:color="auto" w:fill="C6EFCE"/>
            <w:noWrap/>
          </w:tcPr>
          <w:p w14:paraId="2E21B7C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62" w:type="dxa"/>
            <w:shd w:val="clear" w:color="auto" w:fill="C6EFCE"/>
            <w:noWrap/>
          </w:tcPr>
          <w:p w14:paraId="5E950717" w14:textId="77777777" w:rsidR="00A00259" w:rsidRDefault="00371282">
            <w:pPr>
              <w:pStyle w:val="P68B1DB1-Normal13"/>
              <w:spacing w:after="0" w:line="240" w:lineRule="auto"/>
              <w:rPr>
                <w:rFonts w:eastAsia="Times New Roman"/>
                <w:noProof/>
                <w:szCs w:val="18"/>
              </w:rPr>
            </w:pPr>
            <w:r>
              <w:rPr>
                <w:noProof/>
              </w:rPr>
              <w:t>Nombre de plans adoptés par le Ministère de l ' environnement et de l ' énergie</w:t>
            </w:r>
          </w:p>
        </w:tc>
        <w:tc>
          <w:tcPr>
            <w:tcW w:w="1090" w:type="dxa"/>
            <w:shd w:val="clear" w:color="auto" w:fill="C6EFCE"/>
            <w:noWrap/>
          </w:tcPr>
          <w:p w14:paraId="163DF279" w14:textId="77777777" w:rsidR="00A00259" w:rsidRDefault="00371282">
            <w:pPr>
              <w:pStyle w:val="P68B1DB1-Normal13"/>
              <w:spacing w:after="0" w:line="240" w:lineRule="auto"/>
              <w:rPr>
                <w:rFonts w:eastAsia="Times New Roman"/>
                <w:noProof/>
                <w:szCs w:val="18"/>
              </w:rPr>
            </w:pPr>
            <w:r>
              <w:rPr>
                <w:noProof/>
              </w:rPr>
              <w:t>0</w:t>
            </w:r>
          </w:p>
        </w:tc>
        <w:tc>
          <w:tcPr>
            <w:tcW w:w="709" w:type="dxa"/>
            <w:shd w:val="clear" w:color="auto" w:fill="C6EFCE"/>
            <w:noWrap/>
          </w:tcPr>
          <w:p w14:paraId="618BBBC2" w14:textId="77777777" w:rsidR="00A00259" w:rsidRDefault="00371282">
            <w:pPr>
              <w:pStyle w:val="P68B1DB1-Normal13"/>
              <w:spacing w:after="0" w:line="240" w:lineRule="auto"/>
              <w:rPr>
                <w:rFonts w:eastAsia="Times New Roman"/>
                <w:noProof/>
                <w:szCs w:val="18"/>
              </w:rPr>
            </w:pPr>
            <w:r>
              <w:rPr>
                <w:noProof/>
              </w:rPr>
              <w:t>300</w:t>
            </w:r>
          </w:p>
        </w:tc>
        <w:tc>
          <w:tcPr>
            <w:tcW w:w="992" w:type="dxa"/>
            <w:shd w:val="clear" w:color="auto" w:fill="C6EFCE"/>
            <w:noWrap/>
          </w:tcPr>
          <w:p w14:paraId="48AEFD55" w14:textId="77777777" w:rsidR="00A00259" w:rsidRDefault="00371282">
            <w:pPr>
              <w:pStyle w:val="P68B1DB1-Normal13"/>
              <w:spacing w:after="0" w:line="240" w:lineRule="auto"/>
              <w:rPr>
                <w:rFonts w:eastAsia="Times New Roman"/>
                <w:noProof/>
                <w:szCs w:val="18"/>
              </w:rPr>
            </w:pPr>
            <w:r>
              <w:rPr>
                <w:noProof/>
              </w:rPr>
              <w:t>T4</w:t>
            </w:r>
          </w:p>
        </w:tc>
        <w:tc>
          <w:tcPr>
            <w:tcW w:w="851" w:type="dxa"/>
            <w:shd w:val="clear" w:color="auto" w:fill="C6EFCE"/>
            <w:noWrap/>
          </w:tcPr>
          <w:p w14:paraId="7C398961" w14:textId="77777777" w:rsidR="00A00259" w:rsidRDefault="00371282">
            <w:pPr>
              <w:pStyle w:val="P68B1DB1-Normal13"/>
              <w:spacing w:after="0" w:line="240" w:lineRule="auto"/>
              <w:rPr>
                <w:rFonts w:eastAsia="Times New Roman"/>
                <w:noProof/>
                <w:szCs w:val="18"/>
              </w:rPr>
            </w:pPr>
            <w:r>
              <w:rPr>
                <w:noProof/>
              </w:rPr>
              <w:t>2022</w:t>
            </w:r>
          </w:p>
        </w:tc>
        <w:tc>
          <w:tcPr>
            <w:tcW w:w="4438" w:type="dxa"/>
            <w:shd w:val="clear" w:color="auto" w:fill="C6EFCE"/>
            <w:noWrap/>
          </w:tcPr>
          <w:p w14:paraId="465856D5" w14:textId="77777777" w:rsidR="00A00259" w:rsidRDefault="00371282">
            <w:pPr>
              <w:pStyle w:val="P68B1DB1-Normal13"/>
              <w:spacing w:after="0" w:line="240" w:lineRule="auto"/>
              <w:rPr>
                <w:rFonts w:eastAsia="Times New Roman"/>
                <w:noProof/>
                <w:szCs w:val="18"/>
              </w:rPr>
            </w:pPr>
            <w:r>
              <w:rPr>
                <w:noProof/>
              </w:rPr>
              <w:t>Adoption par le ministère de l’environnement et de l’énergie d’au moins 300 plans soumis par les autorités locales pour l’installation de bornes de recharge pour véhicules électriques accessibles au public.</w:t>
            </w:r>
          </w:p>
        </w:tc>
      </w:tr>
    </w:tbl>
    <w:p w14:paraId="3D33C439" w14:textId="77777777" w:rsidR="00A00259" w:rsidRDefault="00A00259">
      <w:pPr>
        <w:spacing w:before="120" w:after="120" w:line="240" w:lineRule="auto"/>
        <w:ind w:left="709"/>
        <w:jc w:val="both"/>
        <w:rPr>
          <w:rFonts w:ascii="Times New Roman" w:hAnsi="Times New Roman" w:cs="Times New Roman"/>
          <w:noProof/>
          <w:sz w:val="24"/>
          <w:szCs w:val="24"/>
        </w:rPr>
      </w:pPr>
    </w:p>
    <w:p w14:paraId="05FB8C69" w14:textId="77777777" w:rsidR="00A00259" w:rsidRDefault="00A00259">
      <w:pPr>
        <w:keepNext/>
        <w:keepLines/>
        <w:spacing w:before="40" w:after="0" w:line="240" w:lineRule="auto"/>
        <w:jc w:val="both"/>
        <w:outlineLvl w:val="4"/>
        <w:rPr>
          <w:rFonts w:ascii="Cambria" w:hAnsi="Cambria"/>
          <w:noProof/>
          <w:color w:val="365F91"/>
          <w:sz w:val="24"/>
        </w:rPr>
        <w:sectPr w:rsidR="00A00259">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1E46597C" w14:textId="77777777" w:rsidR="00A00259" w:rsidRDefault="00371282">
      <w:pPr>
        <w:pStyle w:val="P68B1DB1-Normal9"/>
        <w:keepNext/>
        <w:keepLines/>
        <w:spacing w:before="40" w:after="0" w:line="240" w:lineRule="auto"/>
        <w:jc w:val="both"/>
        <w:outlineLvl w:val="4"/>
        <w:rPr>
          <w:rFonts w:eastAsia="Times New Roman"/>
          <w:noProof/>
        </w:rPr>
      </w:pPr>
      <w:r>
        <w:rPr>
          <w:noProof/>
        </w:rPr>
        <w:t>Groupe 4: Mobilité électrique</w:t>
      </w:r>
    </w:p>
    <w:p w14:paraId="0BE3AC83" w14:textId="77777777" w:rsidR="00A00259" w:rsidRDefault="00371282">
      <w:pPr>
        <w:pStyle w:val="P68B1DB1-Normal5"/>
        <w:spacing w:before="120" w:after="120" w:line="240" w:lineRule="auto"/>
        <w:ind w:left="709"/>
        <w:rPr>
          <w:rFonts w:cs="Times New Roman"/>
          <w:noProof/>
        </w:rPr>
      </w:pPr>
      <w:r>
        <w:rPr>
          <w:noProof/>
        </w:rPr>
        <w:t>Les mesures incluses dans ce groupe sont les suivantes:</w:t>
      </w:r>
    </w:p>
    <w:p w14:paraId="385DD57D" w14:textId="77777777" w:rsidR="00A00259" w:rsidRDefault="00371282">
      <w:pPr>
        <w:spacing w:before="120" w:after="120" w:line="240" w:lineRule="auto"/>
        <w:ind w:left="709"/>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Produit- E vert (ID: 16831)</w:t>
      </w:r>
    </w:p>
    <w:p w14:paraId="02D3E339" w14:textId="77777777" w:rsidR="00A00259" w:rsidRDefault="00371282">
      <w:pPr>
        <w:spacing w:before="120" w:after="120" w:line="240" w:lineRule="auto"/>
        <w:ind w:left="709"/>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 xml:space="preserve">Électromobilité (ID: 16924) </w:t>
      </w:r>
    </w:p>
    <w:tbl>
      <w:tblPr>
        <w:tblW w:w="15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588"/>
        <w:gridCol w:w="1076"/>
        <w:gridCol w:w="1296"/>
        <w:gridCol w:w="2629"/>
        <w:gridCol w:w="1460"/>
        <w:gridCol w:w="936"/>
        <w:gridCol w:w="936"/>
        <w:gridCol w:w="986"/>
        <w:gridCol w:w="709"/>
        <w:gridCol w:w="3191"/>
      </w:tblGrid>
      <w:tr w:rsidR="00A00259" w14:paraId="74640075" w14:textId="77777777">
        <w:trPr>
          <w:trHeight w:val="939"/>
          <w:tblHeader/>
          <w:jc w:val="center"/>
        </w:trPr>
        <w:tc>
          <w:tcPr>
            <w:tcW w:w="817" w:type="dxa"/>
            <w:vMerge w:val="restart"/>
            <w:shd w:val="clear" w:color="auto" w:fill="BDD7EE"/>
            <w:vAlign w:val="center"/>
            <w:hideMark/>
          </w:tcPr>
          <w:p w14:paraId="15C0A7C6" w14:textId="77777777" w:rsidR="00A00259" w:rsidRDefault="00371282">
            <w:pPr>
              <w:pStyle w:val="P68B1DB1-Normal10"/>
              <w:spacing w:after="0" w:line="240" w:lineRule="auto"/>
              <w:jc w:val="center"/>
              <w:rPr>
                <w:rFonts w:eastAsia="Times New Roman" w:cs="Times New Roman"/>
                <w:bCs/>
                <w:noProof/>
                <w:szCs w:val="18"/>
              </w:rPr>
            </w:pPr>
            <w:r>
              <w:rPr>
                <w:noProof/>
              </w:rPr>
              <w:t>Seq.</w:t>
            </w:r>
            <w:r>
              <w:rPr>
                <w:noProof/>
              </w:rPr>
              <w:br/>
              <w:t>Non.</w:t>
            </w:r>
          </w:p>
        </w:tc>
        <w:tc>
          <w:tcPr>
            <w:tcW w:w="1588" w:type="dxa"/>
            <w:vMerge w:val="restart"/>
            <w:shd w:val="clear" w:color="auto" w:fill="BDD7EE"/>
            <w:vAlign w:val="center"/>
            <w:hideMark/>
          </w:tcPr>
          <w:p w14:paraId="1AF114E6"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992" w:type="dxa"/>
            <w:vMerge w:val="restart"/>
            <w:shd w:val="clear" w:color="auto" w:fill="BDD7EE"/>
            <w:vAlign w:val="center"/>
            <w:hideMark/>
          </w:tcPr>
          <w:p w14:paraId="2DBB8E5A"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166" w:type="dxa"/>
            <w:vMerge w:val="restart"/>
            <w:shd w:val="clear" w:color="auto" w:fill="BDD7EE"/>
            <w:vAlign w:val="center"/>
            <w:hideMark/>
          </w:tcPr>
          <w:p w14:paraId="0F50E186"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2629" w:type="dxa"/>
            <w:vMerge w:val="restart"/>
            <w:shd w:val="clear" w:color="auto" w:fill="BDD7EE"/>
            <w:vAlign w:val="center"/>
            <w:hideMark/>
          </w:tcPr>
          <w:p w14:paraId="2CE88874"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w:t>
            </w:r>
            <w:r>
              <w:rPr>
                <w:noProof/>
              </w:rPr>
              <w:br/>
              <w:t xml:space="preserve"> (pour les jalons)</w:t>
            </w:r>
          </w:p>
        </w:tc>
        <w:tc>
          <w:tcPr>
            <w:tcW w:w="3253" w:type="dxa"/>
            <w:gridSpan w:val="3"/>
            <w:shd w:val="clear" w:color="auto" w:fill="BDD7EE"/>
            <w:vAlign w:val="center"/>
            <w:hideMark/>
          </w:tcPr>
          <w:p w14:paraId="6FC79B83"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Indicateurs quantitatifs </w:t>
            </w:r>
            <w:r>
              <w:rPr>
                <w:noProof/>
              </w:rPr>
              <w:br/>
              <w:t>(pour les objectifs)</w:t>
            </w:r>
          </w:p>
        </w:tc>
        <w:tc>
          <w:tcPr>
            <w:tcW w:w="1555" w:type="dxa"/>
            <w:gridSpan w:val="2"/>
            <w:shd w:val="clear" w:color="auto" w:fill="BDD7EE"/>
            <w:vAlign w:val="center"/>
            <w:hideMark/>
          </w:tcPr>
          <w:p w14:paraId="57A5D478"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3191" w:type="dxa"/>
            <w:vMerge w:val="restart"/>
            <w:shd w:val="clear" w:color="auto" w:fill="BDD7EE"/>
            <w:vAlign w:val="center"/>
            <w:hideMark/>
          </w:tcPr>
          <w:p w14:paraId="0FD4DE62"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64AE8904" w14:textId="77777777">
        <w:trPr>
          <w:trHeight w:val="531"/>
          <w:tblHeader/>
          <w:jc w:val="center"/>
        </w:trPr>
        <w:tc>
          <w:tcPr>
            <w:tcW w:w="817" w:type="dxa"/>
            <w:vMerge/>
            <w:vAlign w:val="center"/>
            <w:hideMark/>
          </w:tcPr>
          <w:p w14:paraId="3B7284D0" w14:textId="77777777" w:rsidR="00A00259" w:rsidRDefault="00A00259">
            <w:pPr>
              <w:spacing w:after="0" w:line="240" w:lineRule="auto"/>
              <w:rPr>
                <w:rFonts w:ascii="Times New Roman" w:eastAsia="Times New Roman" w:hAnsi="Times New Roman" w:cs="Times New Roman"/>
                <w:b/>
                <w:bCs/>
                <w:noProof/>
                <w:sz w:val="18"/>
                <w:szCs w:val="18"/>
              </w:rPr>
            </w:pPr>
          </w:p>
        </w:tc>
        <w:tc>
          <w:tcPr>
            <w:tcW w:w="1588" w:type="dxa"/>
            <w:vMerge/>
            <w:vAlign w:val="center"/>
            <w:hideMark/>
          </w:tcPr>
          <w:p w14:paraId="335DE03A" w14:textId="77777777" w:rsidR="00A00259" w:rsidRDefault="00A00259">
            <w:pPr>
              <w:spacing w:after="0" w:line="240" w:lineRule="auto"/>
              <w:rPr>
                <w:rFonts w:ascii="Times New Roman" w:eastAsia="Times New Roman" w:hAnsi="Times New Roman" w:cs="Times New Roman"/>
                <w:b/>
                <w:bCs/>
                <w:noProof/>
                <w:sz w:val="18"/>
                <w:szCs w:val="18"/>
              </w:rPr>
            </w:pPr>
          </w:p>
        </w:tc>
        <w:tc>
          <w:tcPr>
            <w:tcW w:w="992" w:type="dxa"/>
            <w:vMerge/>
            <w:vAlign w:val="center"/>
            <w:hideMark/>
          </w:tcPr>
          <w:p w14:paraId="336FE18B" w14:textId="77777777" w:rsidR="00A00259" w:rsidRDefault="00A00259">
            <w:pPr>
              <w:spacing w:after="0" w:line="240" w:lineRule="auto"/>
              <w:rPr>
                <w:rFonts w:ascii="Times New Roman" w:eastAsia="Times New Roman" w:hAnsi="Times New Roman" w:cs="Times New Roman"/>
                <w:b/>
                <w:bCs/>
                <w:noProof/>
                <w:sz w:val="18"/>
                <w:szCs w:val="18"/>
              </w:rPr>
            </w:pPr>
          </w:p>
        </w:tc>
        <w:tc>
          <w:tcPr>
            <w:tcW w:w="1166" w:type="dxa"/>
            <w:vMerge/>
            <w:vAlign w:val="center"/>
            <w:hideMark/>
          </w:tcPr>
          <w:p w14:paraId="662C6E7B" w14:textId="77777777" w:rsidR="00A00259" w:rsidRDefault="00A00259">
            <w:pPr>
              <w:spacing w:after="0" w:line="240" w:lineRule="auto"/>
              <w:rPr>
                <w:rFonts w:ascii="Times New Roman" w:eastAsia="Times New Roman" w:hAnsi="Times New Roman" w:cs="Times New Roman"/>
                <w:b/>
                <w:bCs/>
                <w:noProof/>
                <w:sz w:val="18"/>
                <w:szCs w:val="18"/>
              </w:rPr>
            </w:pPr>
          </w:p>
        </w:tc>
        <w:tc>
          <w:tcPr>
            <w:tcW w:w="2629" w:type="dxa"/>
            <w:vMerge/>
            <w:vAlign w:val="center"/>
            <w:hideMark/>
          </w:tcPr>
          <w:p w14:paraId="51974E7B" w14:textId="77777777" w:rsidR="00A00259" w:rsidRDefault="00A00259">
            <w:pPr>
              <w:spacing w:after="0" w:line="240" w:lineRule="auto"/>
              <w:rPr>
                <w:rFonts w:ascii="Times New Roman" w:eastAsia="Times New Roman" w:hAnsi="Times New Roman" w:cs="Times New Roman"/>
                <w:b/>
                <w:bCs/>
                <w:noProof/>
                <w:sz w:val="18"/>
                <w:szCs w:val="18"/>
              </w:rPr>
            </w:pPr>
          </w:p>
        </w:tc>
        <w:tc>
          <w:tcPr>
            <w:tcW w:w="1460" w:type="dxa"/>
            <w:shd w:val="clear" w:color="auto" w:fill="BDD7EE"/>
            <w:vAlign w:val="center"/>
            <w:hideMark/>
          </w:tcPr>
          <w:p w14:paraId="34AAB0CE"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857" w:type="dxa"/>
            <w:shd w:val="clear" w:color="auto" w:fill="BDD7EE"/>
            <w:vAlign w:val="center"/>
            <w:hideMark/>
          </w:tcPr>
          <w:p w14:paraId="134DACCD"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936" w:type="dxa"/>
            <w:shd w:val="clear" w:color="auto" w:fill="BDD7EE"/>
            <w:vAlign w:val="center"/>
            <w:hideMark/>
          </w:tcPr>
          <w:p w14:paraId="25EADF69"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846" w:type="dxa"/>
            <w:shd w:val="clear" w:color="auto" w:fill="BDD7EE"/>
            <w:vAlign w:val="center"/>
            <w:hideMark/>
          </w:tcPr>
          <w:p w14:paraId="3E8975B1"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709" w:type="dxa"/>
            <w:shd w:val="clear" w:color="auto" w:fill="BDD7EE"/>
            <w:vAlign w:val="center"/>
            <w:hideMark/>
          </w:tcPr>
          <w:p w14:paraId="3A74EA22"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3191" w:type="dxa"/>
            <w:vMerge/>
            <w:vAlign w:val="center"/>
            <w:hideMark/>
          </w:tcPr>
          <w:p w14:paraId="3246E43B"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6ADE1E5F" w14:textId="77777777">
        <w:trPr>
          <w:trHeight w:val="313"/>
          <w:jc w:val="center"/>
        </w:trPr>
        <w:tc>
          <w:tcPr>
            <w:tcW w:w="817" w:type="dxa"/>
            <w:shd w:val="clear" w:color="auto" w:fill="C6EFCE"/>
            <w:noWrap/>
          </w:tcPr>
          <w:p w14:paraId="16CB59A3" w14:textId="77777777" w:rsidR="00A00259" w:rsidRDefault="00371282">
            <w:pPr>
              <w:pStyle w:val="P68B1DB1-Normal12"/>
              <w:spacing w:after="0" w:line="240" w:lineRule="auto"/>
              <w:rPr>
                <w:rFonts w:eastAsia="Times New Roman"/>
                <w:noProof/>
              </w:rPr>
            </w:pPr>
            <w:r>
              <w:rPr>
                <w:noProof/>
              </w:rPr>
              <w:t>44</w:t>
            </w:r>
          </w:p>
        </w:tc>
        <w:tc>
          <w:tcPr>
            <w:tcW w:w="1588" w:type="dxa"/>
            <w:shd w:val="clear" w:color="auto" w:fill="C6EFCE"/>
            <w:noWrap/>
          </w:tcPr>
          <w:p w14:paraId="123A8D5F" w14:textId="77777777" w:rsidR="00A00259" w:rsidRDefault="00371282">
            <w:pPr>
              <w:pStyle w:val="P68B1DB1-Normal12"/>
              <w:spacing w:after="0" w:line="240" w:lineRule="auto"/>
              <w:rPr>
                <w:rFonts w:eastAsia="Times New Roman"/>
                <w:noProof/>
              </w:rPr>
            </w:pPr>
            <w:r>
              <w:rPr>
                <w:noProof/>
              </w:rPr>
              <w:t>3 – 1.3. Recharge et ravitaillement - 16924_ Electromobility</w:t>
            </w:r>
          </w:p>
        </w:tc>
        <w:tc>
          <w:tcPr>
            <w:tcW w:w="992" w:type="dxa"/>
            <w:shd w:val="clear" w:color="auto" w:fill="C6EFCE"/>
            <w:noWrap/>
          </w:tcPr>
          <w:p w14:paraId="6B4E301A" w14:textId="77777777" w:rsidR="00A00259" w:rsidRDefault="00371282">
            <w:pPr>
              <w:pStyle w:val="P68B1DB1-Normal12"/>
              <w:spacing w:after="0" w:line="240" w:lineRule="auto"/>
              <w:rPr>
                <w:rFonts w:eastAsia="Times New Roman"/>
                <w:noProof/>
              </w:rPr>
            </w:pPr>
            <w:r>
              <w:rPr>
                <w:noProof/>
              </w:rPr>
              <w:t>Étape</w:t>
            </w:r>
          </w:p>
        </w:tc>
        <w:tc>
          <w:tcPr>
            <w:tcW w:w="1166" w:type="dxa"/>
            <w:shd w:val="clear" w:color="auto" w:fill="C6EFCE"/>
            <w:noWrap/>
          </w:tcPr>
          <w:p w14:paraId="3198574C" w14:textId="77777777" w:rsidR="00A00259" w:rsidRDefault="00371282">
            <w:pPr>
              <w:pStyle w:val="P68B1DB1-Normal12"/>
              <w:spacing w:after="0" w:line="240" w:lineRule="auto"/>
              <w:rPr>
                <w:rFonts w:eastAsia="Times New Roman"/>
                <w:noProof/>
              </w:rPr>
            </w:pPr>
            <w:r>
              <w:rPr>
                <w:noProof/>
              </w:rPr>
              <w:t>Transports publics – Entrée en vigueur de la réglementation du marché relative aux obligations de service public (autobus)</w:t>
            </w:r>
          </w:p>
        </w:tc>
        <w:tc>
          <w:tcPr>
            <w:tcW w:w="2629" w:type="dxa"/>
            <w:shd w:val="clear" w:color="auto" w:fill="C6EFCE"/>
            <w:noWrap/>
          </w:tcPr>
          <w:p w14:paraId="3C59D035" w14:textId="5CFF8F3E" w:rsidR="00A00259" w:rsidRDefault="00371282">
            <w:pPr>
              <w:pStyle w:val="P68B1DB1-Normal12"/>
              <w:spacing w:after="0" w:line="240" w:lineRule="auto"/>
              <w:rPr>
                <w:rFonts w:eastAsia="Times New Roman"/>
                <w:noProof/>
                <w:highlight w:val="yellow"/>
              </w:rPr>
            </w:pPr>
            <w:r>
              <w:rPr>
                <w:noProof/>
              </w:rPr>
              <w:t>Entrée en vigueur du cadre juridique révisé</w:t>
            </w:r>
          </w:p>
        </w:tc>
        <w:tc>
          <w:tcPr>
            <w:tcW w:w="1460" w:type="dxa"/>
            <w:shd w:val="clear" w:color="auto" w:fill="C6EFCE"/>
            <w:noWrap/>
          </w:tcPr>
          <w:p w14:paraId="5C9553A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67B7E63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36" w:type="dxa"/>
            <w:shd w:val="clear" w:color="auto" w:fill="C6EFCE"/>
            <w:noWrap/>
          </w:tcPr>
          <w:p w14:paraId="1506D78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4287BEFF"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6CB70BC2" w14:textId="77777777" w:rsidR="00A00259" w:rsidRDefault="00371282">
            <w:pPr>
              <w:pStyle w:val="P68B1DB1-Normal12"/>
              <w:spacing w:after="0" w:line="240" w:lineRule="auto"/>
              <w:rPr>
                <w:rFonts w:eastAsia="Times New Roman"/>
                <w:noProof/>
              </w:rPr>
            </w:pPr>
            <w:r>
              <w:rPr>
                <w:noProof/>
              </w:rPr>
              <w:t>2021</w:t>
            </w:r>
          </w:p>
        </w:tc>
        <w:tc>
          <w:tcPr>
            <w:tcW w:w="3191" w:type="dxa"/>
            <w:shd w:val="clear" w:color="auto" w:fill="C6EFCE"/>
            <w:noWrap/>
          </w:tcPr>
          <w:p w14:paraId="454B0A7C" w14:textId="77777777" w:rsidR="00A00259" w:rsidRDefault="00371282">
            <w:pPr>
              <w:pStyle w:val="P68B1DB1-Normal12"/>
              <w:spacing w:after="0" w:line="240" w:lineRule="auto"/>
              <w:rPr>
                <w:rFonts w:eastAsia="Times New Roman"/>
                <w:noProof/>
              </w:rPr>
            </w:pPr>
            <w:r>
              <w:rPr>
                <w:noProof/>
              </w:rPr>
              <w:t>Renforcer la réglementation du marché par l'entrée en vigueur d'un cadre législatif révisé pour les services publics de transport urbain et régional de voyageurs (conformément à l'UE 1370/2007). Le cadre révisé: a) assurer l'approvisionnement continu du transport public urbain et régional de voyageurs par route (itinéraire régulier et itinéraire fixe); b) superviser la conception, l ' organisation et l ' exploitation des réseaux de transport associés; c) garantir des transports publics routiers de haute qualité au coût le plus bas possible; d) réglementer le processus d'octroi de droits exclusifs pour l'exploitation de liaisons publiques régionales et urbaines (itinéraires réguliers et itinéraires fixes); et e) de réglementer le niveau de compensation pour la fourniture des services susmentionnés. En outre, la loi établit les critères généraux pour les futurs marchés de services de transport de voyageurs. Les régions et unités régionales correspondantes établissent des critères régionaux détaillés qui tiennent dûment compte des besoins de transport propres à chaque région et affinent le processus de passation des marchés en conséquence.</w:t>
            </w:r>
          </w:p>
        </w:tc>
      </w:tr>
      <w:tr w:rsidR="00A00259" w14:paraId="781DEE88" w14:textId="77777777">
        <w:trPr>
          <w:trHeight w:val="313"/>
          <w:jc w:val="center"/>
        </w:trPr>
        <w:tc>
          <w:tcPr>
            <w:tcW w:w="817" w:type="dxa"/>
            <w:shd w:val="clear" w:color="auto" w:fill="C6EFCE"/>
            <w:noWrap/>
          </w:tcPr>
          <w:p w14:paraId="66400EDB" w14:textId="77777777" w:rsidR="00A00259" w:rsidRDefault="00371282">
            <w:pPr>
              <w:pStyle w:val="P68B1DB1-Normal12"/>
              <w:spacing w:after="0" w:line="240" w:lineRule="auto"/>
              <w:rPr>
                <w:rFonts w:eastAsia="Times New Roman"/>
                <w:noProof/>
              </w:rPr>
            </w:pPr>
            <w:r>
              <w:rPr>
                <w:noProof/>
              </w:rPr>
              <w:t>45</w:t>
            </w:r>
          </w:p>
        </w:tc>
        <w:tc>
          <w:tcPr>
            <w:tcW w:w="1588" w:type="dxa"/>
            <w:shd w:val="clear" w:color="auto" w:fill="C6EFCE"/>
            <w:noWrap/>
          </w:tcPr>
          <w:p w14:paraId="4286DA93" w14:textId="77777777" w:rsidR="00A00259" w:rsidRDefault="00371282">
            <w:pPr>
              <w:pStyle w:val="P68B1DB1-Normal12"/>
              <w:spacing w:after="0" w:line="240" w:lineRule="auto"/>
              <w:rPr>
                <w:rFonts w:eastAsia="Times New Roman"/>
                <w:noProof/>
              </w:rPr>
            </w:pPr>
            <w:r>
              <w:rPr>
                <w:noProof/>
              </w:rPr>
              <w:t>3 – 1.3. Recharge et ravitaillement - 16924_ Electromobility</w:t>
            </w:r>
          </w:p>
        </w:tc>
        <w:tc>
          <w:tcPr>
            <w:tcW w:w="992" w:type="dxa"/>
            <w:shd w:val="clear" w:color="auto" w:fill="C6EFCE"/>
            <w:noWrap/>
          </w:tcPr>
          <w:p w14:paraId="4A7C0C46" w14:textId="77777777" w:rsidR="00A00259" w:rsidRDefault="00371282">
            <w:pPr>
              <w:pStyle w:val="P68B1DB1-Normal12"/>
              <w:spacing w:after="0" w:line="240" w:lineRule="auto"/>
              <w:rPr>
                <w:rFonts w:eastAsia="Times New Roman"/>
                <w:noProof/>
              </w:rPr>
            </w:pPr>
            <w:r>
              <w:rPr>
                <w:noProof/>
              </w:rPr>
              <w:t>Étape</w:t>
            </w:r>
          </w:p>
        </w:tc>
        <w:tc>
          <w:tcPr>
            <w:tcW w:w="1166" w:type="dxa"/>
            <w:shd w:val="clear" w:color="auto" w:fill="C6EFCE"/>
            <w:noWrap/>
          </w:tcPr>
          <w:p w14:paraId="13EFAF3A" w14:textId="77777777" w:rsidR="00A00259" w:rsidRDefault="00371282">
            <w:pPr>
              <w:pStyle w:val="P68B1DB1-Normal12"/>
              <w:spacing w:after="0" w:line="240" w:lineRule="auto"/>
              <w:rPr>
                <w:rFonts w:eastAsia="Times New Roman"/>
                <w:noProof/>
              </w:rPr>
            </w:pPr>
            <w:r>
              <w:rPr>
                <w:noProof/>
              </w:rPr>
              <w:t>Transports publics – mise en œuvre d’une nouvelle réglementation du marché pour les obligations de service public (autobus)</w:t>
            </w:r>
          </w:p>
        </w:tc>
        <w:tc>
          <w:tcPr>
            <w:tcW w:w="2629" w:type="dxa"/>
            <w:shd w:val="clear" w:color="auto" w:fill="C6EFCE"/>
            <w:noWrap/>
          </w:tcPr>
          <w:p w14:paraId="6D21F6B8" w14:textId="04F8EF43" w:rsidR="00A00259" w:rsidRDefault="00371282">
            <w:pPr>
              <w:pStyle w:val="P68B1DB1-Normal12"/>
              <w:spacing w:after="0" w:line="240" w:lineRule="auto"/>
              <w:rPr>
                <w:rFonts w:eastAsia="Times New Roman"/>
                <w:noProof/>
                <w:highlight w:val="yellow"/>
              </w:rPr>
            </w:pPr>
            <w:r>
              <w:rPr>
                <w:noProof/>
              </w:rPr>
              <w:t>Entrée en vigueur du droit dérivé relatif au cadre juridique révisé</w:t>
            </w:r>
          </w:p>
        </w:tc>
        <w:tc>
          <w:tcPr>
            <w:tcW w:w="1460" w:type="dxa"/>
            <w:shd w:val="clear" w:color="auto" w:fill="C6EFCE"/>
            <w:noWrap/>
          </w:tcPr>
          <w:p w14:paraId="4B02E8F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9AFB91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36" w:type="dxa"/>
            <w:shd w:val="clear" w:color="auto" w:fill="C6EFCE"/>
            <w:noWrap/>
          </w:tcPr>
          <w:p w14:paraId="755BDEF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6085E4D3" w14:textId="77777777" w:rsidR="00A00259" w:rsidRDefault="00371282">
            <w:pPr>
              <w:pStyle w:val="P68B1DB1-Normal12"/>
              <w:spacing w:after="0" w:line="240" w:lineRule="auto"/>
              <w:rPr>
                <w:rFonts w:eastAsia="Times New Roman"/>
                <w:noProof/>
              </w:rPr>
            </w:pPr>
            <w:r>
              <w:rPr>
                <w:noProof/>
              </w:rPr>
              <w:t>T3</w:t>
            </w:r>
          </w:p>
        </w:tc>
        <w:tc>
          <w:tcPr>
            <w:tcW w:w="709" w:type="dxa"/>
            <w:shd w:val="clear" w:color="auto" w:fill="C6EFCE"/>
            <w:noWrap/>
          </w:tcPr>
          <w:p w14:paraId="0BA861ED" w14:textId="77777777" w:rsidR="00A00259" w:rsidRDefault="00371282">
            <w:pPr>
              <w:pStyle w:val="P68B1DB1-Normal12"/>
              <w:spacing w:after="0" w:line="240" w:lineRule="auto"/>
              <w:rPr>
                <w:rFonts w:eastAsia="Times New Roman"/>
                <w:noProof/>
              </w:rPr>
            </w:pPr>
            <w:r>
              <w:rPr>
                <w:noProof/>
              </w:rPr>
              <w:t>2022</w:t>
            </w:r>
          </w:p>
        </w:tc>
        <w:tc>
          <w:tcPr>
            <w:tcW w:w="3191" w:type="dxa"/>
            <w:shd w:val="clear" w:color="auto" w:fill="C6EFCE"/>
            <w:noWrap/>
          </w:tcPr>
          <w:p w14:paraId="55C16A75" w14:textId="77777777" w:rsidR="00A00259" w:rsidRDefault="00371282">
            <w:pPr>
              <w:pStyle w:val="P68B1DB1-Normal12"/>
              <w:spacing w:after="0" w:line="240" w:lineRule="auto"/>
              <w:rPr>
                <w:rFonts w:eastAsia="Times New Roman"/>
                <w:noProof/>
              </w:rPr>
            </w:pPr>
            <w:r>
              <w:rPr>
                <w:noProof/>
              </w:rPr>
              <w:t>Entrée en vigueur du droit dérivé indiqué dans le cadre juridique révisé pour renforcer la réglementation du marché des services publics de transport urbain et régional de voyageurs.</w:t>
            </w:r>
          </w:p>
        </w:tc>
      </w:tr>
      <w:tr w:rsidR="00A00259" w14:paraId="0A9563AE" w14:textId="77777777">
        <w:trPr>
          <w:trHeight w:val="313"/>
          <w:jc w:val="center"/>
        </w:trPr>
        <w:tc>
          <w:tcPr>
            <w:tcW w:w="817" w:type="dxa"/>
            <w:shd w:val="clear" w:color="auto" w:fill="C6EFCE"/>
            <w:noWrap/>
          </w:tcPr>
          <w:p w14:paraId="2F54C40E" w14:textId="77777777" w:rsidR="00A00259" w:rsidRDefault="00371282">
            <w:pPr>
              <w:pStyle w:val="P68B1DB1-Normal12"/>
              <w:spacing w:after="0" w:line="240" w:lineRule="auto"/>
              <w:rPr>
                <w:rFonts w:eastAsia="Times New Roman"/>
                <w:noProof/>
              </w:rPr>
            </w:pPr>
            <w:r>
              <w:rPr>
                <w:noProof/>
              </w:rPr>
              <w:t>46</w:t>
            </w:r>
          </w:p>
        </w:tc>
        <w:tc>
          <w:tcPr>
            <w:tcW w:w="1588" w:type="dxa"/>
            <w:shd w:val="clear" w:color="auto" w:fill="C6EFCE"/>
            <w:noWrap/>
          </w:tcPr>
          <w:p w14:paraId="61F20F3F" w14:textId="77777777" w:rsidR="00A00259" w:rsidRDefault="00371282">
            <w:pPr>
              <w:pStyle w:val="P68B1DB1-Normal12"/>
              <w:spacing w:after="0" w:line="240" w:lineRule="auto"/>
              <w:rPr>
                <w:rFonts w:eastAsia="Times New Roman"/>
                <w:noProof/>
              </w:rPr>
            </w:pPr>
            <w:r>
              <w:rPr>
                <w:noProof/>
              </w:rPr>
              <w:t xml:space="preserve">3 - 1.3. Recharge et ravitaillement - 16831_Produc- E Green </w:t>
            </w:r>
          </w:p>
        </w:tc>
        <w:tc>
          <w:tcPr>
            <w:tcW w:w="992" w:type="dxa"/>
            <w:shd w:val="clear" w:color="auto" w:fill="C6EFCE"/>
            <w:noWrap/>
          </w:tcPr>
          <w:p w14:paraId="1E3FCCA4" w14:textId="77777777" w:rsidR="00A00259" w:rsidRDefault="00371282">
            <w:pPr>
              <w:pStyle w:val="P68B1DB1-Normal12"/>
              <w:spacing w:after="0" w:line="240" w:lineRule="auto"/>
              <w:rPr>
                <w:rFonts w:eastAsia="Times New Roman"/>
                <w:noProof/>
              </w:rPr>
            </w:pPr>
            <w:r>
              <w:rPr>
                <w:noProof/>
              </w:rPr>
              <w:t>Étape</w:t>
            </w:r>
          </w:p>
        </w:tc>
        <w:tc>
          <w:tcPr>
            <w:tcW w:w="1166" w:type="dxa"/>
            <w:shd w:val="clear" w:color="auto" w:fill="C6EFCE"/>
            <w:noWrap/>
          </w:tcPr>
          <w:p w14:paraId="109A6082" w14:textId="77777777" w:rsidR="00A00259" w:rsidRDefault="00371282">
            <w:pPr>
              <w:pStyle w:val="P68B1DB1-Normal12"/>
              <w:spacing w:after="0" w:line="240" w:lineRule="auto"/>
              <w:rPr>
                <w:rFonts w:eastAsia="Times New Roman"/>
                <w:noProof/>
              </w:rPr>
            </w:pPr>
            <w:r>
              <w:rPr>
                <w:noProof/>
              </w:rPr>
              <w:t>Unités industrielles – lancement du programme</w:t>
            </w:r>
          </w:p>
        </w:tc>
        <w:tc>
          <w:tcPr>
            <w:tcW w:w="2629" w:type="dxa"/>
            <w:shd w:val="clear" w:color="auto" w:fill="C6EFCE"/>
            <w:noWrap/>
          </w:tcPr>
          <w:p w14:paraId="0D752629" w14:textId="5173C89B" w:rsidR="00A00259" w:rsidRDefault="00371282">
            <w:pPr>
              <w:pStyle w:val="P68B1DB1-Normal12"/>
              <w:spacing w:after="0" w:line="240" w:lineRule="auto"/>
              <w:rPr>
                <w:rFonts w:eastAsia="Times New Roman"/>
                <w:noProof/>
              </w:rPr>
            </w:pPr>
            <w:r>
              <w:rPr>
                <w:noProof/>
              </w:rPr>
              <w:t>Entrée en vigueur de la ou des décisions ministérielles</w:t>
            </w:r>
          </w:p>
          <w:p w14:paraId="62459895" w14:textId="77777777" w:rsidR="00A00259" w:rsidRDefault="00A00259">
            <w:pPr>
              <w:spacing w:after="0" w:line="240" w:lineRule="auto"/>
              <w:rPr>
                <w:rFonts w:ascii="Times New Roman" w:eastAsia="Times New Roman" w:hAnsi="Times New Roman" w:cs="Times New Roman"/>
                <w:noProof/>
                <w:color w:val="006100"/>
                <w:sz w:val="18"/>
                <w:szCs w:val="18"/>
                <w:highlight w:val="yellow"/>
              </w:rPr>
            </w:pPr>
          </w:p>
        </w:tc>
        <w:tc>
          <w:tcPr>
            <w:tcW w:w="1460" w:type="dxa"/>
            <w:shd w:val="clear" w:color="auto" w:fill="C6EFCE"/>
            <w:noWrap/>
          </w:tcPr>
          <w:p w14:paraId="22FB73F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239D349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36" w:type="dxa"/>
            <w:shd w:val="clear" w:color="auto" w:fill="C6EFCE"/>
            <w:noWrap/>
          </w:tcPr>
          <w:p w14:paraId="60F70E2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00E68F5E"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2816A82C" w14:textId="77777777" w:rsidR="00A00259" w:rsidRDefault="00371282">
            <w:pPr>
              <w:pStyle w:val="P68B1DB1-Normal12"/>
              <w:spacing w:after="0" w:line="240" w:lineRule="auto"/>
              <w:rPr>
                <w:rFonts w:eastAsia="Times New Roman"/>
                <w:noProof/>
              </w:rPr>
            </w:pPr>
            <w:r>
              <w:rPr>
                <w:noProof/>
              </w:rPr>
              <w:t>2022</w:t>
            </w:r>
          </w:p>
        </w:tc>
        <w:tc>
          <w:tcPr>
            <w:tcW w:w="3191" w:type="dxa"/>
            <w:shd w:val="clear" w:color="auto" w:fill="C6EFCE"/>
            <w:noWrap/>
          </w:tcPr>
          <w:p w14:paraId="083E5B1C" w14:textId="77777777" w:rsidR="00A00259" w:rsidRDefault="00371282">
            <w:pPr>
              <w:pStyle w:val="P68B1DB1-Normal12"/>
              <w:spacing w:after="0" w:line="240" w:lineRule="auto"/>
              <w:rPr>
                <w:rFonts w:eastAsia="Times New Roman"/>
                <w:noProof/>
              </w:rPr>
            </w:pPr>
            <w:r>
              <w:rPr>
                <w:noProof/>
              </w:rPr>
              <w:t>Lancement du programme de sélection des unités industrielles et entrée en vigueur de la ou des décisions ministérielles pertinentes du ministère de l’environnement et de l’énergie établissant:</w:t>
            </w:r>
          </w:p>
          <w:p w14:paraId="5B39E5D9" w14:textId="77777777" w:rsidR="00A00259" w:rsidRDefault="00371282">
            <w:pPr>
              <w:pStyle w:val="P68B1DB1-Normal12"/>
              <w:spacing w:after="0" w:line="240" w:lineRule="auto"/>
              <w:rPr>
                <w:rFonts w:eastAsia="Times New Roman"/>
                <w:noProof/>
              </w:rPr>
            </w:pPr>
            <w:r>
              <w:rPr>
                <w:noProof/>
              </w:rPr>
              <w:t>- processus de sélection visant à cibler l’économie à faible intensité de carbone et la résilience au changement climatique;</w:t>
            </w:r>
          </w:p>
          <w:p w14:paraId="57339F84" w14:textId="77777777" w:rsidR="00A00259" w:rsidRDefault="00371282">
            <w:pPr>
              <w:pStyle w:val="P68B1DB1-Normal12"/>
              <w:spacing w:after="0" w:line="240" w:lineRule="auto"/>
              <w:rPr>
                <w:rFonts w:eastAsia="Times New Roman"/>
                <w:noProof/>
              </w:rPr>
            </w:pPr>
            <w:r>
              <w:rPr>
                <w:noProof/>
              </w:rPr>
              <w:t>- Définition du mécanisme de mise en œuvre;</w:t>
            </w:r>
          </w:p>
          <w:p w14:paraId="727B7FD7" w14:textId="77777777" w:rsidR="00A00259" w:rsidRDefault="00371282">
            <w:pPr>
              <w:pStyle w:val="P68B1DB1-Normal12"/>
              <w:spacing w:after="0" w:line="240" w:lineRule="auto"/>
              <w:rPr>
                <w:rFonts w:eastAsia="Times New Roman"/>
                <w:noProof/>
              </w:rPr>
            </w:pPr>
            <w:r>
              <w:rPr>
                <w:noProof/>
              </w:rPr>
              <w:t>- le(s) mécanisme(s) de certification permettant de valider que l’objectif en matière de changement climatique est atteint (y compris les détails des éventuelles mesures correctives, si nécessaire; et</w:t>
            </w:r>
          </w:p>
          <w:p w14:paraId="06E442BC" w14:textId="77777777" w:rsidR="00A00259" w:rsidRDefault="00371282">
            <w:pPr>
              <w:pStyle w:val="P68B1DB1-Normal12"/>
              <w:spacing w:after="0" w:line="240" w:lineRule="auto"/>
              <w:rPr>
                <w:rFonts w:eastAsia="Times New Roman"/>
                <w:noProof/>
              </w:rPr>
            </w:pPr>
            <w:r>
              <w:rPr>
                <w:noProof/>
              </w:rPr>
              <w:t>- Chronologie.</w:t>
            </w:r>
          </w:p>
          <w:p w14:paraId="7DE0E1DD" w14:textId="77777777" w:rsidR="00A00259" w:rsidRDefault="00A00259">
            <w:pPr>
              <w:spacing w:after="0" w:line="240" w:lineRule="auto"/>
              <w:rPr>
                <w:rFonts w:ascii="Times New Roman" w:eastAsia="Times New Roman" w:hAnsi="Times New Roman" w:cs="Times New Roman"/>
                <w:noProof/>
                <w:color w:val="006100"/>
                <w:sz w:val="18"/>
                <w:szCs w:val="18"/>
              </w:rPr>
            </w:pPr>
          </w:p>
          <w:p w14:paraId="3745C4A3" w14:textId="77777777" w:rsidR="00A00259" w:rsidRDefault="00371282">
            <w:pPr>
              <w:pStyle w:val="P68B1DB1-Normal12"/>
              <w:spacing w:after="0" w:line="240" w:lineRule="auto"/>
              <w:rPr>
                <w:rFonts w:eastAsia="Times New Roman"/>
                <w:noProof/>
              </w:rPr>
            </w:pPr>
            <w:r>
              <w:rPr>
                <w:noProof/>
              </w:rPr>
              <w:t>Les critères de sélection/d’éligibilité fixés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A00259" w14:paraId="683A8BAD" w14:textId="77777777">
        <w:trPr>
          <w:trHeight w:val="313"/>
          <w:jc w:val="center"/>
        </w:trPr>
        <w:tc>
          <w:tcPr>
            <w:tcW w:w="817" w:type="dxa"/>
            <w:shd w:val="clear" w:color="auto" w:fill="C6EFCE"/>
            <w:noWrap/>
          </w:tcPr>
          <w:p w14:paraId="201DC21C" w14:textId="77777777" w:rsidR="00A00259" w:rsidRDefault="00371282">
            <w:pPr>
              <w:pStyle w:val="P68B1DB1-Normal12"/>
              <w:spacing w:after="0" w:line="240" w:lineRule="auto"/>
              <w:rPr>
                <w:rFonts w:eastAsia="Times New Roman"/>
                <w:noProof/>
              </w:rPr>
            </w:pPr>
            <w:r>
              <w:rPr>
                <w:noProof/>
              </w:rPr>
              <w:t>47</w:t>
            </w:r>
          </w:p>
        </w:tc>
        <w:tc>
          <w:tcPr>
            <w:tcW w:w="1588" w:type="dxa"/>
            <w:shd w:val="clear" w:color="auto" w:fill="C6EFCE"/>
            <w:noWrap/>
          </w:tcPr>
          <w:p w14:paraId="30AC72FB" w14:textId="77777777" w:rsidR="00A00259" w:rsidRDefault="00371282">
            <w:pPr>
              <w:pStyle w:val="P68B1DB1-Normal12"/>
              <w:spacing w:after="0" w:line="240" w:lineRule="auto"/>
              <w:rPr>
                <w:rFonts w:eastAsia="Times New Roman"/>
                <w:noProof/>
              </w:rPr>
            </w:pPr>
            <w:r>
              <w:rPr>
                <w:noProof/>
              </w:rPr>
              <w:t>3 - 1.3. Recharge et ravitaillement - 16924_ Electromobility</w:t>
            </w:r>
          </w:p>
        </w:tc>
        <w:tc>
          <w:tcPr>
            <w:tcW w:w="992" w:type="dxa"/>
            <w:shd w:val="clear" w:color="auto" w:fill="C6EFCE"/>
            <w:noWrap/>
          </w:tcPr>
          <w:p w14:paraId="62C3D39C" w14:textId="77777777" w:rsidR="00A00259" w:rsidRDefault="00371282">
            <w:pPr>
              <w:pStyle w:val="P68B1DB1-Normal12"/>
              <w:spacing w:after="0" w:line="240" w:lineRule="auto"/>
              <w:rPr>
                <w:rFonts w:eastAsia="Times New Roman"/>
                <w:noProof/>
              </w:rPr>
            </w:pPr>
            <w:r>
              <w:rPr>
                <w:noProof/>
              </w:rPr>
              <w:t>Étape</w:t>
            </w:r>
          </w:p>
        </w:tc>
        <w:tc>
          <w:tcPr>
            <w:tcW w:w="1166" w:type="dxa"/>
            <w:shd w:val="clear" w:color="auto" w:fill="C6EFCE"/>
            <w:noWrap/>
          </w:tcPr>
          <w:p w14:paraId="0D99EC01" w14:textId="77777777" w:rsidR="00A00259" w:rsidRDefault="00371282">
            <w:pPr>
              <w:pStyle w:val="P68B1DB1-Normal12"/>
              <w:spacing w:after="0" w:line="240" w:lineRule="auto"/>
              <w:rPr>
                <w:rFonts w:eastAsia="Times New Roman"/>
                <w:noProof/>
              </w:rPr>
            </w:pPr>
            <w:r>
              <w:rPr>
                <w:noProof/>
              </w:rPr>
              <w:t xml:space="preserve"> Points de recharge pour véhicules électriques – lancement de programmes</w:t>
            </w:r>
          </w:p>
        </w:tc>
        <w:tc>
          <w:tcPr>
            <w:tcW w:w="2629" w:type="dxa"/>
            <w:shd w:val="clear" w:color="auto" w:fill="C6EFCE"/>
            <w:noWrap/>
          </w:tcPr>
          <w:p w14:paraId="64FF9E27" w14:textId="61E3D64C" w:rsidR="00A00259" w:rsidRDefault="00371282">
            <w:pPr>
              <w:pStyle w:val="P68B1DB1-Normal12"/>
              <w:spacing w:after="0" w:line="240" w:lineRule="auto"/>
              <w:rPr>
                <w:rFonts w:eastAsia="Times New Roman"/>
                <w:noProof/>
              </w:rPr>
            </w:pPr>
            <w:r>
              <w:rPr>
                <w:noProof/>
              </w:rPr>
              <w:t>Entrée en vigueur de la ou des décisions ministérielles</w:t>
            </w:r>
          </w:p>
          <w:p w14:paraId="3D633C6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460" w:type="dxa"/>
            <w:shd w:val="clear" w:color="auto" w:fill="C6EFCE"/>
            <w:noWrap/>
          </w:tcPr>
          <w:p w14:paraId="2311D78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7E86E74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36" w:type="dxa"/>
            <w:shd w:val="clear" w:color="auto" w:fill="C6EFCE"/>
            <w:noWrap/>
          </w:tcPr>
          <w:p w14:paraId="1864863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637C93CF"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3D3F6B21" w14:textId="77777777" w:rsidR="00A00259" w:rsidRDefault="00371282">
            <w:pPr>
              <w:pStyle w:val="P68B1DB1-Normal12"/>
              <w:spacing w:after="0" w:line="240" w:lineRule="auto"/>
              <w:rPr>
                <w:rFonts w:eastAsia="Times New Roman"/>
                <w:noProof/>
              </w:rPr>
            </w:pPr>
            <w:r>
              <w:rPr>
                <w:noProof/>
              </w:rPr>
              <w:t>2022</w:t>
            </w:r>
          </w:p>
        </w:tc>
        <w:tc>
          <w:tcPr>
            <w:tcW w:w="3191" w:type="dxa"/>
            <w:shd w:val="clear" w:color="auto" w:fill="C6EFCE"/>
            <w:noWrap/>
          </w:tcPr>
          <w:p w14:paraId="44FD9F4A" w14:textId="47E3B08D" w:rsidR="00A00259" w:rsidRDefault="00371282">
            <w:pPr>
              <w:pStyle w:val="P68B1DB1-Normal12"/>
              <w:spacing w:after="0" w:line="240" w:lineRule="auto"/>
              <w:rPr>
                <w:rFonts w:eastAsia="Times New Roman"/>
                <w:noProof/>
              </w:rPr>
            </w:pPr>
            <w:r>
              <w:rPr>
                <w:noProof/>
              </w:rPr>
              <w:t>Lancement d’un programme de sélection de plus de 8 000 bornes de recharge pour véhicules électriques accessibles au public dans des zones urbaines et suburbaines stratégiques à l’intérieur des villes et dans des points d’intérêt («électromobilité») et entrée en vigueur d’une ou de plusieurs décisions ministérielles pertinentes du ministère de l’environnement et de l’énergie établissant:</w:t>
            </w:r>
          </w:p>
          <w:p w14:paraId="50D4AC9A" w14:textId="77777777" w:rsidR="00A00259" w:rsidRDefault="00371282">
            <w:pPr>
              <w:pStyle w:val="P68B1DB1-Normal12"/>
              <w:spacing w:after="0" w:line="240" w:lineRule="auto"/>
              <w:rPr>
                <w:rFonts w:eastAsia="Times New Roman"/>
                <w:noProof/>
              </w:rPr>
            </w:pPr>
            <w:r>
              <w:rPr>
                <w:noProof/>
              </w:rPr>
              <w:t>- Processus de sélection;</w:t>
            </w:r>
          </w:p>
          <w:p w14:paraId="09EE7E2B" w14:textId="77777777" w:rsidR="00A00259" w:rsidRDefault="00371282">
            <w:pPr>
              <w:pStyle w:val="P68B1DB1-Normal12"/>
              <w:spacing w:after="0" w:line="240" w:lineRule="auto"/>
              <w:rPr>
                <w:rFonts w:eastAsia="Times New Roman"/>
                <w:noProof/>
              </w:rPr>
            </w:pPr>
            <w:r>
              <w:rPr>
                <w:noProof/>
              </w:rPr>
              <w:t>- Définition du mécanisme de mise en œuvre;</w:t>
            </w:r>
          </w:p>
          <w:p w14:paraId="1D6AF284" w14:textId="77777777" w:rsidR="00A00259" w:rsidRDefault="00371282">
            <w:pPr>
              <w:pStyle w:val="P68B1DB1-Normal12"/>
              <w:spacing w:after="0" w:line="240" w:lineRule="auto"/>
              <w:rPr>
                <w:rFonts w:eastAsia="Times New Roman"/>
                <w:noProof/>
              </w:rPr>
            </w:pPr>
            <w:r>
              <w:rPr>
                <w:noProof/>
              </w:rPr>
              <w:t>- le(s) mécanisme(s) de certification permettant de valider que l’objectif en matière de changement climatique est atteint (y compris les détails des éventuelles mesures correctives, si nécessaire; et</w:t>
            </w:r>
          </w:p>
          <w:p w14:paraId="2AE682F4" w14:textId="77777777" w:rsidR="00A00259" w:rsidRDefault="00371282">
            <w:pPr>
              <w:pStyle w:val="P68B1DB1-Normal12"/>
              <w:spacing w:after="0" w:line="240" w:lineRule="auto"/>
              <w:rPr>
                <w:rFonts w:eastAsia="Times New Roman"/>
                <w:noProof/>
              </w:rPr>
            </w:pPr>
            <w:r>
              <w:rPr>
                <w:noProof/>
              </w:rPr>
              <w:t>- Chronologie</w:t>
            </w:r>
          </w:p>
        </w:tc>
      </w:tr>
      <w:tr w:rsidR="00A00259" w14:paraId="60ACC744" w14:textId="77777777">
        <w:trPr>
          <w:trHeight w:val="313"/>
          <w:jc w:val="center"/>
        </w:trPr>
        <w:tc>
          <w:tcPr>
            <w:tcW w:w="817" w:type="dxa"/>
            <w:shd w:val="clear" w:color="auto" w:fill="C6EFCE"/>
            <w:noWrap/>
          </w:tcPr>
          <w:p w14:paraId="290D5F2A" w14:textId="77777777" w:rsidR="00A00259" w:rsidRDefault="00371282">
            <w:pPr>
              <w:pStyle w:val="P68B1DB1-Normal12"/>
              <w:spacing w:after="0" w:line="240" w:lineRule="auto"/>
              <w:rPr>
                <w:rFonts w:eastAsia="Times New Roman"/>
                <w:noProof/>
              </w:rPr>
            </w:pPr>
            <w:r>
              <w:rPr>
                <w:noProof/>
              </w:rPr>
              <w:t>48</w:t>
            </w:r>
          </w:p>
        </w:tc>
        <w:tc>
          <w:tcPr>
            <w:tcW w:w="1588" w:type="dxa"/>
            <w:shd w:val="clear" w:color="auto" w:fill="C6EFCE"/>
            <w:noWrap/>
          </w:tcPr>
          <w:p w14:paraId="010896A5" w14:textId="77777777" w:rsidR="00A00259" w:rsidRDefault="00371282">
            <w:pPr>
              <w:pStyle w:val="P68B1DB1-Normal12"/>
              <w:spacing w:after="0" w:line="240" w:lineRule="auto"/>
              <w:rPr>
                <w:rFonts w:eastAsia="Times New Roman"/>
                <w:noProof/>
              </w:rPr>
            </w:pPr>
            <w:r>
              <w:rPr>
                <w:noProof/>
              </w:rPr>
              <w:t>3 – 1.3. Recharge et ravitaillement - 16924_ Electromobility</w:t>
            </w:r>
          </w:p>
        </w:tc>
        <w:tc>
          <w:tcPr>
            <w:tcW w:w="992" w:type="dxa"/>
            <w:shd w:val="clear" w:color="auto" w:fill="C6EFCE"/>
            <w:noWrap/>
          </w:tcPr>
          <w:p w14:paraId="4187D6E3" w14:textId="77777777" w:rsidR="00A00259" w:rsidRDefault="00371282">
            <w:pPr>
              <w:pStyle w:val="P68B1DB1-Normal12"/>
              <w:spacing w:after="0" w:line="240" w:lineRule="auto"/>
              <w:rPr>
                <w:rFonts w:eastAsia="Times New Roman"/>
                <w:noProof/>
              </w:rPr>
            </w:pPr>
            <w:r>
              <w:rPr>
                <w:noProof/>
              </w:rPr>
              <w:t>Étape</w:t>
            </w:r>
          </w:p>
        </w:tc>
        <w:tc>
          <w:tcPr>
            <w:tcW w:w="1166" w:type="dxa"/>
            <w:shd w:val="clear" w:color="auto" w:fill="C6EFCE"/>
            <w:noWrap/>
          </w:tcPr>
          <w:p w14:paraId="134B9CFC" w14:textId="77777777" w:rsidR="00A00259" w:rsidRDefault="00371282">
            <w:pPr>
              <w:pStyle w:val="P68B1DB1-Normal12"/>
              <w:spacing w:after="0" w:line="240" w:lineRule="auto"/>
              <w:rPr>
                <w:rFonts w:eastAsia="Times New Roman"/>
                <w:noProof/>
              </w:rPr>
            </w:pPr>
            <w:r>
              <w:rPr>
                <w:noProof/>
              </w:rPr>
              <w:t>Transport durable – étude de faisabilité</w:t>
            </w:r>
          </w:p>
        </w:tc>
        <w:tc>
          <w:tcPr>
            <w:tcW w:w="2629" w:type="dxa"/>
            <w:shd w:val="clear" w:color="auto" w:fill="C6EFCE"/>
            <w:noWrap/>
          </w:tcPr>
          <w:p w14:paraId="56D2184F" w14:textId="26D508FF" w:rsidR="00A00259" w:rsidRDefault="00371282">
            <w:pPr>
              <w:pStyle w:val="P68B1DB1-Normal12"/>
              <w:spacing w:after="0" w:line="240" w:lineRule="auto"/>
              <w:rPr>
                <w:rFonts w:eastAsia="Times New Roman"/>
                <w:noProof/>
              </w:rPr>
            </w:pPr>
            <w:r>
              <w:rPr>
                <w:noProof/>
              </w:rPr>
              <w:t>Entrée en vigueur d'une décision ministérielle conjointe portant adoption de l'étude de faisabilité d'une agence de mobilité électronique</w:t>
            </w:r>
          </w:p>
        </w:tc>
        <w:tc>
          <w:tcPr>
            <w:tcW w:w="1460" w:type="dxa"/>
            <w:shd w:val="clear" w:color="auto" w:fill="C6EFCE"/>
            <w:noWrap/>
          </w:tcPr>
          <w:p w14:paraId="54FB615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AD2543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36" w:type="dxa"/>
            <w:shd w:val="clear" w:color="auto" w:fill="C6EFCE"/>
            <w:noWrap/>
          </w:tcPr>
          <w:p w14:paraId="01F5CDB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4DE202D4"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729369F0" w14:textId="77777777" w:rsidR="00A00259" w:rsidRDefault="00371282">
            <w:pPr>
              <w:pStyle w:val="P68B1DB1-Normal12"/>
              <w:spacing w:after="0" w:line="240" w:lineRule="auto"/>
              <w:rPr>
                <w:rFonts w:eastAsia="Times New Roman"/>
                <w:noProof/>
              </w:rPr>
            </w:pPr>
            <w:r>
              <w:rPr>
                <w:noProof/>
              </w:rPr>
              <w:t>2022</w:t>
            </w:r>
          </w:p>
        </w:tc>
        <w:tc>
          <w:tcPr>
            <w:tcW w:w="3191" w:type="dxa"/>
            <w:shd w:val="clear" w:color="auto" w:fill="C6EFCE"/>
            <w:noWrap/>
          </w:tcPr>
          <w:p w14:paraId="1C5414C0" w14:textId="77777777" w:rsidR="00A00259" w:rsidRDefault="00371282">
            <w:pPr>
              <w:pStyle w:val="P68B1DB1-Normal12"/>
              <w:spacing w:after="0" w:line="240" w:lineRule="auto"/>
              <w:rPr>
                <w:rFonts w:eastAsia="Times New Roman"/>
                <w:noProof/>
              </w:rPr>
            </w:pPr>
            <w:r>
              <w:rPr>
                <w:noProof/>
              </w:rPr>
              <w:t>Entrée en vigueur d'une décision ministérielle conjointe adoptant une étude de faisabilité pour la création d'une agence d'électromobilité qui assurera une planification et une coordination appropriées entre les infrastructures de transport et d'énergie, les gouvernements régionaux et locaux, et encouragera les liens entre la chaîne d'approvisionnement en ligne - y compris les producteurs de batteries et de SER - et la base de recherche et d'innovation.</w:t>
            </w:r>
          </w:p>
        </w:tc>
      </w:tr>
      <w:tr w:rsidR="00A00259" w14:paraId="66787F60" w14:textId="77777777">
        <w:trPr>
          <w:trHeight w:val="313"/>
          <w:jc w:val="center"/>
        </w:trPr>
        <w:tc>
          <w:tcPr>
            <w:tcW w:w="817" w:type="dxa"/>
            <w:shd w:val="clear" w:color="auto" w:fill="C6EFCE"/>
            <w:noWrap/>
          </w:tcPr>
          <w:p w14:paraId="5F655A69" w14:textId="77777777" w:rsidR="00A00259" w:rsidRDefault="00371282">
            <w:pPr>
              <w:pStyle w:val="P68B1DB1-Normal12"/>
              <w:spacing w:after="0" w:line="240" w:lineRule="auto"/>
              <w:rPr>
                <w:rFonts w:eastAsia="Times New Roman"/>
                <w:noProof/>
              </w:rPr>
            </w:pPr>
            <w:r>
              <w:rPr>
                <w:noProof/>
              </w:rPr>
              <w:t>50</w:t>
            </w:r>
          </w:p>
        </w:tc>
        <w:tc>
          <w:tcPr>
            <w:tcW w:w="1588" w:type="dxa"/>
            <w:shd w:val="clear" w:color="auto" w:fill="C6EFCE"/>
            <w:noWrap/>
          </w:tcPr>
          <w:p w14:paraId="4E4A5EC3" w14:textId="77777777" w:rsidR="00A00259" w:rsidRDefault="00371282">
            <w:pPr>
              <w:pStyle w:val="P68B1DB1-Normal12"/>
              <w:spacing w:after="0" w:line="240" w:lineRule="auto"/>
              <w:rPr>
                <w:rFonts w:eastAsia="Times New Roman"/>
                <w:noProof/>
              </w:rPr>
            </w:pPr>
            <w:r>
              <w:rPr>
                <w:noProof/>
              </w:rPr>
              <w:t>3 - 1.3. Recharge et ravitaillement - 16831_Produc- E Green</w:t>
            </w:r>
          </w:p>
        </w:tc>
        <w:tc>
          <w:tcPr>
            <w:tcW w:w="992" w:type="dxa"/>
            <w:shd w:val="clear" w:color="auto" w:fill="C6EFCE"/>
            <w:noWrap/>
          </w:tcPr>
          <w:p w14:paraId="162238E8" w14:textId="77777777" w:rsidR="00A00259" w:rsidRDefault="00371282">
            <w:pPr>
              <w:pStyle w:val="P68B1DB1-Normal12"/>
              <w:spacing w:after="0" w:line="240" w:lineRule="auto"/>
              <w:rPr>
                <w:rFonts w:eastAsia="Times New Roman"/>
                <w:noProof/>
              </w:rPr>
            </w:pPr>
            <w:r>
              <w:rPr>
                <w:noProof/>
              </w:rPr>
              <w:t>Étape</w:t>
            </w:r>
          </w:p>
        </w:tc>
        <w:tc>
          <w:tcPr>
            <w:tcW w:w="1166" w:type="dxa"/>
            <w:shd w:val="clear" w:color="auto" w:fill="C6EFCE"/>
            <w:noWrap/>
          </w:tcPr>
          <w:p w14:paraId="39EDDC7F" w14:textId="77777777" w:rsidR="00A00259" w:rsidRDefault="00371282">
            <w:pPr>
              <w:pStyle w:val="P68B1DB1-Normal12"/>
              <w:spacing w:after="0" w:line="240" w:lineRule="auto"/>
              <w:rPr>
                <w:rFonts w:eastAsia="Times New Roman"/>
                <w:noProof/>
              </w:rPr>
            </w:pPr>
            <w:r>
              <w:rPr>
                <w:noProof/>
              </w:rPr>
              <w:t>Unités industrielles — entreprises sélectionnées</w:t>
            </w:r>
          </w:p>
        </w:tc>
        <w:tc>
          <w:tcPr>
            <w:tcW w:w="2629" w:type="dxa"/>
            <w:shd w:val="clear" w:color="auto" w:fill="C6EFCE"/>
            <w:noWrap/>
          </w:tcPr>
          <w:p w14:paraId="7530C129" w14:textId="77777777" w:rsidR="00A00259" w:rsidRDefault="00371282">
            <w:pPr>
              <w:pStyle w:val="P68B1DB1-Normal12"/>
              <w:spacing w:after="0" w:line="240" w:lineRule="auto"/>
              <w:rPr>
                <w:rFonts w:eastAsia="Times New Roman"/>
                <w:noProof/>
              </w:rPr>
            </w:pPr>
            <w:r>
              <w:rPr>
                <w:noProof/>
              </w:rPr>
              <w:t>Approbation des demandes par le ministère de l’environnement et de l’énergie</w:t>
            </w:r>
          </w:p>
        </w:tc>
        <w:tc>
          <w:tcPr>
            <w:tcW w:w="1460" w:type="dxa"/>
            <w:shd w:val="clear" w:color="auto" w:fill="C6EFCE"/>
            <w:noWrap/>
          </w:tcPr>
          <w:p w14:paraId="6A6F379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7B51CE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36" w:type="dxa"/>
            <w:shd w:val="clear" w:color="auto" w:fill="C6EFCE"/>
            <w:noWrap/>
          </w:tcPr>
          <w:p w14:paraId="0A23DEA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1D229B98"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53B7DCA7" w14:textId="77777777" w:rsidR="00A00259" w:rsidRDefault="00371282">
            <w:pPr>
              <w:pStyle w:val="P68B1DB1-Normal12"/>
              <w:spacing w:after="0" w:line="240" w:lineRule="auto"/>
              <w:rPr>
                <w:rFonts w:eastAsia="Times New Roman"/>
                <w:noProof/>
              </w:rPr>
            </w:pPr>
            <w:r>
              <w:rPr>
                <w:noProof/>
              </w:rPr>
              <w:t>2023</w:t>
            </w:r>
          </w:p>
        </w:tc>
        <w:tc>
          <w:tcPr>
            <w:tcW w:w="3191" w:type="dxa"/>
            <w:shd w:val="clear" w:color="auto" w:fill="C6EFCE"/>
            <w:noWrap/>
          </w:tcPr>
          <w:p w14:paraId="4F98C29E" w14:textId="77777777" w:rsidR="00A00259" w:rsidRDefault="00371282">
            <w:pPr>
              <w:pStyle w:val="P68B1DB1-Normal12"/>
              <w:spacing w:after="0" w:line="240" w:lineRule="auto"/>
              <w:rPr>
                <w:rFonts w:eastAsia="Times New Roman"/>
                <w:noProof/>
              </w:rPr>
            </w:pPr>
            <w:r>
              <w:rPr>
                <w:noProof/>
              </w:rPr>
              <w:t>Approbation par le ministère de l'Environnement et de l'Énergie des demandes présentées pour plus de 10 unités industrielles («Produce E-Green»).</w:t>
            </w:r>
          </w:p>
          <w:p w14:paraId="326EF9F8" w14:textId="77777777" w:rsidR="00A00259" w:rsidRDefault="00371282">
            <w:pPr>
              <w:pStyle w:val="P68B1DB1-Normal12"/>
              <w:spacing w:after="0" w:line="240" w:lineRule="auto"/>
              <w:rPr>
                <w:rFonts w:eastAsia="Times New Roman"/>
                <w:noProof/>
              </w:rPr>
            </w:pPr>
            <w:r>
              <w:rPr>
                <w:noProof/>
              </w:rPr>
              <w:t>Les demandes sont sélectionnées conformément aux critères de sélection/d’éligibilité et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A00259" w14:paraId="0C0EC2D6" w14:textId="77777777">
        <w:trPr>
          <w:trHeight w:val="313"/>
          <w:jc w:val="center"/>
        </w:trPr>
        <w:tc>
          <w:tcPr>
            <w:tcW w:w="817" w:type="dxa"/>
            <w:shd w:val="clear" w:color="auto" w:fill="C6EFCE"/>
            <w:noWrap/>
          </w:tcPr>
          <w:p w14:paraId="37BB6F60" w14:textId="77777777" w:rsidR="00A00259" w:rsidRDefault="00371282">
            <w:pPr>
              <w:pStyle w:val="P68B1DB1-Normal12"/>
              <w:spacing w:after="0" w:line="240" w:lineRule="auto"/>
              <w:rPr>
                <w:rFonts w:eastAsia="Times New Roman"/>
                <w:noProof/>
              </w:rPr>
            </w:pPr>
            <w:r>
              <w:rPr>
                <w:noProof/>
              </w:rPr>
              <w:t>51</w:t>
            </w:r>
          </w:p>
        </w:tc>
        <w:tc>
          <w:tcPr>
            <w:tcW w:w="1588" w:type="dxa"/>
            <w:shd w:val="clear" w:color="auto" w:fill="C6EFCE"/>
            <w:noWrap/>
          </w:tcPr>
          <w:p w14:paraId="2CAC8620" w14:textId="77777777" w:rsidR="00A00259" w:rsidRDefault="00371282">
            <w:pPr>
              <w:pStyle w:val="P68B1DB1-Normal12"/>
              <w:spacing w:after="0" w:line="240" w:lineRule="auto"/>
              <w:rPr>
                <w:rFonts w:eastAsia="Times New Roman"/>
                <w:noProof/>
              </w:rPr>
            </w:pPr>
            <w:r>
              <w:rPr>
                <w:noProof/>
              </w:rPr>
              <w:t>3 - 1.3. Recharge et ravitaillement - 16831_Produc- E Green</w:t>
            </w:r>
          </w:p>
        </w:tc>
        <w:tc>
          <w:tcPr>
            <w:tcW w:w="992" w:type="dxa"/>
            <w:shd w:val="clear" w:color="auto" w:fill="C6EFCE"/>
            <w:noWrap/>
          </w:tcPr>
          <w:p w14:paraId="71A241B4" w14:textId="77777777" w:rsidR="00A00259" w:rsidRDefault="00371282">
            <w:pPr>
              <w:pStyle w:val="P68B1DB1-Normal12"/>
              <w:spacing w:after="0" w:line="240" w:lineRule="auto"/>
              <w:rPr>
                <w:rFonts w:eastAsia="Times New Roman"/>
                <w:noProof/>
              </w:rPr>
            </w:pPr>
            <w:r>
              <w:rPr>
                <w:noProof/>
              </w:rPr>
              <w:t>Étape</w:t>
            </w:r>
          </w:p>
        </w:tc>
        <w:tc>
          <w:tcPr>
            <w:tcW w:w="1166" w:type="dxa"/>
            <w:shd w:val="clear" w:color="auto" w:fill="C6EFCE"/>
            <w:noWrap/>
          </w:tcPr>
          <w:p w14:paraId="78BF8C8D" w14:textId="77777777" w:rsidR="00A00259" w:rsidRDefault="00371282">
            <w:pPr>
              <w:pStyle w:val="P68B1DB1-Normal12"/>
              <w:spacing w:after="0" w:line="240" w:lineRule="auto"/>
              <w:rPr>
                <w:rFonts w:eastAsia="Times New Roman"/>
                <w:noProof/>
              </w:rPr>
            </w:pPr>
            <w:r>
              <w:rPr>
                <w:noProof/>
              </w:rPr>
              <w:t>Captage et stockage du carbone (CSC) – autorisation de stockage</w:t>
            </w:r>
          </w:p>
        </w:tc>
        <w:tc>
          <w:tcPr>
            <w:tcW w:w="2629" w:type="dxa"/>
            <w:shd w:val="clear" w:color="auto" w:fill="C6EFCE"/>
            <w:noWrap/>
          </w:tcPr>
          <w:p w14:paraId="677FE84B" w14:textId="55C6EAFD" w:rsidR="00A00259" w:rsidRDefault="00371282">
            <w:pPr>
              <w:pStyle w:val="P68B1DB1-Normal12"/>
              <w:spacing w:after="0" w:line="240" w:lineRule="auto"/>
              <w:rPr>
                <w:rFonts w:eastAsia="Times New Roman"/>
                <w:noProof/>
              </w:rPr>
            </w:pPr>
            <w:r>
              <w:rPr>
                <w:noProof/>
              </w:rPr>
              <w:t>Délivrance du permis de stockage et mise en place d'un système de déclaration</w:t>
            </w:r>
          </w:p>
        </w:tc>
        <w:tc>
          <w:tcPr>
            <w:tcW w:w="1460" w:type="dxa"/>
            <w:shd w:val="clear" w:color="auto" w:fill="C6EFCE"/>
            <w:noWrap/>
          </w:tcPr>
          <w:p w14:paraId="30FF74D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53313B2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36" w:type="dxa"/>
            <w:shd w:val="clear" w:color="auto" w:fill="C6EFCE"/>
            <w:noWrap/>
          </w:tcPr>
          <w:p w14:paraId="22B7677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710821D4"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6006C2AA" w14:textId="77777777" w:rsidR="00A00259" w:rsidRDefault="00371282">
            <w:pPr>
              <w:pStyle w:val="P68B1DB1-Normal12"/>
              <w:spacing w:after="0" w:line="240" w:lineRule="auto"/>
              <w:rPr>
                <w:rFonts w:eastAsia="Times New Roman"/>
                <w:noProof/>
              </w:rPr>
            </w:pPr>
            <w:r>
              <w:rPr>
                <w:noProof/>
              </w:rPr>
              <w:t>2024</w:t>
            </w:r>
          </w:p>
        </w:tc>
        <w:tc>
          <w:tcPr>
            <w:tcW w:w="3191" w:type="dxa"/>
            <w:shd w:val="clear" w:color="auto" w:fill="C6EFCE"/>
            <w:noWrap/>
          </w:tcPr>
          <w:p w14:paraId="7E66EF50" w14:textId="77777777" w:rsidR="00A00259" w:rsidRDefault="00371282">
            <w:pPr>
              <w:pStyle w:val="P68B1DB1-Normal12"/>
              <w:spacing w:after="0" w:line="240" w:lineRule="auto"/>
              <w:rPr>
                <w:noProof/>
              </w:rPr>
            </w:pPr>
            <w:r>
              <w:rPr>
                <w:noProof/>
              </w:rPr>
              <w:t xml:space="preserve">Délivrance du permis de stockage par le ministère responsable du captage et du stockage du carbone (CSC) à l’opérateur confirmé. La capacité de l’installation de captage et de stockage du carbone a initialement un taux d’injection de CO2 d’un million de tonnes par an et fournit une capacité d’au moins 20 ans. Soumission d'une demande complète au ministère de l'Environnement et de l'Énergie par le demandeur, qui comprendrait toutes les études pertinentes ainsi qu'une étude d'évaluation des incidences sur l'environnement. </w:t>
            </w:r>
          </w:p>
          <w:p w14:paraId="4DF7BE0F" w14:textId="77777777" w:rsidR="00A00259" w:rsidRDefault="00371282">
            <w:pPr>
              <w:pStyle w:val="P68B1DB1-Normal12"/>
              <w:spacing w:after="0" w:line="240" w:lineRule="auto"/>
              <w:rPr>
                <w:rFonts w:eastAsia="Times New Roman"/>
                <w:noProof/>
              </w:rPr>
            </w:pPr>
            <w:r>
              <w:rPr>
                <w:noProof/>
              </w:rPr>
              <w:t>Mise en place d’un système de déclaration pour la déclaration annuelle du CO</w:t>
            </w:r>
            <w:r>
              <w:rPr>
                <w:noProof/>
                <w:vertAlign w:val="subscript"/>
              </w:rPr>
              <w:t xml:space="preserve"> 2</w:t>
            </w:r>
            <w:r>
              <w:rPr>
                <w:noProof/>
              </w:rPr>
              <w:t xml:space="preserve"> stocké et confirmation de l’absence d’extraction d’huile, autre que celle limitée aux besoins indispensables de gestion de la pression et d’assurance de la sécurité des sites de stockage, et que tout procédé CO</w:t>
            </w:r>
            <w:r>
              <w:rPr>
                <w:noProof/>
                <w:vertAlign w:val="subscript"/>
              </w:rPr>
              <w:t xml:space="preserve"> 2</w:t>
            </w:r>
            <w:r>
              <w:rPr>
                <w:noProof/>
              </w:rPr>
              <w:t xml:space="preserve"> associé à l’extraction indispensable doit être séparé et réalimenté en vue d’un stockage permanent.</w:t>
            </w:r>
          </w:p>
          <w:p w14:paraId="344311CD" w14:textId="77777777" w:rsidR="00A00259" w:rsidRDefault="00371282">
            <w:pPr>
              <w:pStyle w:val="P68B1DB1-Normal12"/>
              <w:spacing w:after="0" w:line="240" w:lineRule="auto"/>
              <w:rPr>
                <w:rFonts w:eastAsia="Times New Roman"/>
                <w:noProof/>
              </w:rPr>
            </w:pPr>
            <w:r>
              <w:rPr>
                <w:noProof/>
              </w:rPr>
              <w:t>L’installation de captage et de stockage du carbone fonctionne sans recourir à des activités commerciales d’extraction ou de récupération du pétrole à partir des horizons du réservoir où l’injection de CO2 a lieu. En outre, le captage et le stockage du carbone doivent également être conformes à l’exigence selon laquelle il ne doit y avoir aucune application technologique, ni aucun type d’installations et d’équipements conçus en vue d’une application de récupération assistée du pétrole (REP) et d’une augmentation de la production de pétrole. Il convient de veiller à ce que toute extraction éventuelle de pétrole ou de gaz soit limitée aux besoins indispensables de la gestion de la pression et de la sécurité des sites de stockage et à ce que cette extraction ne soit effectuée que si elle est indispensable pour assurer le stockage en toute sécurité du CO</w:t>
            </w:r>
            <w:r>
              <w:rPr>
                <w:noProof/>
                <w:vertAlign w:val="subscript"/>
              </w:rPr>
              <w:t xml:space="preserve"> 2.</w:t>
            </w:r>
            <w:r>
              <w:rPr>
                <w:noProof/>
              </w:rPr>
              <w:t xml:space="preserve"> Le CO</w:t>
            </w:r>
            <w:r>
              <w:rPr>
                <w:noProof/>
                <w:vertAlign w:val="subscript"/>
              </w:rPr>
              <w:t xml:space="preserve"> 2</w:t>
            </w:r>
            <w:r>
              <w:rPr>
                <w:noProof/>
              </w:rPr>
              <w:t xml:space="preserve"> avec tout pétrole ou gaz pouvant être extrait doit être séparé et réalimenté en vue d'un stockage permanent.</w:t>
            </w:r>
          </w:p>
        </w:tc>
      </w:tr>
      <w:tr w:rsidR="00A00259" w14:paraId="3263F0BF" w14:textId="77777777">
        <w:trPr>
          <w:trHeight w:val="313"/>
          <w:jc w:val="center"/>
        </w:trPr>
        <w:tc>
          <w:tcPr>
            <w:tcW w:w="817" w:type="dxa"/>
            <w:shd w:val="clear" w:color="auto" w:fill="C6EFCE"/>
            <w:noWrap/>
          </w:tcPr>
          <w:p w14:paraId="2D554BA8" w14:textId="77777777" w:rsidR="00A00259" w:rsidRDefault="00371282">
            <w:pPr>
              <w:pStyle w:val="P68B1DB1-Normal12"/>
              <w:spacing w:after="0" w:line="240" w:lineRule="auto"/>
              <w:rPr>
                <w:rFonts w:eastAsia="Times New Roman"/>
                <w:noProof/>
              </w:rPr>
            </w:pPr>
            <w:r>
              <w:rPr>
                <w:noProof/>
              </w:rPr>
              <w:t>45 bis</w:t>
            </w:r>
          </w:p>
        </w:tc>
        <w:tc>
          <w:tcPr>
            <w:tcW w:w="1588" w:type="dxa"/>
            <w:shd w:val="clear" w:color="auto" w:fill="C6EFCE"/>
            <w:noWrap/>
          </w:tcPr>
          <w:p w14:paraId="3C44438C" w14:textId="77777777" w:rsidR="00A00259" w:rsidRDefault="00371282">
            <w:pPr>
              <w:pStyle w:val="P68B1DB1-Normal12"/>
              <w:spacing w:after="0" w:line="240" w:lineRule="auto"/>
              <w:rPr>
                <w:rFonts w:eastAsia="Times New Roman"/>
                <w:noProof/>
              </w:rPr>
            </w:pPr>
            <w:r>
              <w:rPr>
                <w:noProof/>
              </w:rPr>
              <w:t xml:space="preserve">3 - 1.3. Recharge et ravitaillement – </w:t>
            </w:r>
          </w:p>
          <w:p w14:paraId="21E031B2" w14:textId="77777777" w:rsidR="00A00259" w:rsidRDefault="00371282">
            <w:pPr>
              <w:pStyle w:val="P68B1DB1-Normal12"/>
              <w:spacing w:after="0" w:line="240" w:lineRule="auto"/>
              <w:rPr>
                <w:rFonts w:eastAsia="Times New Roman"/>
                <w:noProof/>
              </w:rPr>
            </w:pPr>
            <w:r>
              <w:rPr>
                <w:noProof/>
              </w:rPr>
              <w:t>16924_ Électromobilité</w:t>
            </w:r>
          </w:p>
        </w:tc>
        <w:tc>
          <w:tcPr>
            <w:tcW w:w="992" w:type="dxa"/>
            <w:shd w:val="clear" w:color="auto" w:fill="C6EFCE"/>
            <w:noWrap/>
          </w:tcPr>
          <w:p w14:paraId="30DF395B" w14:textId="77777777" w:rsidR="00A00259" w:rsidRDefault="00371282">
            <w:pPr>
              <w:pStyle w:val="P68B1DB1-Normal12"/>
              <w:spacing w:after="0" w:line="240" w:lineRule="auto"/>
              <w:rPr>
                <w:rFonts w:eastAsia="Times New Roman"/>
                <w:noProof/>
              </w:rPr>
            </w:pPr>
            <w:r>
              <w:rPr>
                <w:noProof/>
              </w:rPr>
              <w:t>Étape</w:t>
            </w:r>
          </w:p>
        </w:tc>
        <w:tc>
          <w:tcPr>
            <w:tcW w:w="1166" w:type="dxa"/>
            <w:shd w:val="clear" w:color="auto" w:fill="C6EFCE"/>
            <w:noWrap/>
          </w:tcPr>
          <w:p w14:paraId="7EA81AAB" w14:textId="77777777" w:rsidR="00A00259" w:rsidRDefault="00371282">
            <w:pPr>
              <w:pStyle w:val="P68B1DB1-Normal12"/>
              <w:spacing w:after="0" w:line="240" w:lineRule="auto"/>
              <w:rPr>
                <w:rFonts w:eastAsia="Times New Roman"/>
                <w:noProof/>
              </w:rPr>
            </w:pPr>
            <w:r>
              <w:rPr>
                <w:noProof/>
              </w:rPr>
              <w:t>Bus de transport public - publication des appels d'offres pour les régions</w:t>
            </w:r>
          </w:p>
        </w:tc>
        <w:tc>
          <w:tcPr>
            <w:tcW w:w="2629" w:type="dxa"/>
            <w:shd w:val="clear" w:color="auto" w:fill="C6EFCE"/>
            <w:noWrap/>
          </w:tcPr>
          <w:p w14:paraId="1213FE52" w14:textId="4B31C945" w:rsidR="00A00259" w:rsidRDefault="00371282">
            <w:pPr>
              <w:pStyle w:val="P68B1DB1-Normal12"/>
              <w:spacing w:after="0" w:line="240" w:lineRule="auto"/>
              <w:rPr>
                <w:rFonts w:eastAsia="Times New Roman"/>
                <w:noProof/>
              </w:rPr>
            </w:pPr>
            <w:r>
              <w:rPr>
                <w:noProof/>
              </w:rPr>
              <w:t>Publication des appels d'offres pour les régions</w:t>
            </w:r>
          </w:p>
        </w:tc>
        <w:tc>
          <w:tcPr>
            <w:tcW w:w="1460" w:type="dxa"/>
            <w:shd w:val="clear" w:color="auto" w:fill="C6EFCE"/>
            <w:noWrap/>
          </w:tcPr>
          <w:p w14:paraId="24104E5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209AC63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36" w:type="dxa"/>
            <w:shd w:val="clear" w:color="auto" w:fill="C6EFCE"/>
            <w:noWrap/>
          </w:tcPr>
          <w:p w14:paraId="6CB3C91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483609F0" w14:textId="77777777" w:rsidR="00A00259" w:rsidRDefault="00371282">
            <w:pPr>
              <w:pStyle w:val="P68B1DB1-Normal12"/>
              <w:spacing w:after="0" w:line="240" w:lineRule="auto"/>
              <w:rPr>
                <w:rFonts w:eastAsia="Times New Roman"/>
                <w:noProof/>
              </w:rPr>
            </w:pPr>
            <w:r>
              <w:rPr>
                <w:noProof/>
              </w:rPr>
              <w:t>T2</w:t>
            </w:r>
          </w:p>
        </w:tc>
        <w:tc>
          <w:tcPr>
            <w:tcW w:w="709" w:type="dxa"/>
            <w:shd w:val="clear" w:color="auto" w:fill="C6EFCE"/>
            <w:noWrap/>
          </w:tcPr>
          <w:p w14:paraId="5C2817D3" w14:textId="77777777" w:rsidR="00A00259" w:rsidRDefault="00371282">
            <w:pPr>
              <w:pStyle w:val="P68B1DB1-Normal12"/>
              <w:spacing w:after="0" w:line="240" w:lineRule="auto"/>
              <w:rPr>
                <w:rFonts w:eastAsia="Times New Roman"/>
                <w:noProof/>
              </w:rPr>
            </w:pPr>
            <w:r>
              <w:rPr>
                <w:noProof/>
              </w:rPr>
              <w:t>2025</w:t>
            </w:r>
          </w:p>
        </w:tc>
        <w:tc>
          <w:tcPr>
            <w:tcW w:w="3191" w:type="dxa"/>
            <w:shd w:val="clear" w:color="auto" w:fill="C6EFCE"/>
            <w:noWrap/>
          </w:tcPr>
          <w:p w14:paraId="0926D91D" w14:textId="00C4BFAD" w:rsidR="00A00259" w:rsidRDefault="00371282">
            <w:pPr>
              <w:pStyle w:val="P68B1DB1-Normal12"/>
              <w:spacing w:after="0" w:line="240" w:lineRule="auto"/>
              <w:rPr>
                <w:rFonts w:eastAsia="Times New Roman"/>
                <w:noProof/>
              </w:rPr>
            </w:pPr>
            <w:r>
              <w:rPr>
                <w:noProof/>
              </w:rPr>
              <w:t>Les appels d'offres pour 12 régions seront lancés de manière échelonnée. Chaque appel lancé donnera lieu à un maximum de deux contrats par région: a) un marché pour le réseau interurbain (longue distance), sauf dans les régions de l'Attique et de la mer Égée méridionale, où deux marchés au maximum pourraient être attribués; et/ou b) un contrat pour le réseau urbain.</w:t>
            </w:r>
          </w:p>
        </w:tc>
      </w:tr>
      <w:tr w:rsidR="00A00259" w14:paraId="383057AB" w14:textId="77777777">
        <w:trPr>
          <w:trHeight w:val="313"/>
          <w:jc w:val="center"/>
        </w:trPr>
        <w:tc>
          <w:tcPr>
            <w:tcW w:w="817" w:type="dxa"/>
            <w:shd w:val="clear" w:color="auto" w:fill="C6EFCE"/>
            <w:noWrap/>
          </w:tcPr>
          <w:p w14:paraId="3F17A69B" w14:textId="77777777" w:rsidR="00A00259" w:rsidRDefault="00371282">
            <w:pPr>
              <w:pStyle w:val="P68B1DB1-Normal12"/>
              <w:spacing w:after="0" w:line="240" w:lineRule="auto"/>
              <w:rPr>
                <w:rFonts w:eastAsia="Times New Roman"/>
                <w:noProof/>
              </w:rPr>
            </w:pPr>
            <w:r>
              <w:rPr>
                <w:noProof/>
              </w:rPr>
              <w:t>52</w:t>
            </w:r>
          </w:p>
        </w:tc>
        <w:tc>
          <w:tcPr>
            <w:tcW w:w="1588" w:type="dxa"/>
            <w:shd w:val="clear" w:color="auto" w:fill="C6EFCE"/>
            <w:noWrap/>
          </w:tcPr>
          <w:p w14:paraId="095F4C46" w14:textId="77777777" w:rsidR="00A00259" w:rsidRDefault="00371282">
            <w:pPr>
              <w:pStyle w:val="P68B1DB1-Normal12"/>
              <w:spacing w:after="0" w:line="240" w:lineRule="auto"/>
              <w:rPr>
                <w:rFonts w:eastAsia="Times New Roman"/>
                <w:noProof/>
              </w:rPr>
            </w:pPr>
            <w:r>
              <w:rPr>
                <w:noProof/>
              </w:rPr>
              <w:t>3 - 1.3. Recharge et ravitaillement - 16924_ Electromobility</w:t>
            </w:r>
          </w:p>
        </w:tc>
        <w:tc>
          <w:tcPr>
            <w:tcW w:w="992" w:type="dxa"/>
            <w:shd w:val="clear" w:color="auto" w:fill="C6EFCE"/>
            <w:noWrap/>
          </w:tcPr>
          <w:p w14:paraId="27FDC33E" w14:textId="77777777" w:rsidR="00A00259" w:rsidRDefault="00371282">
            <w:pPr>
              <w:pStyle w:val="P68B1DB1-Normal12"/>
              <w:spacing w:after="0" w:line="240" w:lineRule="auto"/>
              <w:rPr>
                <w:rFonts w:eastAsia="Times New Roman"/>
                <w:noProof/>
              </w:rPr>
            </w:pPr>
            <w:r>
              <w:rPr>
                <w:noProof/>
              </w:rPr>
              <w:t>Objectif</w:t>
            </w:r>
          </w:p>
        </w:tc>
        <w:tc>
          <w:tcPr>
            <w:tcW w:w="1166" w:type="dxa"/>
            <w:shd w:val="clear" w:color="auto" w:fill="C6EFCE"/>
            <w:noWrap/>
          </w:tcPr>
          <w:p w14:paraId="4D37E2A3" w14:textId="41AAE590" w:rsidR="00A00259" w:rsidRDefault="00371282">
            <w:pPr>
              <w:pStyle w:val="P68B1DB1-Normal12"/>
              <w:spacing w:after="0" w:line="240" w:lineRule="auto"/>
              <w:rPr>
                <w:rFonts w:eastAsia="Times New Roman"/>
                <w:noProof/>
              </w:rPr>
            </w:pPr>
            <w:r>
              <w:rPr>
                <w:noProof/>
              </w:rPr>
              <w:t>Autobus – remplacement par des autobus électriques et entrée en vigueur des dispositions juridiques relatives à la propriété de l’Organisation des transports urbains de Thessalonique (OASTH)</w:t>
            </w:r>
          </w:p>
        </w:tc>
        <w:tc>
          <w:tcPr>
            <w:tcW w:w="2629" w:type="dxa"/>
            <w:shd w:val="clear" w:color="auto" w:fill="C6EFCE"/>
            <w:noWrap/>
          </w:tcPr>
          <w:p w14:paraId="73FE5B2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460" w:type="dxa"/>
            <w:shd w:val="clear" w:color="auto" w:fill="C6EFCE"/>
            <w:noWrap/>
          </w:tcPr>
          <w:p w14:paraId="7FFB11F9" w14:textId="77777777" w:rsidR="00A00259" w:rsidRDefault="00371282">
            <w:pPr>
              <w:pStyle w:val="P68B1DB1-Normal12"/>
              <w:spacing w:after="0" w:line="240" w:lineRule="auto"/>
              <w:rPr>
                <w:rFonts w:eastAsia="Times New Roman"/>
                <w:noProof/>
              </w:rPr>
            </w:pPr>
            <w:r>
              <w:rPr>
                <w:noProof/>
              </w:rPr>
              <w:t>Nombre de nouveaux bus électriques à batterie</w:t>
            </w:r>
          </w:p>
        </w:tc>
        <w:tc>
          <w:tcPr>
            <w:tcW w:w="857" w:type="dxa"/>
            <w:shd w:val="clear" w:color="auto" w:fill="C6EFCE"/>
            <w:noWrap/>
          </w:tcPr>
          <w:p w14:paraId="5DED6994" w14:textId="77777777" w:rsidR="00A00259" w:rsidRDefault="00371282">
            <w:pPr>
              <w:pStyle w:val="P68B1DB1-Normal12"/>
              <w:spacing w:after="0" w:line="240" w:lineRule="auto"/>
              <w:rPr>
                <w:rFonts w:eastAsia="Times New Roman"/>
                <w:noProof/>
              </w:rPr>
            </w:pPr>
            <w:r>
              <w:rPr>
                <w:noProof/>
              </w:rPr>
              <w:t>0</w:t>
            </w:r>
          </w:p>
        </w:tc>
        <w:tc>
          <w:tcPr>
            <w:tcW w:w="936" w:type="dxa"/>
            <w:shd w:val="clear" w:color="auto" w:fill="C6EFCE"/>
            <w:noWrap/>
          </w:tcPr>
          <w:p w14:paraId="77F830CC" w14:textId="77777777" w:rsidR="00A00259" w:rsidRDefault="00371282">
            <w:pPr>
              <w:pStyle w:val="P68B1DB1-Normal12"/>
              <w:spacing w:after="0" w:line="240" w:lineRule="auto"/>
              <w:rPr>
                <w:rFonts w:eastAsia="Times New Roman"/>
                <w:noProof/>
              </w:rPr>
            </w:pPr>
            <w:r>
              <w:rPr>
                <w:noProof/>
              </w:rPr>
              <w:t>425</w:t>
            </w:r>
          </w:p>
        </w:tc>
        <w:tc>
          <w:tcPr>
            <w:tcW w:w="846" w:type="dxa"/>
            <w:shd w:val="clear" w:color="auto" w:fill="C6EFCE"/>
            <w:noWrap/>
          </w:tcPr>
          <w:p w14:paraId="077500BE"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2EAA2B9A" w14:textId="77777777" w:rsidR="00A00259" w:rsidRDefault="00371282">
            <w:pPr>
              <w:pStyle w:val="P68B1DB1-Normal12"/>
              <w:spacing w:after="0" w:line="240" w:lineRule="auto"/>
              <w:rPr>
                <w:rFonts w:eastAsia="Times New Roman"/>
                <w:noProof/>
              </w:rPr>
            </w:pPr>
            <w:r>
              <w:rPr>
                <w:noProof/>
              </w:rPr>
              <w:t>2025</w:t>
            </w:r>
          </w:p>
        </w:tc>
        <w:tc>
          <w:tcPr>
            <w:tcW w:w="3191" w:type="dxa"/>
            <w:shd w:val="clear" w:color="auto" w:fill="C6EFCE"/>
            <w:noWrap/>
          </w:tcPr>
          <w:p w14:paraId="51577DB9" w14:textId="77777777" w:rsidR="00A00259" w:rsidRDefault="00371282">
            <w:pPr>
              <w:pStyle w:val="P68B1DB1-Normal12"/>
              <w:spacing w:after="0" w:line="240" w:lineRule="auto"/>
              <w:rPr>
                <w:noProof/>
              </w:rPr>
            </w:pPr>
            <w:r>
              <w:rPr>
                <w:noProof/>
              </w:rPr>
              <w:t>La livraison de 425 nouveaux bus électriques et de 425 anciens bus a été retirée de la circulation.</w:t>
            </w:r>
          </w:p>
          <w:p w14:paraId="247F06B0" w14:textId="55B3EE81" w:rsidR="00A00259" w:rsidRDefault="00371282">
            <w:pPr>
              <w:pStyle w:val="P68B1DB1-Normal23"/>
              <w:spacing w:after="0" w:line="240" w:lineRule="auto"/>
              <w:rPr>
                <w:noProof/>
              </w:rPr>
            </w:pPr>
            <w:r>
              <w:rPr>
                <w:noProof/>
              </w:rPr>
              <w:t>Entrée en vigueur de dispositions légales transférant la propriété majoritaire de l’Organisation des transports urbains de Thessalonique (OASTH) à l’autorité des transports de Thessalonique S.A. (OSETH) permettant à OSETH d’attribuer directement le contrat de service public pour les services réguliers de transport par autobus dans la région urbaine de Thessalonique conformément à l’article 5, paragraphe 2, du règlement no 1370/2007 relatif aux OSP dans le Land.</w:t>
            </w:r>
          </w:p>
        </w:tc>
      </w:tr>
      <w:tr w:rsidR="00A00259" w14:paraId="484849E9" w14:textId="77777777">
        <w:trPr>
          <w:trHeight w:val="313"/>
          <w:jc w:val="center"/>
        </w:trPr>
        <w:tc>
          <w:tcPr>
            <w:tcW w:w="817" w:type="dxa"/>
            <w:shd w:val="clear" w:color="auto" w:fill="C6EFCE"/>
            <w:noWrap/>
          </w:tcPr>
          <w:p w14:paraId="31A00AC5" w14:textId="77777777" w:rsidR="00A00259" w:rsidRDefault="00371282">
            <w:pPr>
              <w:pStyle w:val="P68B1DB1-Normal12"/>
              <w:spacing w:after="0" w:line="240" w:lineRule="auto"/>
              <w:rPr>
                <w:rFonts w:eastAsia="Times New Roman"/>
                <w:noProof/>
              </w:rPr>
            </w:pPr>
            <w:r>
              <w:rPr>
                <w:noProof/>
              </w:rPr>
              <w:t>53</w:t>
            </w:r>
          </w:p>
        </w:tc>
        <w:tc>
          <w:tcPr>
            <w:tcW w:w="1588" w:type="dxa"/>
            <w:shd w:val="clear" w:color="auto" w:fill="C6EFCE"/>
            <w:noWrap/>
          </w:tcPr>
          <w:p w14:paraId="63CA04A0" w14:textId="77777777" w:rsidR="00A00259" w:rsidRDefault="00371282">
            <w:pPr>
              <w:pStyle w:val="P68B1DB1-Normal12"/>
              <w:spacing w:after="0" w:line="240" w:lineRule="auto"/>
              <w:rPr>
                <w:rFonts w:eastAsia="Times New Roman"/>
                <w:noProof/>
              </w:rPr>
            </w:pPr>
            <w:r>
              <w:rPr>
                <w:noProof/>
              </w:rPr>
              <w:t>3 - 1.3. Recharge et ravitaillement - 16831_Produc- E Green</w:t>
            </w:r>
          </w:p>
        </w:tc>
        <w:tc>
          <w:tcPr>
            <w:tcW w:w="992" w:type="dxa"/>
            <w:shd w:val="clear" w:color="auto" w:fill="C6EFCE"/>
            <w:noWrap/>
          </w:tcPr>
          <w:p w14:paraId="58205EE4" w14:textId="77777777" w:rsidR="00A00259" w:rsidRDefault="00371282">
            <w:pPr>
              <w:pStyle w:val="P68B1DB1-Normal12"/>
              <w:spacing w:after="0" w:line="240" w:lineRule="auto"/>
              <w:rPr>
                <w:rFonts w:eastAsia="Times New Roman"/>
                <w:noProof/>
              </w:rPr>
            </w:pPr>
            <w:r>
              <w:rPr>
                <w:noProof/>
              </w:rPr>
              <w:t>Étape</w:t>
            </w:r>
          </w:p>
        </w:tc>
        <w:tc>
          <w:tcPr>
            <w:tcW w:w="1166" w:type="dxa"/>
            <w:shd w:val="clear" w:color="auto" w:fill="C6EFCE"/>
            <w:noWrap/>
          </w:tcPr>
          <w:p w14:paraId="6CE538D4" w14:textId="3D2D1D99" w:rsidR="00A00259" w:rsidRDefault="00371282">
            <w:pPr>
              <w:pStyle w:val="P68B1DB1-Normal12"/>
              <w:spacing w:after="0" w:line="240" w:lineRule="auto"/>
              <w:rPr>
                <w:rFonts w:eastAsia="Times New Roman"/>
                <w:noProof/>
              </w:rPr>
            </w:pPr>
            <w:r>
              <w:rPr>
                <w:noProof/>
              </w:rPr>
              <w:t>CSC – Plateforme et approbation des autorisations</w:t>
            </w:r>
          </w:p>
        </w:tc>
        <w:tc>
          <w:tcPr>
            <w:tcW w:w="2629" w:type="dxa"/>
            <w:shd w:val="clear" w:color="auto" w:fill="C6EFCE"/>
            <w:noWrap/>
          </w:tcPr>
          <w:p w14:paraId="30C1FB5A" w14:textId="2C61319B" w:rsidR="00A00259" w:rsidRDefault="00371282">
            <w:pPr>
              <w:pStyle w:val="P68B1DB1-Normal12"/>
              <w:spacing w:after="0" w:line="240" w:lineRule="auto"/>
              <w:rPr>
                <w:rFonts w:eastAsia="Times New Roman"/>
                <w:noProof/>
              </w:rPr>
            </w:pPr>
            <w:r>
              <w:rPr>
                <w:noProof/>
              </w:rPr>
              <w:t>Achat de la plateforme OMEGA et délivrance de permis d'installation et d'environnement</w:t>
            </w:r>
          </w:p>
        </w:tc>
        <w:tc>
          <w:tcPr>
            <w:tcW w:w="1460" w:type="dxa"/>
            <w:shd w:val="clear" w:color="auto" w:fill="C6EFCE"/>
            <w:noWrap/>
          </w:tcPr>
          <w:p w14:paraId="1CD4798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1E47BF2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36" w:type="dxa"/>
            <w:shd w:val="clear" w:color="auto" w:fill="C6EFCE"/>
            <w:noWrap/>
          </w:tcPr>
          <w:p w14:paraId="417C5BE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5ADFBED5"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54A8D781" w14:textId="77777777" w:rsidR="00A00259" w:rsidRDefault="00371282">
            <w:pPr>
              <w:pStyle w:val="P68B1DB1-Normal12"/>
              <w:spacing w:after="0" w:line="240" w:lineRule="auto"/>
              <w:rPr>
                <w:rFonts w:eastAsia="Times New Roman"/>
                <w:noProof/>
              </w:rPr>
            </w:pPr>
            <w:r>
              <w:rPr>
                <w:noProof/>
              </w:rPr>
              <w:t>2025</w:t>
            </w:r>
          </w:p>
        </w:tc>
        <w:tc>
          <w:tcPr>
            <w:tcW w:w="3191" w:type="dxa"/>
            <w:shd w:val="clear" w:color="auto" w:fill="C6EFCE"/>
            <w:noWrap/>
          </w:tcPr>
          <w:p w14:paraId="63C7DB98" w14:textId="3E07BD6C" w:rsidR="00A00259" w:rsidRDefault="00371282">
            <w:pPr>
              <w:pStyle w:val="P68B1DB1-Normal12"/>
              <w:spacing w:after="0" w:line="240" w:lineRule="auto"/>
              <w:rPr>
                <w:noProof/>
              </w:rPr>
            </w:pPr>
            <w:r>
              <w:rPr>
                <w:noProof/>
              </w:rPr>
              <w:t>a) Achat de la plate-forme OMEGA, comprenant la structure de la veste (y compris les élingues de levage et la plate-forme de gréement), un tablier de cave, un tablier de mezzanine, un tablier de production et un tablier de forage.</w:t>
            </w:r>
          </w:p>
          <w:p w14:paraId="6C605FCE" w14:textId="1AB3BE2C" w:rsidR="00A00259" w:rsidRDefault="00371282">
            <w:pPr>
              <w:pStyle w:val="P68B1DB1-Normal12"/>
              <w:spacing w:after="0" w:line="240" w:lineRule="auto"/>
              <w:rPr>
                <w:noProof/>
              </w:rPr>
            </w:pPr>
            <w:r>
              <w:rPr>
                <w:noProof/>
              </w:rPr>
              <w:t>b) Délivrance de: i) permis d’installation de plate-forme; et ii) la décision approuvant les conditions environnementales.</w:t>
            </w:r>
          </w:p>
        </w:tc>
      </w:tr>
      <w:tr w:rsidR="00A00259" w14:paraId="384B5122" w14:textId="77777777">
        <w:trPr>
          <w:trHeight w:val="313"/>
          <w:jc w:val="center"/>
        </w:trPr>
        <w:tc>
          <w:tcPr>
            <w:tcW w:w="817" w:type="dxa"/>
            <w:shd w:val="clear" w:color="auto" w:fill="C6EFCE"/>
            <w:noWrap/>
          </w:tcPr>
          <w:p w14:paraId="18485506" w14:textId="77777777" w:rsidR="00A00259" w:rsidRDefault="00371282">
            <w:pPr>
              <w:pStyle w:val="P68B1DB1-Normal12"/>
              <w:spacing w:after="0" w:line="240" w:lineRule="auto"/>
              <w:rPr>
                <w:rFonts w:eastAsia="Times New Roman"/>
                <w:noProof/>
              </w:rPr>
            </w:pPr>
            <w:r>
              <w:rPr>
                <w:noProof/>
              </w:rPr>
              <w:t>54</w:t>
            </w:r>
          </w:p>
        </w:tc>
        <w:tc>
          <w:tcPr>
            <w:tcW w:w="1588" w:type="dxa"/>
            <w:shd w:val="clear" w:color="auto" w:fill="C6EFCE"/>
            <w:noWrap/>
          </w:tcPr>
          <w:p w14:paraId="29F297CE" w14:textId="77777777" w:rsidR="00A00259" w:rsidRDefault="00371282">
            <w:pPr>
              <w:pStyle w:val="P68B1DB1-Normal12"/>
              <w:spacing w:after="0" w:line="240" w:lineRule="auto"/>
              <w:rPr>
                <w:rFonts w:eastAsia="Times New Roman"/>
                <w:noProof/>
              </w:rPr>
            </w:pPr>
            <w:r>
              <w:rPr>
                <w:noProof/>
              </w:rPr>
              <w:t>3 - 1.3. Recharge et ravitaillement – 16831_Produc- E Green</w:t>
            </w:r>
          </w:p>
        </w:tc>
        <w:tc>
          <w:tcPr>
            <w:tcW w:w="992" w:type="dxa"/>
            <w:shd w:val="clear" w:color="auto" w:fill="C6EFCE"/>
            <w:noWrap/>
          </w:tcPr>
          <w:p w14:paraId="5AB67E65" w14:textId="77777777" w:rsidR="00A00259" w:rsidRDefault="00371282">
            <w:pPr>
              <w:pStyle w:val="P68B1DB1-Normal12"/>
              <w:spacing w:after="0" w:line="240" w:lineRule="auto"/>
              <w:rPr>
                <w:rFonts w:eastAsia="Times New Roman"/>
                <w:noProof/>
              </w:rPr>
            </w:pPr>
            <w:r>
              <w:rPr>
                <w:noProof/>
              </w:rPr>
              <w:t>Étape</w:t>
            </w:r>
          </w:p>
        </w:tc>
        <w:tc>
          <w:tcPr>
            <w:tcW w:w="1166" w:type="dxa"/>
            <w:shd w:val="clear" w:color="auto" w:fill="C6EFCE"/>
            <w:noWrap/>
          </w:tcPr>
          <w:p w14:paraId="261BCA40" w14:textId="70719602" w:rsidR="00A00259" w:rsidRDefault="00371282">
            <w:pPr>
              <w:pStyle w:val="P68B1DB1-Normal26"/>
              <w:spacing w:after="0" w:line="240" w:lineRule="auto"/>
              <w:rPr>
                <w:rFonts w:eastAsia="Times New Roman"/>
                <w:noProof/>
              </w:rPr>
            </w:pPr>
            <w:r>
              <w:rPr>
                <w:noProof/>
              </w:rPr>
              <w:t>Unités industrielles – Achèvement des travaux de construction et installation des équipements</w:t>
            </w:r>
          </w:p>
        </w:tc>
        <w:tc>
          <w:tcPr>
            <w:tcW w:w="2629" w:type="dxa"/>
            <w:shd w:val="clear" w:color="auto" w:fill="C6EFCE"/>
            <w:noWrap/>
          </w:tcPr>
          <w:p w14:paraId="132ABFC3" w14:textId="77777777" w:rsidR="00A00259" w:rsidRDefault="00371282">
            <w:pPr>
              <w:pStyle w:val="P68B1DB1-Normal12"/>
              <w:spacing w:after="0" w:line="240" w:lineRule="auto"/>
              <w:rPr>
                <w:rFonts w:eastAsia="Times New Roman"/>
                <w:noProof/>
              </w:rPr>
            </w:pPr>
            <w:r>
              <w:rPr>
                <w:noProof/>
              </w:rPr>
              <w:t xml:space="preserve">Achèvement des travaux de construction et installation des équipements </w:t>
            </w:r>
          </w:p>
        </w:tc>
        <w:tc>
          <w:tcPr>
            <w:tcW w:w="1460" w:type="dxa"/>
            <w:shd w:val="clear" w:color="auto" w:fill="C6EFCE"/>
            <w:noWrap/>
          </w:tcPr>
          <w:p w14:paraId="6A0B4C6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E7E8D2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36" w:type="dxa"/>
            <w:shd w:val="clear" w:color="auto" w:fill="C6EFCE"/>
            <w:noWrap/>
          </w:tcPr>
          <w:p w14:paraId="67F97EB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697FD846"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6898D76F" w14:textId="77777777" w:rsidR="00A00259" w:rsidRDefault="00371282">
            <w:pPr>
              <w:pStyle w:val="P68B1DB1-Normal12"/>
              <w:spacing w:after="0" w:line="240" w:lineRule="auto"/>
              <w:rPr>
                <w:rFonts w:eastAsia="Times New Roman"/>
                <w:noProof/>
              </w:rPr>
            </w:pPr>
            <w:r>
              <w:rPr>
                <w:noProof/>
              </w:rPr>
              <w:t>2025</w:t>
            </w:r>
          </w:p>
        </w:tc>
        <w:tc>
          <w:tcPr>
            <w:tcW w:w="3191" w:type="dxa"/>
            <w:shd w:val="clear" w:color="auto" w:fill="C6EFCE"/>
            <w:noWrap/>
          </w:tcPr>
          <w:p w14:paraId="4A8DADA4" w14:textId="61A07F93" w:rsidR="00A00259" w:rsidRDefault="00371282">
            <w:pPr>
              <w:pStyle w:val="P68B1DB1-Normal12"/>
              <w:spacing w:after="0" w:line="240" w:lineRule="auto"/>
              <w:rPr>
                <w:rFonts w:eastAsia="Times New Roman"/>
                <w:noProof/>
              </w:rPr>
            </w:pPr>
            <w:r>
              <w:rPr>
                <w:noProof/>
              </w:rPr>
              <w:t>11 unités industrielles doivent avoir achevé les travaux de construction et les installations d'équipement.</w:t>
            </w:r>
          </w:p>
        </w:tc>
      </w:tr>
    </w:tbl>
    <w:p w14:paraId="3C74560D" w14:textId="77777777" w:rsidR="00A00259" w:rsidRDefault="00A00259">
      <w:pPr>
        <w:spacing w:before="120" w:after="120" w:line="240" w:lineRule="auto"/>
        <w:rPr>
          <w:rFonts w:ascii="Times New Roman" w:hAnsi="Times New Roman" w:cs="Times New Roman"/>
          <w:noProof/>
          <w:sz w:val="24"/>
        </w:rPr>
        <w:sectPr w:rsidR="00A00259">
          <w:headerReference w:type="even" r:id="rId90"/>
          <w:headerReference w:type="default" r:id="rId91"/>
          <w:footerReference w:type="even" r:id="rId92"/>
          <w:footerReference w:type="default" r:id="rId93"/>
          <w:headerReference w:type="first" r:id="rId94"/>
          <w:footerReference w:type="first" r:id="rId95"/>
          <w:pgSz w:w="16839" w:h="11907" w:orient="landscape"/>
          <w:pgMar w:top="1134" w:right="1134" w:bottom="1134" w:left="1134" w:header="567" w:footer="567" w:gutter="0"/>
          <w:cols w:space="720"/>
          <w:docGrid w:linePitch="360"/>
        </w:sectPr>
      </w:pPr>
    </w:p>
    <w:p w14:paraId="5615FC40" w14:textId="77777777" w:rsidR="00A00259" w:rsidRDefault="00371282">
      <w:pPr>
        <w:pStyle w:val="P68B1DB1-Normal17"/>
        <w:spacing w:before="120" w:after="120" w:line="240" w:lineRule="auto"/>
        <w:jc w:val="both"/>
        <w:outlineLvl w:val="3"/>
        <w:rPr>
          <w:rFonts w:cs="Times New Roman"/>
          <w:bCs/>
          <w:noProof/>
        </w:rPr>
      </w:pPr>
      <w:r>
        <w:rPr>
          <w:noProof/>
        </w:rPr>
        <w:t>D. ÉLÉMENT 1.4: UTILISATION DURABLE DES RESSOURCES, RESILIENCE CLIMATIQUE ET PROTECTION DE L'ENVIRONNEMENT</w:t>
      </w:r>
    </w:p>
    <w:p w14:paraId="247B00B0" w14:textId="77777777" w:rsidR="00A00259" w:rsidRDefault="00371282">
      <w:pPr>
        <w:spacing w:before="120" w:after="120" w:line="240" w:lineRule="auto"/>
        <w:jc w:val="both"/>
        <w:rPr>
          <w:rFonts w:ascii="Times New Roman" w:hAnsi="Times New Roman" w:cs="Times New Roman"/>
          <w:noProof/>
          <w:sz w:val="24"/>
        </w:rPr>
      </w:pPr>
      <w:r>
        <w:rPr>
          <w:rFonts w:ascii="Times New Roman" w:hAnsi="Times New Roman"/>
          <w:noProof/>
          <w:sz w:val="24"/>
        </w:rPr>
        <w:t>Ce volet du plan grec pour la reprise et la résilience vise à promouvoir la transition écologique. Il comprend des réformes et des investissements ciblés visant à renforcer la protection et la restauration de l’environnement naturel, y compris la protection de la biodiversité, à améliorer les infrastructures environnementales et à récupérer les pertes de couverture forestière. En outre, il comprend une réforme de la gestion des déchets</w:t>
      </w:r>
      <w:r>
        <w:rPr>
          <w:noProof/>
        </w:rPr>
        <w:t xml:space="preserve"> </w:t>
      </w:r>
      <w:r>
        <w:rPr>
          <w:rFonts w:ascii="Times New Roman" w:hAnsi="Times New Roman"/>
          <w:noProof/>
          <w:sz w:val="24"/>
        </w:rPr>
        <w:t xml:space="preserve">qui comprend notamment la création d’un régulateur national des déchets afin de soutenir la transition vers une économie circulaire fondée sur la prévention, la réutilisation et le recyclage des déchets. Il établit en outre une autorité nationale de régulation de l'eau, en vue d'améliorer la durabilité des opérations et des investissements dans les services publics de l'eau. La mise en œuvre des réformes et des investissements inclus dans le volet accroît l’efficacité de l’utilisation des ressources naturelles et fait progresser la protection contre les risques et les incidences liés à l’environnement, tant pour la société que pour l’économie. Le volet comprend également des investissements visant à améliorer l’approvisionnement en eau potable et l’approvisionnement en égouts, ainsi qu’à prévenir et à atténuer les défis environnementaux liés au changement climatique. </w:t>
      </w:r>
    </w:p>
    <w:p w14:paraId="1DD626D2" w14:textId="77777777" w:rsidR="00A00259" w:rsidRDefault="00371282">
      <w:pPr>
        <w:pStyle w:val="P68B1DB1-Normal5"/>
        <w:spacing w:before="120" w:after="120" w:line="240" w:lineRule="auto"/>
        <w:jc w:val="both"/>
        <w:rPr>
          <w:rFonts w:cs="Times New Roman"/>
          <w:noProof/>
        </w:rPr>
      </w:pPr>
      <w:r>
        <w:rPr>
          <w:noProof/>
        </w:rPr>
        <w:t>Le volet soutient la mise en œuvre de la recommandation par pays no 3 de 2020 et de la recommandation par pays no 2 de 2019 sur les investissements publics et privés. 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3B9C19AF" w14:textId="77777777" w:rsidR="00A00259" w:rsidRDefault="00371282">
      <w:pPr>
        <w:pStyle w:val="P68B1DB1-Normal6"/>
        <w:tabs>
          <w:tab w:val="left" w:pos="1134"/>
        </w:tabs>
        <w:spacing w:before="120" w:after="120" w:line="240" w:lineRule="auto"/>
        <w:jc w:val="both"/>
        <w:rPr>
          <w:rFonts w:cs="Times New Roman"/>
          <w:bCs/>
          <w:noProof/>
        </w:rPr>
      </w:pPr>
      <w:r>
        <w:rPr>
          <w:noProof/>
        </w:rPr>
        <w:t>D.1. Description des réformes et des investissements pour le soutien financier non remboursable</w:t>
      </w:r>
    </w:p>
    <w:p w14:paraId="6E922EC8" w14:textId="77777777" w:rsidR="00A00259" w:rsidRDefault="00371282">
      <w:pPr>
        <w:pStyle w:val="P68B1DB1-Normal5"/>
        <w:tabs>
          <w:tab w:val="left" w:pos="1134"/>
        </w:tabs>
        <w:spacing w:before="120" w:after="120" w:line="240" w:lineRule="auto"/>
        <w:jc w:val="both"/>
        <w:rPr>
          <w:rFonts w:cs="Times New Roman"/>
          <w:noProof/>
          <w:szCs w:val="24"/>
        </w:rPr>
      </w:pPr>
      <w:r>
        <w:rPr>
          <w:b/>
          <w:noProof/>
        </w:rPr>
        <w:t>Investissement:</w:t>
      </w:r>
      <w:r>
        <w:rPr>
          <w:noProof/>
        </w:rPr>
        <w:t xml:space="preserve"> Plan national de reboisement, mesures de restauration et de prévention («antiNERO»), mesures de lutte contre l’érosion et les inondations (mesure ID: 16849)</w:t>
      </w:r>
    </w:p>
    <w:p w14:paraId="7919912F" w14:textId="77777777" w:rsidR="00A00259" w:rsidRDefault="00371282">
      <w:pPr>
        <w:pStyle w:val="P68B1DB1-Normal7"/>
        <w:spacing w:before="120" w:after="120" w:line="240" w:lineRule="auto"/>
        <w:jc w:val="both"/>
        <w:rPr>
          <w:noProof/>
        </w:rPr>
      </w:pPr>
      <w:r>
        <w:rPr>
          <w:noProof/>
        </w:rPr>
        <w:t>L’objectif de la mesure est de restaurer les écosystèmes forestiers dégradés en Grèce et de prévenir de futures catastrophes naturelles. La mesure consiste en des actions de reboisement, de prévention des incendies de forêt, de lutte contre l’érosion et de protection contre les inondations.</w:t>
      </w:r>
    </w:p>
    <w:p w14:paraId="64E3B2E1" w14:textId="654B17DF" w:rsidR="00A00259" w:rsidRDefault="00371282">
      <w:pPr>
        <w:pStyle w:val="P68B1DB1-Normal7"/>
        <w:spacing w:before="120" w:after="120" w:line="240" w:lineRule="auto"/>
        <w:jc w:val="both"/>
        <w:rPr>
          <w:rFonts w:cs="Times New Roman"/>
          <w:noProof/>
        </w:rPr>
      </w:pPr>
      <w:r>
        <w:rPr>
          <w:b/>
          <w:noProof/>
        </w:rPr>
        <w:t>Investissement:</w:t>
      </w:r>
      <w:r>
        <w:rPr>
          <w:noProof/>
        </w:rPr>
        <w:t xml:space="preserve"> Infrastructures de gestion des eaux urbaines résiduaires et des boues et achat d'équipement de gestion des déchets municipaux (mesure ID: 16846)</w:t>
      </w:r>
    </w:p>
    <w:p w14:paraId="0E5256DB" w14:textId="14401C58" w:rsidR="00A00259" w:rsidRDefault="00371282">
      <w:pPr>
        <w:pStyle w:val="P68B1DB1-Normal7"/>
        <w:spacing w:before="120" w:after="120" w:line="240" w:lineRule="auto"/>
        <w:jc w:val="both"/>
        <w:rPr>
          <w:rFonts w:cs="Times New Roman"/>
          <w:noProof/>
        </w:rPr>
      </w:pPr>
      <w:r>
        <w:rPr>
          <w:noProof/>
        </w:rPr>
        <w:t xml:space="preserve">L’objectif de la mesure est de prévenir et de réduire la pollution environnementale résultant du traitement des eaux usées et de la collecte des déchets. La mesure consiste en la construction d’infrastructures de réseaux d’égouts et de stations d’épuration des eaux usées, la rénovation des stations d’épuration existantes et la construction d’infrastructures de gestion des boues à partir de stations d’épuration des eaux usées, ainsi qu’en l’achat d’équipements de gestion des déchets. </w:t>
      </w:r>
    </w:p>
    <w:p w14:paraId="07DABF5E"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Stratégie nationale de l’eau (mesure ID: 16285)</w:t>
      </w:r>
    </w:p>
    <w:p w14:paraId="6DEC2847" w14:textId="77777777" w:rsidR="00A00259" w:rsidRDefault="00371282">
      <w:pPr>
        <w:pStyle w:val="P68B1DB1-Normal8"/>
        <w:spacing w:before="120" w:after="120" w:line="240" w:lineRule="auto"/>
        <w:jc w:val="both"/>
        <w:rPr>
          <w:rFonts w:ascii="Times New Roman" w:hAnsi="Times New Roman"/>
          <w:noProof/>
        </w:rPr>
      </w:pPr>
      <w:r>
        <w:rPr>
          <w:rFonts w:ascii="Times New Roman" w:hAnsi="Times New Roman"/>
          <w:noProof/>
        </w:rPr>
        <w:t xml:space="preserve">L’objectif de la mesure est d’établir </w:t>
      </w:r>
      <w:r>
        <w:rPr>
          <w:rFonts w:ascii="Times New Roman" w:eastAsia="Times New Roman" w:hAnsi="Times New Roman" w:cs="Times New Roman"/>
          <w:noProof/>
          <w:color w:val="000000" w:themeColor="text1"/>
        </w:rPr>
        <w:t xml:space="preserve">un cadre pour une utilisation efficace et durable des ressources en eau et de soutenir la réorganisation pilote des prestataires de services liés à l’eau. </w:t>
      </w:r>
      <w:r>
        <w:rPr>
          <w:rFonts w:ascii="Times New Roman" w:eastAsia="Times New Roman" w:hAnsi="Times New Roman" w:cs="Times New Roman"/>
          <w:noProof/>
        </w:rPr>
        <w:t>La mesure consiste en l’adoption de la stratégie nationale de l’eau et d’un acte juridique visant à étendre les responsabilités de l’EYDAP (société d’approvisionnement en eau et d’assainissement d’Athènes) et de l’EYATH (société d’approvisionnement en eau et d’assainissement de Thessalonique).</w:t>
      </w:r>
    </w:p>
    <w:p w14:paraId="17D20F4D" w14:textId="0990B84A" w:rsidR="00A00259" w:rsidRDefault="00371282">
      <w:pPr>
        <w:pStyle w:val="P68B1DB1-Normal7"/>
        <w:spacing w:before="120" w:after="120" w:line="240" w:lineRule="auto"/>
        <w:jc w:val="both"/>
        <w:rPr>
          <w:noProof/>
        </w:rPr>
      </w:pPr>
      <w:r>
        <w:rPr>
          <w:b/>
          <w:noProof/>
        </w:rPr>
        <w:t>Investissement:</w:t>
      </w:r>
      <w:r>
        <w:rPr>
          <w:noProof/>
        </w:rPr>
        <w:t xml:space="preserve"> Projets d'approvisionnement en eau potable et d'économies (mesure ID: 16850)</w:t>
      </w:r>
    </w:p>
    <w:p w14:paraId="70A1B8D6" w14:textId="36B8EE50" w:rsidR="00A00259" w:rsidRDefault="00371282">
      <w:pPr>
        <w:pStyle w:val="P68B1DB1-Normal7"/>
        <w:spacing w:before="120" w:after="120" w:line="240" w:lineRule="auto"/>
        <w:jc w:val="both"/>
        <w:rPr>
          <w:rFonts w:cs="Times New Roman"/>
          <w:noProof/>
        </w:rPr>
      </w:pPr>
      <w:r>
        <w:rPr>
          <w:noProof/>
        </w:rPr>
        <w:t>L’objectif de la mesure est d’améliorer la disponibilité et la qualité de l’eau potable et de réduire les risques de fuite et de santé publique liés aux infrastructures hydriques. La mesure consiste en la construction d'infrastructures d'approvisionnement en eau, l'installation de systèmes de télémétrie - télécommande et de compteurs d'eau numériques.</w:t>
      </w:r>
    </w:p>
    <w:p w14:paraId="073CEEF8"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Moyens aériens pour la gestion des crises (mesure ID: 16911)</w:t>
      </w:r>
    </w:p>
    <w:p w14:paraId="47A85212" w14:textId="77777777" w:rsidR="00A00259" w:rsidRDefault="00371282">
      <w:pPr>
        <w:pStyle w:val="P68B1DB1-Normal7"/>
        <w:spacing w:before="120" w:after="120" w:line="240" w:lineRule="auto"/>
        <w:jc w:val="both"/>
        <w:rPr>
          <w:rFonts w:cs="Times New Roman"/>
          <w:noProof/>
        </w:rPr>
      </w:pPr>
      <w:r>
        <w:rPr>
          <w:noProof/>
        </w:rPr>
        <w:t>L’objectif de la mesure est d’accroître la capacité aérienne de gestion des crises. La mesure consiste à fournir des moyens aériens pour la gestion des crises.</w:t>
      </w:r>
    </w:p>
    <w:p w14:paraId="1F615C4D"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Équipement de lutte contre les incendies de forêt, de prévention et d’intervention (mesure ID: 16912)</w:t>
      </w:r>
    </w:p>
    <w:p w14:paraId="751EAEB1" w14:textId="77777777" w:rsidR="00A00259" w:rsidRDefault="00371282">
      <w:pPr>
        <w:pStyle w:val="P68B1DB1-Normal5"/>
        <w:spacing w:before="120" w:after="120" w:line="240" w:lineRule="auto"/>
        <w:jc w:val="both"/>
        <w:rPr>
          <w:rFonts w:cs="Times New Roman"/>
          <w:noProof/>
          <w:szCs w:val="24"/>
        </w:rPr>
      </w:pPr>
      <w:r>
        <w:rPr>
          <w:noProof/>
        </w:rPr>
        <w:t>L’objectif de la mesure est d’accroître les capacités de lutte contre les incendies de forêt, de prévention et de réaction. La mesure consiste en la livraison de matériel de lutte contre l'incendie et d'intervention.</w:t>
      </w:r>
    </w:p>
    <w:p w14:paraId="3520A966"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La protection de la biodiversité en tant que moteur de la croissance durable (mesure ID: 16851)</w:t>
      </w:r>
    </w:p>
    <w:p w14:paraId="410F7383" w14:textId="7442B013" w:rsidR="00A00259" w:rsidRDefault="00371282">
      <w:pPr>
        <w:pStyle w:val="P68B1DB1-Normal7"/>
        <w:spacing w:before="120" w:after="120" w:line="240" w:lineRule="auto"/>
        <w:jc w:val="both"/>
        <w:rPr>
          <w:rFonts w:cs="Times New Roman"/>
          <w:noProof/>
        </w:rPr>
      </w:pPr>
      <w:r>
        <w:rPr>
          <w:noProof/>
        </w:rPr>
        <w:t>L’objectif de la mesure est de protéger l’environnement naturel de la Grèce en préservant et en mettant en valeur son patrimoine naturel. La mesure consiste en la surveillance et la conservation de la biodiversité, l'exécution de projets concernant les réseaux de sentiers, la rénovation des musées et la numérisation des collections grecques d'histoire naturelle.</w:t>
      </w:r>
    </w:p>
    <w:p w14:paraId="08CF510B" w14:textId="77777777" w:rsidR="00A00259" w:rsidRDefault="00371282">
      <w:pPr>
        <w:pStyle w:val="P68B1DB1-Normal7"/>
        <w:spacing w:before="120" w:after="120" w:line="240" w:lineRule="auto"/>
        <w:jc w:val="both"/>
        <w:rPr>
          <w:noProof/>
        </w:rPr>
      </w:pPr>
      <w:r>
        <w:rPr>
          <w:b/>
          <w:noProof/>
        </w:rPr>
        <w:t>Investissement</w:t>
      </w:r>
      <w:r>
        <w:rPr>
          <w:noProof/>
        </w:rPr>
        <w:t>: Gestion et suivi de la protection civile (mesure ID: 16910)</w:t>
      </w:r>
    </w:p>
    <w:p w14:paraId="1464CE6B" w14:textId="77777777" w:rsidR="00A00259" w:rsidRDefault="00371282">
      <w:pPr>
        <w:pStyle w:val="P68B1DB1-Normal7"/>
        <w:spacing w:before="120" w:after="120" w:line="240" w:lineRule="auto"/>
        <w:jc w:val="both"/>
        <w:rPr>
          <w:rFonts w:cs="Times New Roman"/>
          <w:noProof/>
        </w:rPr>
      </w:pPr>
      <w:r>
        <w:rPr>
          <w:noProof/>
        </w:rPr>
        <w:t>L’objectif de la mesure est d’améliorer le système de gestion et de suivi de la protection civile. La mesure consiste en la livraison et l’installation d’équipements et en des travaux de construction et de rénovation dans des bâtiments prédéfinis.</w:t>
      </w:r>
    </w:p>
    <w:p w14:paraId="7A4F93EB" w14:textId="77777777" w:rsidR="00A00259" w:rsidRDefault="00371282">
      <w:pPr>
        <w:pStyle w:val="P68B1DB1-Normal7"/>
        <w:spacing w:before="120" w:after="120" w:line="240" w:lineRule="auto"/>
        <w:jc w:val="both"/>
        <w:rPr>
          <w:noProof/>
        </w:rPr>
      </w:pPr>
      <w:r>
        <w:rPr>
          <w:b/>
          <w:noProof/>
        </w:rPr>
        <w:t>Investissement:</w:t>
      </w:r>
      <w:r>
        <w:rPr>
          <w:noProof/>
        </w:rPr>
        <w:t xml:space="preserve"> Mise en œuvre de centres régionaux de protection civile (PEKEPP) au moyen de programmes de PPP (mesure ID: 16283)</w:t>
      </w:r>
    </w:p>
    <w:p w14:paraId="59EA8F49" w14:textId="77777777" w:rsidR="00A00259" w:rsidRDefault="00371282">
      <w:pPr>
        <w:pStyle w:val="P68B1DB1-Normal7"/>
        <w:spacing w:before="120" w:after="120" w:line="240" w:lineRule="auto"/>
        <w:jc w:val="both"/>
        <w:rPr>
          <w:rFonts w:cs="Times New Roman"/>
          <w:noProof/>
        </w:rPr>
      </w:pPr>
      <w:r>
        <w:rPr>
          <w:noProof/>
        </w:rPr>
        <w:t>Construction de 13 centres régionaux de protection civile dans le cadre de partenariats public-privé. L’objectif de l’investissement est d’assurer une gestion rapide et efficace des risques et des crises au niveau régional. Les bâtiments nouvellement construits doivent satisfaire à une demande d’énergie primaire (DEP) inférieure d’au moins 20 % à l’exigence relative aux bâtiments dont la consommation d’énergie est quasi nulle (bâtiment dont la consommation d’énergie est quasi nulle, directives nationales). Cette mesure ne devrait pas causer de préjudice important aux objectifs environnementaux au sens de l’article 17 du règlement (UE) 2020/852, compte tenu de la description de la mesure et des mesures d’atténuation énoncées dans le plan pour la reprise et la résilience conformément aux orientations techniques «Ne pas causer de préjudice important» (2021/C58/01). En particulier, la mesure impose aux opérateurs économiques effectuant les travaux de construction de veiller à ce qu’au moins 70 % (en poids) des déchets de construction et de démolition non dangereux [à l’exclusion des matériaux naturels visés dans la catégorie 17 05 04 de la liste européenne des déchets établie par la décision 2000/532/CE du 3 mai 2000 remplaçant la décision 94/3/CE établissant une liste de déchets conformément à l’article 1er, point a), de la directive 75/442/CEE du Conseil relative aux déchets et la décision 94/904/CE du Conseil établissant une liste de déchets dangereux conformément à l’article 1er, paragraphe 4, de la directive 91/689/CEE du Conseil relative aux déchets dangereux [notifiée sous le numéro C(2000) 1147]] produits sur le site de construction soient préparés en vue du réemploi, du recyclage et d’autres opérations de valorisation des matériaux, y compris les opérations de remblayage utilisant des déchets pour remplacer d’autres matériaux, conformément à la hiérarchie des déchets et au protocole de gestion des déchets de construction et de démolition de l’UE. La mise en œuvre de l’investissement est achevée au plus tard le 31 décembre 2025.</w:t>
      </w:r>
    </w:p>
    <w:p w14:paraId="1687D989"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Loi sur la gestion des déchets pour une mise en décharge et un recyclage durables (mesure ID: 16772)</w:t>
      </w:r>
    </w:p>
    <w:p w14:paraId="74B11377" w14:textId="77777777" w:rsidR="00A00259" w:rsidRDefault="00371282">
      <w:pPr>
        <w:pStyle w:val="P68B1DB1-Normal7"/>
        <w:spacing w:before="120" w:after="0" w:line="240" w:lineRule="auto"/>
        <w:jc w:val="both"/>
        <w:rPr>
          <w:noProof/>
        </w:rPr>
      </w:pPr>
      <w:r>
        <w:rPr>
          <w:noProof/>
        </w:rPr>
        <w:t xml:space="preserve">L’objectif de cette réforme est d’accroître la prévention, la réutilisation et le recyclage des déchets. Cette mesure consiste en la révision de la législation existante en matière de gestion des déchets ainsi qu’en la mise en place et le fonctionnement d’un régulateur de la gestion des déchets. </w:t>
      </w:r>
    </w:p>
    <w:p w14:paraId="4844ACFF"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Création d’une nouvelle autorité de régulation de l’eau et des eaux usées (mesure ID: 16979)</w:t>
      </w:r>
    </w:p>
    <w:p w14:paraId="0DAD9AB7" w14:textId="77777777" w:rsidR="00A00259" w:rsidRDefault="00371282">
      <w:pPr>
        <w:pStyle w:val="P68B1DB1-Normal7"/>
        <w:spacing w:before="120" w:after="120" w:line="240" w:lineRule="auto"/>
        <w:jc w:val="both"/>
        <w:rPr>
          <w:rFonts w:cs="Times New Roman"/>
          <w:noProof/>
        </w:rPr>
      </w:pPr>
      <w:r>
        <w:rPr>
          <w:noProof/>
        </w:rPr>
        <w:t>La réforme met en place un organe unique, l'Autorité nationale de régulation de l'eau (NWRA), chargé de mettre en œuvre la politique de gestion rationnelle des ressources en eau conçue par le ministère de l'environnement et de l'énergie. La nouvelle Autorité renforce le cadre institutionnel et supervise le secteur, y compris la rationalisation de la politique tarifaire de l’eau conformément au principe du «pollueur-payeur» et la garantie de la durabilité des services liés à l’eau en Grèce. La mise en œuvre de la réforme est achevée au plus tard le 31 décembre 2023.</w:t>
      </w:r>
    </w:p>
    <w:p w14:paraId="58151D6B" w14:textId="0B774B16" w:rsidR="00A00259" w:rsidRDefault="00371282">
      <w:pPr>
        <w:pStyle w:val="P68B1DB1-Normal5"/>
        <w:spacing w:before="120" w:after="120" w:line="240" w:lineRule="auto"/>
        <w:jc w:val="both"/>
        <w:rPr>
          <w:rFonts w:cs="Times New Roman"/>
          <w:noProof/>
          <w:szCs w:val="24"/>
        </w:rPr>
      </w:pPr>
      <w:r>
        <w:rPr>
          <w:b/>
          <w:noProof/>
        </w:rPr>
        <w:t>Investissement:</w:t>
      </w:r>
      <w:r>
        <w:rPr>
          <w:noProof/>
        </w:rPr>
        <w:t xml:space="preserve"> Inspection primaire de la résistance sismique des bâtiments ou des installations sportives (mesure ID: 16983)</w:t>
      </w:r>
    </w:p>
    <w:p w14:paraId="3D1681E4" w14:textId="2BE86B6B" w:rsidR="00A00259" w:rsidRDefault="00371282">
      <w:pPr>
        <w:pStyle w:val="P68B1DB1-Normal5"/>
        <w:spacing w:before="120" w:after="120" w:line="240" w:lineRule="auto"/>
        <w:jc w:val="both"/>
        <w:rPr>
          <w:noProof/>
        </w:rPr>
      </w:pPr>
      <w:r>
        <w:rPr>
          <w:noProof/>
        </w:rPr>
        <w:t xml:space="preserve">L'objectif de l'investissement est d'évaluer la résilience dans un tremblement de terre de divers bâtiments critiques et installations sportives dans le pays. La mesure consiste à délivrer des certificats d'inspection primaire pour les bâtiments ou les installations sportives. </w:t>
      </w:r>
    </w:p>
    <w:p w14:paraId="2381D083"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Programme de développement des collectivités locales «Antonis Tritsis» (mesure ID: 16404)</w:t>
      </w:r>
    </w:p>
    <w:p w14:paraId="4628EC69" w14:textId="77777777" w:rsidR="00A00259" w:rsidRDefault="00371282">
      <w:pPr>
        <w:pStyle w:val="P68B1DB1-Normal7"/>
        <w:spacing w:before="120" w:after="120" w:line="240" w:lineRule="auto"/>
        <w:jc w:val="both"/>
        <w:rPr>
          <w:noProof/>
        </w:rPr>
      </w:pPr>
      <w:r>
        <w:rPr>
          <w:noProof/>
        </w:rPr>
        <w:t xml:space="preserve">L’objectif de cet investissement est de soutenir le développement urbain, la résilience au changement climatique et la transition écologique des municipalités grecques. </w:t>
      </w:r>
    </w:p>
    <w:p w14:paraId="2B02422D" w14:textId="77777777" w:rsidR="00A00259" w:rsidRDefault="00371282">
      <w:pPr>
        <w:pStyle w:val="P68B1DB1-Normal7"/>
        <w:spacing w:before="120" w:after="120" w:line="240" w:lineRule="auto"/>
        <w:jc w:val="both"/>
        <w:rPr>
          <w:noProof/>
        </w:rPr>
      </w:pPr>
      <w:r>
        <w:rPr>
          <w:noProof/>
        </w:rPr>
        <w:t>L’investissement comprend des interventions dans l’espace public dans les zones urbaines, des travaux d’atténuation des inondations, l’achat de véhicules électriques et l’installation d’infrastructures de recharge, ainsi que des investissements dans des infrastructures urbaines d’eau potable et d’eaux usées.</w:t>
      </w:r>
    </w:p>
    <w:p w14:paraId="10B17D82" w14:textId="77777777" w:rsidR="00A00259" w:rsidRDefault="00A00259">
      <w:pPr>
        <w:spacing w:before="120" w:after="120" w:line="240" w:lineRule="auto"/>
        <w:jc w:val="both"/>
        <w:rPr>
          <w:rFonts w:ascii="Times New Roman" w:hAnsi="Times New Roman"/>
          <w:noProof/>
          <w:sz w:val="24"/>
          <w:szCs w:val="24"/>
        </w:rPr>
        <w:sectPr w:rsidR="00A00259">
          <w:headerReference w:type="even" r:id="rId96"/>
          <w:headerReference w:type="default" r:id="rId97"/>
          <w:footerReference w:type="even" r:id="rId98"/>
          <w:footerReference w:type="default" r:id="rId99"/>
          <w:headerReference w:type="first" r:id="rId100"/>
          <w:footerReference w:type="first" r:id="rId101"/>
          <w:pgSz w:w="11906" w:h="16838"/>
          <w:pgMar w:top="1134" w:right="1134" w:bottom="1134" w:left="1134" w:header="567" w:footer="567" w:gutter="0"/>
          <w:cols w:space="708"/>
          <w:docGrid w:linePitch="360"/>
        </w:sectPr>
      </w:pPr>
    </w:p>
    <w:p w14:paraId="0428B0CF" w14:textId="77777777" w:rsidR="00A00259" w:rsidRDefault="00371282">
      <w:pPr>
        <w:pStyle w:val="P68B1DB1-Normal6"/>
        <w:keepNext/>
        <w:keepLines/>
        <w:spacing w:before="40" w:after="0" w:line="240" w:lineRule="auto"/>
        <w:jc w:val="both"/>
        <w:outlineLvl w:val="4"/>
        <w:rPr>
          <w:noProof/>
        </w:rPr>
      </w:pPr>
      <w:r>
        <w:rPr>
          <w:noProof/>
        </w:rPr>
        <w:t>D.2. Étapes, cibles, indicateurs et calendrier pour le suivi et la mise en œuvre du soutien financier non remboursable</w:t>
      </w:r>
    </w:p>
    <w:p w14:paraId="28139ABD" w14:textId="77777777" w:rsidR="00A00259" w:rsidRDefault="00371282">
      <w:pPr>
        <w:pStyle w:val="P68B1DB1-Normal9"/>
        <w:keepNext/>
        <w:keepLines/>
        <w:spacing w:before="40" w:after="0" w:line="240" w:lineRule="auto"/>
        <w:jc w:val="both"/>
        <w:outlineLvl w:val="4"/>
        <w:rPr>
          <w:rFonts w:eastAsia="Times New Roman"/>
          <w:noProof/>
        </w:rPr>
      </w:pPr>
      <w:r>
        <w:rPr>
          <w:noProof/>
        </w:rPr>
        <w:t>Réforme clé 4: Gestion des déchets et réforme de l'eau pour une utilisation durable des ressources</w:t>
      </w:r>
    </w:p>
    <w:tbl>
      <w:tblPr>
        <w:tblW w:w="15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953"/>
        <w:gridCol w:w="1162"/>
        <w:gridCol w:w="1190"/>
        <w:gridCol w:w="1468"/>
        <w:gridCol w:w="1031"/>
        <w:gridCol w:w="1053"/>
        <w:gridCol w:w="851"/>
        <w:gridCol w:w="992"/>
        <w:gridCol w:w="709"/>
        <w:gridCol w:w="4675"/>
      </w:tblGrid>
      <w:tr w:rsidR="00A00259" w14:paraId="35275E89" w14:textId="77777777" w:rsidTr="00CE3F9A">
        <w:trPr>
          <w:trHeight w:val="927"/>
          <w:tblHeader/>
          <w:jc w:val="center"/>
        </w:trPr>
        <w:tc>
          <w:tcPr>
            <w:tcW w:w="675" w:type="dxa"/>
            <w:vMerge w:val="restart"/>
            <w:shd w:val="clear" w:color="auto" w:fill="BDD7EE"/>
            <w:vAlign w:val="center"/>
            <w:hideMark/>
          </w:tcPr>
          <w:p w14:paraId="13241E94" w14:textId="77777777" w:rsidR="00A00259" w:rsidRDefault="00371282">
            <w:pPr>
              <w:pStyle w:val="P68B1DB1-Normal10"/>
              <w:spacing w:after="0" w:line="240" w:lineRule="auto"/>
              <w:jc w:val="center"/>
              <w:rPr>
                <w:rFonts w:eastAsia="Times New Roman" w:cs="Times New Roman"/>
                <w:bCs/>
                <w:noProof/>
                <w:szCs w:val="18"/>
              </w:rPr>
            </w:pPr>
            <w:r>
              <w:rPr>
                <w:noProof/>
              </w:rPr>
              <w:t>Seq.</w:t>
            </w:r>
            <w:r>
              <w:rPr>
                <w:noProof/>
              </w:rPr>
              <w:br/>
              <w:t>Non.</w:t>
            </w:r>
          </w:p>
        </w:tc>
        <w:tc>
          <w:tcPr>
            <w:tcW w:w="1953" w:type="dxa"/>
            <w:vMerge w:val="restart"/>
            <w:shd w:val="clear" w:color="auto" w:fill="BDD7EE"/>
            <w:vAlign w:val="center"/>
            <w:hideMark/>
          </w:tcPr>
          <w:p w14:paraId="6BB5C60A"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162" w:type="dxa"/>
            <w:vMerge w:val="restart"/>
            <w:shd w:val="clear" w:color="auto" w:fill="BDD7EE"/>
            <w:vAlign w:val="center"/>
            <w:hideMark/>
          </w:tcPr>
          <w:p w14:paraId="377B6944"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190" w:type="dxa"/>
            <w:vMerge w:val="restart"/>
            <w:shd w:val="clear" w:color="auto" w:fill="BDD7EE"/>
            <w:vAlign w:val="center"/>
            <w:hideMark/>
          </w:tcPr>
          <w:p w14:paraId="14822475"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468" w:type="dxa"/>
            <w:vMerge w:val="restart"/>
            <w:shd w:val="clear" w:color="auto" w:fill="BDD7EE"/>
            <w:vAlign w:val="center"/>
            <w:hideMark/>
          </w:tcPr>
          <w:p w14:paraId="5FBD4C4E"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2935" w:type="dxa"/>
            <w:gridSpan w:val="3"/>
            <w:shd w:val="clear" w:color="auto" w:fill="BDD7EE"/>
            <w:vAlign w:val="center"/>
            <w:hideMark/>
          </w:tcPr>
          <w:p w14:paraId="7C254830" w14:textId="77777777" w:rsidR="00A00259" w:rsidRDefault="00371282">
            <w:pPr>
              <w:pStyle w:val="P68B1DB1-Normal10"/>
              <w:spacing w:after="0" w:line="240" w:lineRule="auto"/>
              <w:jc w:val="center"/>
              <w:rPr>
                <w:rFonts w:eastAsia="Times New Roman" w:cs="Times New Roman"/>
                <w:bCs/>
                <w:noProof/>
                <w:szCs w:val="18"/>
              </w:rPr>
            </w:pPr>
            <w:r>
              <w:rPr>
                <w:noProof/>
              </w:rPr>
              <w:t>Indicateurs quantitatifs (pour les objectifs)</w:t>
            </w:r>
          </w:p>
        </w:tc>
        <w:tc>
          <w:tcPr>
            <w:tcW w:w="1701" w:type="dxa"/>
            <w:gridSpan w:val="2"/>
            <w:shd w:val="clear" w:color="auto" w:fill="BDD7EE"/>
            <w:vAlign w:val="center"/>
            <w:hideMark/>
          </w:tcPr>
          <w:p w14:paraId="3D4F634E"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4675" w:type="dxa"/>
            <w:vMerge w:val="restart"/>
            <w:shd w:val="clear" w:color="auto" w:fill="BDD7EE"/>
            <w:vAlign w:val="center"/>
            <w:hideMark/>
          </w:tcPr>
          <w:p w14:paraId="29A18992"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4CDC1DC3" w14:textId="77777777" w:rsidTr="00CE3F9A">
        <w:trPr>
          <w:trHeight w:val="479"/>
          <w:tblHeader/>
          <w:jc w:val="center"/>
        </w:trPr>
        <w:tc>
          <w:tcPr>
            <w:tcW w:w="675" w:type="dxa"/>
            <w:vMerge/>
            <w:vAlign w:val="center"/>
            <w:hideMark/>
          </w:tcPr>
          <w:p w14:paraId="426285F6" w14:textId="77777777" w:rsidR="00A00259" w:rsidRDefault="00A00259">
            <w:pPr>
              <w:spacing w:after="0" w:line="240" w:lineRule="auto"/>
              <w:rPr>
                <w:rFonts w:ascii="Times New Roman" w:eastAsia="Times New Roman" w:hAnsi="Times New Roman" w:cs="Times New Roman"/>
                <w:b/>
                <w:bCs/>
                <w:noProof/>
                <w:sz w:val="18"/>
                <w:szCs w:val="18"/>
              </w:rPr>
            </w:pPr>
          </w:p>
        </w:tc>
        <w:tc>
          <w:tcPr>
            <w:tcW w:w="1953" w:type="dxa"/>
            <w:vMerge/>
            <w:vAlign w:val="center"/>
            <w:hideMark/>
          </w:tcPr>
          <w:p w14:paraId="58BA0030" w14:textId="77777777" w:rsidR="00A00259" w:rsidRDefault="00A00259">
            <w:pPr>
              <w:spacing w:after="0" w:line="240" w:lineRule="auto"/>
              <w:rPr>
                <w:rFonts w:ascii="Times New Roman" w:eastAsia="Times New Roman" w:hAnsi="Times New Roman" w:cs="Times New Roman"/>
                <w:b/>
                <w:bCs/>
                <w:noProof/>
                <w:sz w:val="18"/>
                <w:szCs w:val="18"/>
              </w:rPr>
            </w:pPr>
          </w:p>
        </w:tc>
        <w:tc>
          <w:tcPr>
            <w:tcW w:w="1162" w:type="dxa"/>
            <w:vMerge/>
            <w:vAlign w:val="center"/>
            <w:hideMark/>
          </w:tcPr>
          <w:p w14:paraId="72A618C3" w14:textId="77777777" w:rsidR="00A00259" w:rsidRDefault="00A00259">
            <w:pPr>
              <w:spacing w:after="0" w:line="240" w:lineRule="auto"/>
              <w:rPr>
                <w:rFonts w:ascii="Times New Roman" w:eastAsia="Times New Roman" w:hAnsi="Times New Roman" w:cs="Times New Roman"/>
                <w:b/>
                <w:bCs/>
                <w:noProof/>
                <w:sz w:val="18"/>
                <w:szCs w:val="18"/>
              </w:rPr>
            </w:pPr>
          </w:p>
        </w:tc>
        <w:tc>
          <w:tcPr>
            <w:tcW w:w="1190" w:type="dxa"/>
            <w:vMerge/>
            <w:vAlign w:val="center"/>
            <w:hideMark/>
          </w:tcPr>
          <w:p w14:paraId="6910DD2F" w14:textId="77777777" w:rsidR="00A00259" w:rsidRDefault="00A00259">
            <w:pPr>
              <w:spacing w:after="0" w:line="240" w:lineRule="auto"/>
              <w:rPr>
                <w:rFonts w:ascii="Times New Roman" w:eastAsia="Times New Roman" w:hAnsi="Times New Roman" w:cs="Times New Roman"/>
                <w:b/>
                <w:bCs/>
                <w:noProof/>
                <w:sz w:val="18"/>
                <w:szCs w:val="18"/>
              </w:rPr>
            </w:pPr>
          </w:p>
        </w:tc>
        <w:tc>
          <w:tcPr>
            <w:tcW w:w="1468" w:type="dxa"/>
            <w:vMerge/>
            <w:vAlign w:val="center"/>
            <w:hideMark/>
          </w:tcPr>
          <w:p w14:paraId="47024717" w14:textId="77777777" w:rsidR="00A00259" w:rsidRDefault="00A00259">
            <w:pPr>
              <w:spacing w:after="0" w:line="240" w:lineRule="auto"/>
              <w:rPr>
                <w:rFonts w:ascii="Times New Roman" w:eastAsia="Times New Roman" w:hAnsi="Times New Roman" w:cs="Times New Roman"/>
                <w:b/>
                <w:bCs/>
                <w:noProof/>
                <w:sz w:val="18"/>
                <w:szCs w:val="18"/>
              </w:rPr>
            </w:pPr>
          </w:p>
        </w:tc>
        <w:tc>
          <w:tcPr>
            <w:tcW w:w="1031" w:type="dxa"/>
            <w:shd w:val="clear" w:color="auto" w:fill="BDD7EE"/>
            <w:vAlign w:val="center"/>
            <w:hideMark/>
          </w:tcPr>
          <w:p w14:paraId="3D6E103A"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1053" w:type="dxa"/>
            <w:shd w:val="clear" w:color="auto" w:fill="BDD7EE"/>
            <w:vAlign w:val="center"/>
            <w:hideMark/>
          </w:tcPr>
          <w:p w14:paraId="427156DD"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851" w:type="dxa"/>
            <w:shd w:val="clear" w:color="auto" w:fill="BDD7EE"/>
            <w:vAlign w:val="center"/>
            <w:hideMark/>
          </w:tcPr>
          <w:p w14:paraId="111E354E"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992" w:type="dxa"/>
            <w:shd w:val="clear" w:color="auto" w:fill="BDD7EE"/>
            <w:vAlign w:val="center"/>
            <w:hideMark/>
          </w:tcPr>
          <w:p w14:paraId="4EEF9CB8"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709" w:type="dxa"/>
            <w:shd w:val="clear" w:color="auto" w:fill="BDD7EE"/>
            <w:vAlign w:val="center"/>
            <w:hideMark/>
          </w:tcPr>
          <w:p w14:paraId="595C1F33"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4675" w:type="dxa"/>
            <w:vMerge/>
            <w:vAlign w:val="center"/>
            <w:hideMark/>
          </w:tcPr>
          <w:p w14:paraId="3E25D7FF"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73DC4C71" w14:textId="77777777" w:rsidTr="00CE3F9A">
        <w:trPr>
          <w:trHeight w:val="309"/>
          <w:jc w:val="center"/>
        </w:trPr>
        <w:tc>
          <w:tcPr>
            <w:tcW w:w="675" w:type="dxa"/>
            <w:shd w:val="clear" w:color="auto" w:fill="C6EFCE"/>
            <w:noWrap/>
          </w:tcPr>
          <w:p w14:paraId="336EB0A9" w14:textId="77777777" w:rsidR="00A00259" w:rsidRDefault="00371282">
            <w:pPr>
              <w:pStyle w:val="P68B1DB1-Normal12"/>
              <w:spacing w:after="0" w:line="240" w:lineRule="auto"/>
              <w:rPr>
                <w:rFonts w:eastAsia="Times New Roman"/>
                <w:noProof/>
              </w:rPr>
            </w:pPr>
            <w:r>
              <w:rPr>
                <w:noProof/>
              </w:rPr>
              <w:t>56</w:t>
            </w:r>
          </w:p>
        </w:tc>
        <w:tc>
          <w:tcPr>
            <w:tcW w:w="1953" w:type="dxa"/>
            <w:shd w:val="clear" w:color="auto" w:fill="C6EFCE"/>
            <w:noWrap/>
          </w:tcPr>
          <w:p w14:paraId="387C0FAC" w14:textId="77777777" w:rsidR="00A00259" w:rsidRDefault="00371282">
            <w:pPr>
              <w:pStyle w:val="P68B1DB1-Normal12"/>
              <w:spacing w:after="0" w:line="240" w:lineRule="auto"/>
              <w:rPr>
                <w:rFonts w:eastAsia="Times New Roman"/>
                <w:noProof/>
              </w:rPr>
            </w:pPr>
            <w:r>
              <w:rPr>
                <w:noProof/>
              </w:rPr>
              <w:t>4 - 1.4. «Utilisation durable des ressources, résilience au changement climatique et protection de l’environnement» - 16772_Loi sur la gestion des déchets pour la mise en œuvre d’une mise en décharge et d’un recyclage durables</w:t>
            </w:r>
          </w:p>
        </w:tc>
        <w:tc>
          <w:tcPr>
            <w:tcW w:w="1162" w:type="dxa"/>
            <w:shd w:val="clear" w:color="auto" w:fill="C6EFCE"/>
            <w:noWrap/>
          </w:tcPr>
          <w:p w14:paraId="0A720FE1" w14:textId="77777777" w:rsidR="00A00259" w:rsidRDefault="00371282">
            <w:pPr>
              <w:pStyle w:val="P68B1DB1-Normal12"/>
              <w:spacing w:after="0" w:line="240" w:lineRule="auto"/>
              <w:rPr>
                <w:rFonts w:eastAsia="Times New Roman"/>
                <w:noProof/>
              </w:rPr>
            </w:pPr>
            <w:r>
              <w:rPr>
                <w:noProof/>
              </w:rPr>
              <w:t>Étape</w:t>
            </w:r>
          </w:p>
        </w:tc>
        <w:tc>
          <w:tcPr>
            <w:tcW w:w="1190" w:type="dxa"/>
            <w:shd w:val="clear" w:color="auto" w:fill="C6EFCE"/>
            <w:noWrap/>
          </w:tcPr>
          <w:p w14:paraId="54D7EEC6" w14:textId="77777777" w:rsidR="00A00259" w:rsidRDefault="00371282">
            <w:pPr>
              <w:pStyle w:val="P68B1DB1-Normal12"/>
              <w:spacing w:after="0" w:line="240" w:lineRule="auto"/>
              <w:rPr>
                <w:rFonts w:eastAsia="Times New Roman"/>
                <w:noProof/>
              </w:rPr>
            </w:pPr>
            <w:r>
              <w:rPr>
                <w:noProof/>
              </w:rPr>
              <w:t>Entrée en vigueur de la loi sur la gestion des déchets</w:t>
            </w:r>
          </w:p>
        </w:tc>
        <w:tc>
          <w:tcPr>
            <w:tcW w:w="1468" w:type="dxa"/>
            <w:shd w:val="clear" w:color="auto" w:fill="C6EFCE"/>
            <w:noWrap/>
          </w:tcPr>
          <w:p w14:paraId="7AEFF911" w14:textId="77777777" w:rsidR="00A00259" w:rsidRDefault="00371282">
            <w:pPr>
              <w:pStyle w:val="P68B1DB1-Normal12"/>
              <w:spacing w:after="0" w:line="240" w:lineRule="auto"/>
              <w:rPr>
                <w:rFonts w:eastAsia="Times New Roman"/>
                <w:noProof/>
              </w:rPr>
            </w:pPr>
            <w:r>
              <w:rPr>
                <w:noProof/>
              </w:rPr>
              <w:t>Entrée en vigueur de la législation</w:t>
            </w:r>
          </w:p>
        </w:tc>
        <w:tc>
          <w:tcPr>
            <w:tcW w:w="1031" w:type="dxa"/>
            <w:shd w:val="clear" w:color="auto" w:fill="C6EFCE"/>
            <w:noWrap/>
          </w:tcPr>
          <w:p w14:paraId="63330AE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53" w:type="dxa"/>
            <w:shd w:val="clear" w:color="auto" w:fill="C6EFCE"/>
            <w:noWrap/>
          </w:tcPr>
          <w:p w14:paraId="3835C7A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023886E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D9BA807" w14:textId="77777777" w:rsidR="00A00259" w:rsidRDefault="00371282">
            <w:pPr>
              <w:pStyle w:val="P68B1DB1-Normal12"/>
              <w:spacing w:after="0" w:line="240" w:lineRule="auto"/>
              <w:rPr>
                <w:rFonts w:eastAsia="Times New Roman"/>
                <w:noProof/>
              </w:rPr>
            </w:pPr>
            <w:r>
              <w:rPr>
                <w:noProof/>
              </w:rPr>
              <w:t>T3</w:t>
            </w:r>
          </w:p>
        </w:tc>
        <w:tc>
          <w:tcPr>
            <w:tcW w:w="709" w:type="dxa"/>
            <w:shd w:val="clear" w:color="auto" w:fill="C6EFCE"/>
            <w:noWrap/>
          </w:tcPr>
          <w:p w14:paraId="6789EE28" w14:textId="77777777" w:rsidR="00A00259" w:rsidRDefault="00371282">
            <w:pPr>
              <w:pStyle w:val="P68B1DB1-Normal12"/>
              <w:spacing w:after="0" w:line="240" w:lineRule="auto"/>
              <w:rPr>
                <w:rFonts w:eastAsia="Times New Roman"/>
                <w:noProof/>
              </w:rPr>
            </w:pPr>
            <w:r>
              <w:rPr>
                <w:noProof/>
              </w:rPr>
              <w:t>2021</w:t>
            </w:r>
          </w:p>
        </w:tc>
        <w:tc>
          <w:tcPr>
            <w:tcW w:w="4675" w:type="dxa"/>
            <w:shd w:val="clear" w:color="auto" w:fill="C6EFCE"/>
            <w:noWrap/>
          </w:tcPr>
          <w:p w14:paraId="31826EAA" w14:textId="77777777" w:rsidR="00A00259" w:rsidRDefault="00371282">
            <w:pPr>
              <w:pStyle w:val="P68B1DB1-Normal12"/>
              <w:spacing w:after="0" w:line="240" w:lineRule="auto"/>
              <w:rPr>
                <w:rFonts w:eastAsia="Times New Roman"/>
                <w:noProof/>
              </w:rPr>
            </w:pPr>
            <w:r>
              <w:rPr>
                <w:noProof/>
              </w:rPr>
              <w:t>Entrée en vigueur d'une loi sur le recyclage et la mise en décharge ainsi que l'introduction d'incitations pour les municipalités à atteindre des taux élevés de réutilisation et de recyclage et la mise en œuvre d'une taxe de mise en décharge. La taxe de mise en décharge est appliquée à partir du premier trimestre de 2022 et les tarifs augmentent progressivement jusqu’à ce qu’ils atteignent le seuil supérieur de la taxe de mise en décharge d’ici le troisième trimestre de 2024.</w:t>
            </w:r>
          </w:p>
        </w:tc>
      </w:tr>
      <w:tr w:rsidR="00A00259" w14:paraId="3953229D" w14:textId="77777777" w:rsidTr="00CE3F9A">
        <w:trPr>
          <w:trHeight w:val="309"/>
          <w:jc w:val="center"/>
        </w:trPr>
        <w:tc>
          <w:tcPr>
            <w:tcW w:w="675" w:type="dxa"/>
            <w:shd w:val="clear" w:color="auto" w:fill="C6EFCE"/>
            <w:noWrap/>
          </w:tcPr>
          <w:p w14:paraId="656D7F56" w14:textId="77777777" w:rsidR="00A00259" w:rsidRDefault="00371282">
            <w:pPr>
              <w:pStyle w:val="P68B1DB1-Normal12"/>
              <w:spacing w:after="0" w:line="240" w:lineRule="auto"/>
              <w:rPr>
                <w:rFonts w:eastAsia="Times New Roman"/>
                <w:noProof/>
              </w:rPr>
            </w:pPr>
            <w:r>
              <w:rPr>
                <w:noProof/>
              </w:rPr>
              <w:t>57</w:t>
            </w:r>
          </w:p>
        </w:tc>
        <w:tc>
          <w:tcPr>
            <w:tcW w:w="1953" w:type="dxa"/>
            <w:shd w:val="clear" w:color="auto" w:fill="C6EFCE"/>
            <w:noWrap/>
          </w:tcPr>
          <w:p w14:paraId="34BB02D9" w14:textId="77777777" w:rsidR="00A00259" w:rsidRDefault="00371282">
            <w:pPr>
              <w:pStyle w:val="P68B1DB1-Normal12"/>
              <w:spacing w:after="0" w:line="240" w:lineRule="auto"/>
              <w:rPr>
                <w:rFonts w:eastAsia="Times New Roman"/>
                <w:noProof/>
              </w:rPr>
            </w:pPr>
            <w:r>
              <w:rPr>
                <w:noProof/>
              </w:rPr>
              <w:t>4 - 1.4. «Utilisation durable des ressources, résilience au changement climatique et protection de l’environnement» - 16772_Loi sur la gestion des déchets pour la mise en œuvre d’une mise en décharge et d’un recyclage durables</w:t>
            </w:r>
          </w:p>
        </w:tc>
        <w:tc>
          <w:tcPr>
            <w:tcW w:w="1162" w:type="dxa"/>
            <w:shd w:val="clear" w:color="auto" w:fill="C6EFCE"/>
            <w:noWrap/>
          </w:tcPr>
          <w:p w14:paraId="05691B4C" w14:textId="77777777" w:rsidR="00A00259" w:rsidRDefault="00371282">
            <w:pPr>
              <w:pStyle w:val="P68B1DB1-Normal12"/>
              <w:spacing w:after="0" w:line="240" w:lineRule="auto"/>
              <w:rPr>
                <w:rFonts w:eastAsia="Times New Roman"/>
                <w:noProof/>
              </w:rPr>
            </w:pPr>
            <w:r>
              <w:rPr>
                <w:noProof/>
              </w:rPr>
              <w:t>Étape</w:t>
            </w:r>
          </w:p>
        </w:tc>
        <w:tc>
          <w:tcPr>
            <w:tcW w:w="1190" w:type="dxa"/>
            <w:shd w:val="clear" w:color="auto" w:fill="C6EFCE"/>
            <w:noWrap/>
          </w:tcPr>
          <w:p w14:paraId="2C48EBA2" w14:textId="77777777" w:rsidR="00A00259" w:rsidRDefault="00371282">
            <w:pPr>
              <w:pStyle w:val="P68B1DB1-Normal12"/>
              <w:spacing w:after="0" w:line="240" w:lineRule="auto"/>
              <w:rPr>
                <w:rFonts w:eastAsia="Times New Roman"/>
                <w:noProof/>
              </w:rPr>
            </w:pPr>
            <w:r>
              <w:rPr>
                <w:noProof/>
              </w:rPr>
              <w:t>Entrée en vigueur de la loi réglementant la gestion des déchets</w:t>
            </w:r>
          </w:p>
        </w:tc>
        <w:tc>
          <w:tcPr>
            <w:tcW w:w="1468" w:type="dxa"/>
            <w:shd w:val="clear" w:color="auto" w:fill="C6EFCE"/>
            <w:noWrap/>
          </w:tcPr>
          <w:p w14:paraId="04846219" w14:textId="77777777" w:rsidR="00A00259" w:rsidRDefault="00371282">
            <w:pPr>
              <w:pStyle w:val="P68B1DB1-Normal12"/>
              <w:spacing w:after="0" w:line="240" w:lineRule="auto"/>
              <w:rPr>
                <w:rFonts w:eastAsia="Times New Roman"/>
                <w:noProof/>
              </w:rPr>
            </w:pPr>
            <w:r>
              <w:rPr>
                <w:noProof/>
              </w:rPr>
              <w:t xml:space="preserve">Entrée en vigueur de la législation </w:t>
            </w:r>
          </w:p>
        </w:tc>
        <w:tc>
          <w:tcPr>
            <w:tcW w:w="1031" w:type="dxa"/>
            <w:shd w:val="clear" w:color="auto" w:fill="C6EFCE"/>
            <w:noWrap/>
          </w:tcPr>
          <w:p w14:paraId="65B40E0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53" w:type="dxa"/>
            <w:shd w:val="clear" w:color="auto" w:fill="C6EFCE"/>
            <w:noWrap/>
          </w:tcPr>
          <w:p w14:paraId="478C190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64A941F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C547673" w14:textId="77777777" w:rsidR="00A00259" w:rsidRDefault="00371282">
            <w:pPr>
              <w:pStyle w:val="P68B1DB1-Normal12"/>
              <w:spacing w:after="0" w:line="240" w:lineRule="auto"/>
              <w:rPr>
                <w:rFonts w:eastAsia="Times New Roman"/>
                <w:noProof/>
              </w:rPr>
            </w:pPr>
            <w:r>
              <w:rPr>
                <w:noProof/>
              </w:rPr>
              <w:t>T3</w:t>
            </w:r>
          </w:p>
        </w:tc>
        <w:tc>
          <w:tcPr>
            <w:tcW w:w="709" w:type="dxa"/>
            <w:shd w:val="clear" w:color="auto" w:fill="C6EFCE"/>
            <w:noWrap/>
          </w:tcPr>
          <w:p w14:paraId="5F50EBD2" w14:textId="77777777" w:rsidR="00A00259" w:rsidRDefault="00371282">
            <w:pPr>
              <w:pStyle w:val="P68B1DB1-Normal12"/>
              <w:spacing w:after="0" w:line="240" w:lineRule="auto"/>
              <w:rPr>
                <w:rFonts w:eastAsia="Times New Roman"/>
                <w:noProof/>
              </w:rPr>
            </w:pPr>
            <w:r>
              <w:rPr>
                <w:noProof/>
              </w:rPr>
              <w:t>2022</w:t>
            </w:r>
          </w:p>
        </w:tc>
        <w:tc>
          <w:tcPr>
            <w:tcW w:w="4675" w:type="dxa"/>
            <w:shd w:val="clear" w:color="auto" w:fill="C6EFCE"/>
            <w:noWrap/>
          </w:tcPr>
          <w:p w14:paraId="3E73D385" w14:textId="77777777" w:rsidR="00A00259" w:rsidRDefault="00371282">
            <w:pPr>
              <w:pStyle w:val="P68B1DB1-Normal12"/>
              <w:spacing w:after="0" w:line="240" w:lineRule="auto"/>
              <w:jc w:val="both"/>
              <w:rPr>
                <w:rFonts w:eastAsia="Times New Roman"/>
                <w:noProof/>
              </w:rPr>
            </w:pPr>
            <w:r>
              <w:rPr>
                <w:noProof/>
              </w:rPr>
              <w:t>Entrée en vigueur d'une loi visant à:</w:t>
            </w:r>
          </w:p>
          <w:p w14:paraId="7C86754C" w14:textId="77777777" w:rsidR="00A00259" w:rsidRDefault="00371282">
            <w:pPr>
              <w:pStyle w:val="P68B1DB1-Normal12"/>
              <w:numPr>
                <w:ilvl w:val="0"/>
                <w:numId w:val="27"/>
              </w:numPr>
              <w:spacing w:after="0" w:line="240" w:lineRule="auto"/>
              <w:jc w:val="both"/>
              <w:rPr>
                <w:rFonts w:eastAsia="Times New Roman"/>
                <w:noProof/>
              </w:rPr>
            </w:pPr>
            <w:r>
              <w:rPr>
                <w:noProof/>
              </w:rPr>
              <w:t>mettre en place une autorité nationale de régulation des déchets, son fonctionnement et ses responsabilités;</w:t>
            </w:r>
          </w:p>
          <w:p w14:paraId="4D4ED899" w14:textId="77777777" w:rsidR="00A00259" w:rsidRDefault="00371282">
            <w:pPr>
              <w:pStyle w:val="P68B1DB1-Normal12"/>
              <w:numPr>
                <w:ilvl w:val="0"/>
                <w:numId w:val="27"/>
              </w:numPr>
              <w:spacing w:after="0" w:line="240" w:lineRule="auto"/>
              <w:jc w:val="both"/>
              <w:rPr>
                <w:rFonts w:eastAsia="Times New Roman"/>
                <w:noProof/>
              </w:rPr>
            </w:pPr>
            <w:r>
              <w:rPr>
                <w:noProof/>
              </w:rPr>
              <w:t>Réforme des organismes régionaux et locaux de gestion des déchets (FOSDA); et</w:t>
            </w:r>
          </w:p>
          <w:p w14:paraId="64D84650" w14:textId="77777777" w:rsidR="00A00259" w:rsidRDefault="00371282">
            <w:pPr>
              <w:pStyle w:val="P68B1DB1-Normal23"/>
              <w:numPr>
                <w:ilvl w:val="0"/>
                <w:numId w:val="27"/>
              </w:numPr>
              <w:spacing w:after="0" w:line="240" w:lineRule="auto"/>
              <w:jc w:val="both"/>
              <w:rPr>
                <w:noProof/>
              </w:rPr>
            </w:pPr>
            <w:r>
              <w:rPr>
                <w:noProof/>
              </w:rPr>
              <w:t>Introduire des politiques saines de calcul des coûts et de tarification conformes aux principes du «pay as you throw» et du «pollueur-payeur».</w:t>
            </w:r>
          </w:p>
          <w:p w14:paraId="580E5802" w14:textId="77777777" w:rsidR="00A00259" w:rsidRDefault="00A00259">
            <w:pPr>
              <w:spacing w:after="0" w:line="240" w:lineRule="auto"/>
              <w:ind w:left="720"/>
              <w:jc w:val="both"/>
              <w:rPr>
                <w:rFonts w:ascii="Times New Roman" w:hAnsi="Times New Roman" w:cs="Times New Roman"/>
                <w:noProof/>
                <w:color w:val="006100"/>
                <w:sz w:val="18"/>
                <w:szCs w:val="18"/>
              </w:rPr>
            </w:pPr>
          </w:p>
        </w:tc>
      </w:tr>
      <w:tr w:rsidR="00A00259" w14:paraId="4AACF50D" w14:textId="77777777" w:rsidTr="00CE3F9A">
        <w:trPr>
          <w:trHeight w:val="309"/>
          <w:jc w:val="center"/>
        </w:trPr>
        <w:tc>
          <w:tcPr>
            <w:tcW w:w="675" w:type="dxa"/>
            <w:shd w:val="clear" w:color="auto" w:fill="C6EFCE"/>
            <w:noWrap/>
          </w:tcPr>
          <w:p w14:paraId="4563AB5D" w14:textId="77777777" w:rsidR="00A00259" w:rsidRDefault="00371282">
            <w:pPr>
              <w:pStyle w:val="P68B1DB1-Normal12"/>
              <w:spacing w:after="0" w:line="240" w:lineRule="auto"/>
              <w:rPr>
                <w:rFonts w:eastAsia="Times New Roman"/>
                <w:noProof/>
              </w:rPr>
            </w:pPr>
            <w:r>
              <w:rPr>
                <w:noProof/>
              </w:rPr>
              <w:t>58</w:t>
            </w:r>
          </w:p>
        </w:tc>
        <w:tc>
          <w:tcPr>
            <w:tcW w:w="1953" w:type="dxa"/>
            <w:shd w:val="clear" w:color="auto" w:fill="C6EFCE"/>
            <w:noWrap/>
          </w:tcPr>
          <w:p w14:paraId="1BB1EFD2" w14:textId="77777777" w:rsidR="00A00259" w:rsidRDefault="00371282">
            <w:pPr>
              <w:pStyle w:val="P68B1DB1-Normal12"/>
              <w:spacing w:after="0" w:line="240" w:lineRule="auto"/>
              <w:rPr>
                <w:rFonts w:eastAsia="Times New Roman"/>
                <w:noProof/>
              </w:rPr>
            </w:pPr>
            <w:r>
              <w:rPr>
                <w:noProof/>
              </w:rPr>
              <w:t>4 - 1.4. Utilisation durable des ressources, résilience au changement climatique et protection de l'environnement - 16979_Création d'une nouvelle autorité de régulation de l'eau et des eaux usées</w:t>
            </w:r>
          </w:p>
        </w:tc>
        <w:tc>
          <w:tcPr>
            <w:tcW w:w="1162" w:type="dxa"/>
            <w:shd w:val="clear" w:color="auto" w:fill="C6EFCE"/>
            <w:noWrap/>
          </w:tcPr>
          <w:p w14:paraId="144A0762" w14:textId="77777777" w:rsidR="00A00259" w:rsidRDefault="00371282">
            <w:pPr>
              <w:pStyle w:val="P68B1DB1-Normal12"/>
              <w:spacing w:after="0" w:line="240" w:lineRule="auto"/>
              <w:rPr>
                <w:rFonts w:eastAsia="Times New Roman"/>
                <w:noProof/>
              </w:rPr>
            </w:pPr>
            <w:r>
              <w:rPr>
                <w:noProof/>
              </w:rPr>
              <w:t>Étape</w:t>
            </w:r>
          </w:p>
        </w:tc>
        <w:tc>
          <w:tcPr>
            <w:tcW w:w="1190" w:type="dxa"/>
            <w:shd w:val="clear" w:color="auto" w:fill="C6EFCE"/>
            <w:noWrap/>
          </w:tcPr>
          <w:p w14:paraId="770A0800" w14:textId="77777777" w:rsidR="00A00259" w:rsidRDefault="00371282">
            <w:pPr>
              <w:pStyle w:val="P68B1DB1-Normal12"/>
              <w:spacing w:after="0" w:line="240" w:lineRule="auto"/>
              <w:rPr>
                <w:rFonts w:eastAsia="Times New Roman"/>
                <w:noProof/>
              </w:rPr>
            </w:pPr>
            <w:r>
              <w:rPr>
                <w:noProof/>
              </w:rPr>
              <w:t>Entrée en vigueur de la loi sur les régulateurs de l'eau</w:t>
            </w:r>
          </w:p>
        </w:tc>
        <w:tc>
          <w:tcPr>
            <w:tcW w:w="1468" w:type="dxa"/>
            <w:shd w:val="clear" w:color="auto" w:fill="C6EFCE"/>
            <w:noWrap/>
          </w:tcPr>
          <w:p w14:paraId="56E1DA31" w14:textId="77777777" w:rsidR="00A00259" w:rsidRDefault="00371282">
            <w:pPr>
              <w:pStyle w:val="P68B1DB1-Normal12"/>
              <w:spacing w:after="0" w:line="240" w:lineRule="auto"/>
              <w:rPr>
                <w:rFonts w:eastAsia="Times New Roman"/>
                <w:noProof/>
              </w:rPr>
            </w:pPr>
            <w:r>
              <w:rPr>
                <w:noProof/>
              </w:rPr>
              <w:t xml:space="preserve">Entrée en vigueur de la législation </w:t>
            </w:r>
          </w:p>
        </w:tc>
        <w:tc>
          <w:tcPr>
            <w:tcW w:w="1031" w:type="dxa"/>
            <w:shd w:val="clear" w:color="auto" w:fill="C6EFCE"/>
            <w:noWrap/>
          </w:tcPr>
          <w:p w14:paraId="317C5CB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53" w:type="dxa"/>
            <w:shd w:val="clear" w:color="auto" w:fill="C6EFCE"/>
            <w:noWrap/>
          </w:tcPr>
          <w:p w14:paraId="0AFEE82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701CCEB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C327B27"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57AB3DA4" w14:textId="77777777" w:rsidR="00A00259" w:rsidRDefault="00371282">
            <w:pPr>
              <w:pStyle w:val="P68B1DB1-Normal12"/>
              <w:spacing w:after="0" w:line="240" w:lineRule="auto"/>
              <w:rPr>
                <w:rFonts w:eastAsia="Times New Roman"/>
                <w:noProof/>
              </w:rPr>
            </w:pPr>
            <w:r>
              <w:rPr>
                <w:noProof/>
              </w:rPr>
              <w:t>2022</w:t>
            </w:r>
          </w:p>
        </w:tc>
        <w:tc>
          <w:tcPr>
            <w:tcW w:w="4675" w:type="dxa"/>
            <w:shd w:val="clear" w:color="auto" w:fill="C6EFCE"/>
            <w:noWrap/>
          </w:tcPr>
          <w:p w14:paraId="5F689870" w14:textId="77777777" w:rsidR="00A00259" w:rsidRDefault="00371282">
            <w:pPr>
              <w:pStyle w:val="P68B1DB1-Normal12"/>
              <w:spacing w:after="0" w:line="240" w:lineRule="auto"/>
              <w:rPr>
                <w:rFonts w:eastAsia="Times New Roman"/>
                <w:noProof/>
              </w:rPr>
            </w:pPr>
            <w:r>
              <w:rPr>
                <w:noProof/>
              </w:rPr>
              <w:t>Entrée en vigueur d'une loi portant création et fonctionnement d'une nouvelle autorité de régulation de l'eau et des eaux usées.</w:t>
            </w:r>
          </w:p>
        </w:tc>
      </w:tr>
      <w:tr w:rsidR="00A00259" w14:paraId="7AC514A4" w14:textId="77777777" w:rsidTr="00CE3F9A">
        <w:trPr>
          <w:trHeight w:val="309"/>
          <w:jc w:val="center"/>
        </w:trPr>
        <w:tc>
          <w:tcPr>
            <w:tcW w:w="675" w:type="dxa"/>
            <w:shd w:val="clear" w:color="auto" w:fill="C6EFCE"/>
            <w:noWrap/>
          </w:tcPr>
          <w:p w14:paraId="6841D0EE" w14:textId="77777777" w:rsidR="00A00259" w:rsidRDefault="00371282">
            <w:pPr>
              <w:pStyle w:val="P68B1DB1-Normal12"/>
              <w:spacing w:after="0" w:line="240" w:lineRule="auto"/>
              <w:rPr>
                <w:rFonts w:eastAsia="Times New Roman"/>
                <w:noProof/>
              </w:rPr>
            </w:pPr>
            <w:r>
              <w:rPr>
                <w:noProof/>
              </w:rPr>
              <w:t>59</w:t>
            </w:r>
          </w:p>
        </w:tc>
        <w:tc>
          <w:tcPr>
            <w:tcW w:w="1953" w:type="dxa"/>
            <w:shd w:val="clear" w:color="auto" w:fill="C6EFCE"/>
            <w:noWrap/>
          </w:tcPr>
          <w:p w14:paraId="3FF9392A" w14:textId="77777777" w:rsidR="00A00259" w:rsidRDefault="00371282">
            <w:pPr>
              <w:pStyle w:val="P68B1DB1-Normal12"/>
              <w:spacing w:after="0" w:line="240" w:lineRule="auto"/>
              <w:rPr>
                <w:rFonts w:eastAsia="Times New Roman"/>
                <w:noProof/>
              </w:rPr>
            </w:pPr>
            <w:r>
              <w:rPr>
                <w:noProof/>
              </w:rPr>
              <w:t>4 - 1.4. «Utilisation durable des ressources, résilience au changement climatique et protection de l’environnement» - 16772_Loi sur la gestion des déchets pour la mise en œuvre d’une mise en décharge et d’un recyclage durables</w:t>
            </w:r>
          </w:p>
        </w:tc>
        <w:tc>
          <w:tcPr>
            <w:tcW w:w="1162" w:type="dxa"/>
            <w:shd w:val="clear" w:color="auto" w:fill="C6EFCE"/>
            <w:noWrap/>
          </w:tcPr>
          <w:p w14:paraId="5712E004" w14:textId="77777777" w:rsidR="00A00259" w:rsidRDefault="00371282">
            <w:pPr>
              <w:pStyle w:val="P68B1DB1-Normal12"/>
              <w:spacing w:after="0" w:line="240" w:lineRule="auto"/>
              <w:rPr>
                <w:rFonts w:eastAsia="Times New Roman"/>
                <w:noProof/>
              </w:rPr>
            </w:pPr>
            <w:r>
              <w:rPr>
                <w:noProof/>
              </w:rPr>
              <w:t>Étape</w:t>
            </w:r>
          </w:p>
        </w:tc>
        <w:tc>
          <w:tcPr>
            <w:tcW w:w="1190" w:type="dxa"/>
            <w:shd w:val="clear" w:color="auto" w:fill="C6EFCE"/>
            <w:noWrap/>
          </w:tcPr>
          <w:p w14:paraId="0A28D88A" w14:textId="77777777" w:rsidR="00A00259" w:rsidRDefault="00371282">
            <w:pPr>
              <w:pStyle w:val="P68B1DB1-Normal12"/>
              <w:spacing w:after="0" w:line="240" w:lineRule="auto"/>
              <w:rPr>
                <w:rFonts w:eastAsia="Times New Roman"/>
                <w:noProof/>
              </w:rPr>
            </w:pPr>
            <w:r>
              <w:rPr>
                <w:noProof/>
              </w:rPr>
              <w:t>Mise en place et fonctionnement du régulateur de la gestion des déchets</w:t>
            </w:r>
          </w:p>
        </w:tc>
        <w:tc>
          <w:tcPr>
            <w:tcW w:w="1468" w:type="dxa"/>
            <w:shd w:val="clear" w:color="auto" w:fill="C6EFCE"/>
            <w:noWrap/>
          </w:tcPr>
          <w:p w14:paraId="5C07ECDD" w14:textId="77777777" w:rsidR="00A00259" w:rsidRDefault="00371282">
            <w:pPr>
              <w:pStyle w:val="P68B1DB1-Normal12"/>
              <w:spacing w:after="0" w:line="240" w:lineRule="auto"/>
              <w:rPr>
                <w:rFonts w:eastAsia="Times New Roman"/>
                <w:noProof/>
              </w:rPr>
            </w:pPr>
            <w:r>
              <w:rPr>
                <w:noProof/>
              </w:rPr>
              <w:t xml:space="preserve">Entrée en vigueur d'une décision ministérielle conjointe et de toutes les mesures administratives et législatives nécessaires à la création de l'Autorité </w:t>
            </w:r>
          </w:p>
        </w:tc>
        <w:tc>
          <w:tcPr>
            <w:tcW w:w="1031" w:type="dxa"/>
            <w:shd w:val="clear" w:color="auto" w:fill="C6EFCE"/>
            <w:noWrap/>
          </w:tcPr>
          <w:p w14:paraId="3716C61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53" w:type="dxa"/>
            <w:shd w:val="clear" w:color="auto" w:fill="C6EFCE"/>
            <w:noWrap/>
          </w:tcPr>
          <w:p w14:paraId="7FBAE24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3F86DFC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3442F0F7"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07230542" w14:textId="77777777" w:rsidR="00A00259" w:rsidRDefault="00371282">
            <w:pPr>
              <w:pStyle w:val="P68B1DB1-Normal12"/>
              <w:spacing w:after="0" w:line="240" w:lineRule="auto"/>
              <w:rPr>
                <w:rFonts w:eastAsia="Times New Roman"/>
                <w:noProof/>
              </w:rPr>
            </w:pPr>
            <w:r>
              <w:rPr>
                <w:noProof/>
              </w:rPr>
              <w:t>2023</w:t>
            </w:r>
          </w:p>
        </w:tc>
        <w:tc>
          <w:tcPr>
            <w:tcW w:w="4675" w:type="dxa"/>
            <w:shd w:val="clear" w:color="auto" w:fill="C6EFCE"/>
            <w:noWrap/>
          </w:tcPr>
          <w:p w14:paraId="658D5A10" w14:textId="77777777" w:rsidR="00A00259" w:rsidRDefault="00371282">
            <w:pPr>
              <w:pStyle w:val="P68B1DB1-Normal12"/>
              <w:spacing w:after="0" w:line="240" w:lineRule="auto"/>
              <w:rPr>
                <w:rFonts w:eastAsia="Times New Roman"/>
                <w:noProof/>
              </w:rPr>
            </w:pPr>
            <w:r>
              <w:rPr>
                <w:noProof/>
              </w:rPr>
              <w:t>La nouvelle autorité nationale de régulation des déchets est dotée de personnel et de locaux.</w:t>
            </w:r>
          </w:p>
        </w:tc>
      </w:tr>
      <w:tr w:rsidR="00A00259" w14:paraId="137C185B" w14:textId="77777777" w:rsidTr="00CE3F9A">
        <w:trPr>
          <w:trHeight w:val="309"/>
          <w:jc w:val="center"/>
        </w:trPr>
        <w:tc>
          <w:tcPr>
            <w:tcW w:w="675" w:type="dxa"/>
            <w:shd w:val="clear" w:color="auto" w:fill="C6EFCE"/>
            <w:noWrap/>
          </w:tcPr>
          <w:p w14:paraId="75B5C8F1" w14:textId="77777777" w:rsidR="00A00259" w:rsidRDefault="00371282">
            <w:pPr>
              <w:pStyle w:val="P68B1DB1-Normal12"/>
              <w:spacing w:after="0" w:line="240" w:lineRule="auto"/>
              <w:rPr>
                <w:noProof/>
              </w:rPr>
            </w:pPr>
            <w:r>
              <w:rPr>
                <w:noProof/>
              </w:rPr>
              <w:t>59a</w:t>
            </w:r>
          </w:p>
        </w:tc>
        <w:tc>
          <w:tcPr>
            <w:tcW w:w="1953" w:type="dxa"/>
            <w:shd w:val="clear" w:color="auto" w:fill="C6EFCE"/>
            <w:noWrap/>
          </w:tcPr>
          <w:p w14:paraId="59EABF02" w14:textId="77777777" w:rsidR="00A00259" w:rsidRDefault="00371282">
            <w:pPr>
              <w:pStyle w:val="P68B1DB1-Normal12"/>
              <w:spacing w:after="0" w:line="240" w:lineRule="auto"/>
              <w:rPr>
                <w:noProof/>
              </w:rPr>
            </w:pPr>
            <w:r>
              <w:rPr>
                <w:noProof/>
              </w:rPr>
              <w:t>4 - 1.4. «Utilisation durable des ressources, résilience au changement climatique et protection de l'environnement» - 16772_Loi sur la gestion des déchets pour une mise en décharge et un recyclage durables</w:t>
            </w:r>
          </w:p>
        </w:tc>
        <w:tc>
          <w:tcPr>
            <w:tcW w:w="1162" w:type="dxa"/>
            <w:shd w:val="clear" w:color="auto" w:fill="C6EFCE"/>
            <w:noWrap/>
          </w:tcPr>
          <w:p w14:paraId="1DAE9A80" w14:textId="77777777" w:rsidR="00A00259" w:rsidRDefault="00371282">
            <w:pPr>
              <w:pStyle w:val="P68B1DB1-Normal12"/>
              <w:spacing w:after="0" w:line="240" w:lineRule="auto"/>
              <w:rPr>
                <w:noProof/>
              </w:rPr>
            </w:pPr>
            <w:r>
              <w:rPr>
                <w:noProof/>
              </w:rPr>
              <w:t>Étape</w:t>
            </w:r>
          </w:p>
        </w:tc>
        <w:tc>
          <w:tcPr>
            <w:tcW w:w="1190" w:type="dxa"/>
            <w:shd w:val="clear" w:color="auto" w:fill="C6EFCE"/>
            <w:noWrap/>
          </w:tcPr>
          <w:p w14:paraId="4E69F41F" w14:textId="1CCC006B" w:rsidR="00A00259" w:rsidRDefault="00371282">
            <w:pPr>
              <w:pStyle w:val="P68B1DB1-Normal12"/>
              <w:spacing w:after="0" w:line="240" w:lineRule="auto"/>
              <w:rPr>
                <w:rFonts w:eastAsiaTheme="minorEastAsia"/>
                <w:noProof/>
              </w:rPr>
            </w:pPr>
            <w:r>
              <w:rPr>
                <w:noProof/>
              </w:rPr>
              <w:t>Évaluation de l’adéquation managériale des organismes de gestion des déchets solides par l’autorité de régulation</w:t>
            </w:r>
          </w:p>
        </w:tc>
        <w:tc>
          <w:tcPr>
            <w:tcW w:w="1468" w:type="dxa"/>
            <w:shd w:val="clear" w:color="auto" w:fill="C6EFCE"/>
            <w:noWrap/>
          </w:tcPr>
          <w:p w14:paraId="51C71803" w14:textId="71030F7A" w:rsidR="00A00259" w:rsidRDefault="00371282">
            <w:pPr>
              <w:pStyle w:val="P68B1DB1-Normal23"/>
              <w:spacing w:after="0" w:line="240" w:lineRule="auto"/>
              <w:rPr>
                <w:noProof/>
              </w:rPr>
            </w:pPr>
            <w:r>
              <w:rPr>
                <w:noProof/>
              </w:rPr>
              <w:t>14 décisions annuelles sur l’adéquation de la gestion des organismes grecs de gestion des déchets solides (FODSA) par l’autorité de régulation des déchets, de l’énergie et de l’eau (RAAEY) pour l’année 2026</w:t>
            </w:r>
          </w:p>
        </w:tc>
        <w:tc>
          <w:tcPr>
            <w:tcW w:w="1031" w:type="dxa"/>
            <w:shd w:val="clear" w:color="auto" w:fill="C6EFCE"/>
            <w:noWrap/>
          </w:tcPr>
          <w:p w14:paraId="5DF1014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53" w:type="dxa"/>
            <w:shd w:val="clear" w:color="auto" w:fill="C6EFCE"/>
            <w:noWrap/>
          </w:tcPr>
          <w:p w14:paraId="01CA167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40CCDD1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0E4AEA52" w14:textId="77777777" w:rsidR="00A00259" w:rsidRDefault="00371282">
            <w:pPr>
              <w:pStyle w:val="P68B1DB1-Normal12"/>
              <w:spacing w:after="0" w:line="240" w:lineRule="auto"/>
              <w:rPr>
                <w:noProof/>
              </w:rPr>
            </w:pPr>
            <w:r>
              <w:rPr>
                <w:noProof/>
              </w:rPr>
              <w:t>T4</w:t>
            </w:r>
          </w:p>
        </w:tc>
        <w:tc>
          <w:tcPr>
            <w:tcW w:w="709" w:type="dxa"/>
            <w:shd w:val="clear" w:color="auto" w:fill="C6EFCE"/>
            <w:noWrap/>
          </w:tcPr>
          <w:p w14:paraId="6B0BF4EC" w14:textId="77777777" w:rsidR="00A00259" w:rsidRDefault="00371282">
            <w:pPr>
              <w:pStyle w:val="P68B1DB1-Normal12"/>
              <w:spacing w:after="0" w:line="240" w:lineRule="auto"/>
              <w:rPr>
                <w:noProof/>
              </w:rPr>
            </w:pPr>
            <w:r>
              <w:rPr>
                <w:noProof/>
              </w:rPr>
              <w:t>2025</w:t>
            </w:r>
          </w:p>
        </w:tc>
        <w:tc>
          <w:tcPr>
            <w:tcW w:w="4675" w:type="dxa"/>
            <w:shd w:val="clear" w:color="auto" w:fill="C6EFCE"/>
            <w:noWrap/>
          </w:tcPr>
          <w:p w14:paraId="44BFF739" w14:textId="5BF3E682" w:rsidR="00A00259" w:rsidRDefault="00371282">
            <w:pPr>
              <w:pStyle w:val="P68B1DB1-Normal23"/>
              <w:spacing w:after="0" w:line="240" w:lineRule="auto"/>
              <w:rPr>
                <w:noProof/>
              </w:rPr>
            </w:pPr>
            <w:r>
              <w:rPr>
                <w:noProof/>
              </w:rPr>
              <w:t>L’autorité de régulation des déchets, de l’énergie et de l’eau (RAAEY) rend 14 décisions individuelles, chacune confirmant l’adéquation de la gestion de l’un des 14 organismes grecs de gestion des déchets solides (FODSA) conformément aux exigences en matière d’évaluation annuelle prévues par la législation nationale.</w:t>
            </w:r>
          </w:p>
        </w:tc>
      </w:tr>
      <w:tr w:rsidR="00A00259" w14:paraId="3A7223F1" w14:textId="77777777" w:rsidTr="00CE3F9A">
        <w:trPr>
          <w:trHeight w:val="309"/>
          <w:jc w:val="center"/>
        </w:trPr>
        <w:tc>
          <w:tcPr>
            <w:tcW w:w="675" w:type="dxa"/>
            <w:shd w:val="clear" w:color="auto" w:fill="C6EFCE"/>
            <w:noWrap/>
          </w:tcPr>
          <w:p w14:paraId="1ABF1BF3" w14:textId="77777777" w:rsidR="00A00259" w:rsidRDefault="00371282">
            <w:pPr>
              <w:pStyle w:val="P68B1DB1-Normal12"/>
              <w:spacing w:after="0" w:line="240" w:lineRule="auto"/>
              <w:rPr>
                <w:rFonts w:eastAsia="Times New Roman"/>
                <w:noProof/>
              </w:rPr>
            </w:pPr>
            <w:r>
              <w:rPr>
                <w:noProof/>
              </w:rPr>
              <w:t>60</w:t>
            </w:r>
          </w:p>
        </w:tc>
        <w:tc>
          <w:tcPr>
            <w:tcW w:w="1953" w:type="dxa"/>
            <w:shd w:val="clear" w:color="auto" w:fill="C6EFCE"/>
            <w:noWrap/>
          </w:tcPr>
          <w:p w14:paraId="309FF84B" w14:textId="77777777" w:rsidR="00A00259" w:rsidRDefault="00371282">
            <w:pPr>
              <w:pStyle w:val="P68B1DB1-Normal12"/>
              <w:spacing w:after="0" w:line="240" w:lineRule="auto"/>
              <w:rPr>
                <w:rFonts w:eastAsia="Times New Roman"/>
                <w:noProof/>
              </w:rPr>
            </w:pPr>
            <w:r>
              <w:rPr>
                <w:noProof/>
              </w:rPr>
              <w:t>4 - 1.4. Utilisation durable des ressources, résilience au changement climatique et protection de l'environnement - 16979_Création d'une nouvelle autorité de régulation de l'eau et des eaux usées</w:t>
            </w:r>
          </w:p>
        </w:tc>
        <w:tc>
          <w:tcPr>
            <w:tcW w:w="1162" w:type="dxa"/>
            <w:shd w:val="clear" w:color="auto" w:fill="C6EFCE"/>
            <w:noWrap/>
          </w:tcPr>
          <w:p w14:paraId="040525DF" w14:textId="77777777" w:rsidR="00A00259" w:rsidRDefault="00371282">
            <w:pPr>
              <w:pStyle w:val="P68B1DB1-Normal12"/>
              <w:spacing w:after="0" w:line="240" w:lineRule="auto"/>
              <w:rPr>
                <w:rFonts w:eastAsia="Times New Roman"/>
                <w:noProof/>
              </w:rPr>
            </w:pPr>
            <w:r>
              <w:rPr>
                <w:noProof/>
              </w:rPr>
              <w:t>Étape</w:t>
            </w:r>
          </w:p>
        </w:tc>
        <w:tc>
          <w:tcPr>
            <w:tcW w:w="1190" w:type="dxa"/>
            <w:shd w:val="clear" w:color="auto" w:fill="C6EFCE"/>
            <w:noWrap/>
          </w:tcPr>
          <w:p w14:paraId="548AA092" w14:textId="77777777" w:rsidR="00A00259" w:rsidRDefault="00371282">
            <w:pPr>
              <w:pStyle w:val="P68B1DB1-Normal12"/>
              <w:spacing w:after="0" w:line="240" w:lineRule="auto"/>
              <w:rPr>
                <w:rFonts w:eastAsia="Times New Roman"/>
                <w:noProof/>
              </w:rPr>
            </w:pPr>
            <w:r>
              <w:rPr>
                <w:noProof/>
              </w:rPr>
              <w:t>Mise en place et fonctionnement du régulateur de gestion de l'eau</w:t>
            </w:r>
          </w:p>
        </w:tc>
        <w:tc>
          <w:tcPr>
            <w:tcW w:w="1468" w:type="dxa"/>
            <w:shd w:val="clear" w:color="auto" w:fill="C6EFCE"/>
            <w:noWrap/>
          </w:tcPr>
          <w:p w14:paraId="653EE298" w14:textId="77777777" w:rsidR="00A00259" w:rsidRDefault="00371282">
            <w:pPr>
              <w:pStyle w:val="P68B1DB1-Normal12"/>
              <w:spacing w:after="0" w:line="240" w:lineRule="auto"/>
              <w:rPr>
                <w:rFonts w:eastAsia="Times New Roman"/>
                <w:noProof/>
              </w:rPr>
            </w:pPr>
            <w:r>
              <w:rPr>
                <w:noProof/>
              </w:rPr>
              <w:t xml:space="preserve">Entrée en vigueur d'une décision ministérielle conjointe et de toutes les mesures administratives et législatives nécessaires à la création de l'Autorité </w:t>
            </w:r>
          </w:p>
        </w:tc>
        <w:tc>
          <w:tcPr>
            <w:tcW w:w="1031" w:type="dxa"/>
            <w:shd w:val="clear" w:color="auto" w:fill="C6EFCE"/>
            <w:noWrap/>
          </w:tcPr>
          <w:p w14:paraId="3887CE1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53" w:type="dxa"/>
            <w:shd w:val="clear" w:color="auto" w:fill="C6EFCE"/>
            <w:noWrap/>
          </w:tcPr>
          <w:p w14:paraId="4CFA1F4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328E8EE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220C2E66"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485CBEAB" w14:textId="77777777" w:rsidR="00A00259" w:rsidRDefault="00371282">
            <w:pPr>
              <w:pStyle w:val="P68B1DB1-Normal12"/>
              <w:spacing w:after="0" w:line="240" w:lineRule="auto"/>
              <w:rPr>
                <w:rFonts w:eastAsia="Times New Roman"/>
                <w:noProof/>
              </w:rPr>
            </w:pPr>
            <w:r>
              <w:rPr>
                <w:noProof/>
              </w:rPr>
              <w:t>2023</w:t>
            </w:r>
          </w:p>
        </w:tc>
        <w:tc>
          <w:tcPr>
            <w:tcW w:w="4675" w:type="dxa"/>
            <w:shd w:val="clear" w:color="auto" w:fill="C6EFCE"/>
            <w:noWrap/>
          </w:tcPr>
          <w:p w14:paraId="290B8821" w14:textId="77777777" w:rsidR="00A00259" w:rsidRDefault="00371282">
            <w:pPr>
              <w:pStyle w:val="P68B1DB1-Normal12"/>
              <w:spacing w:after="0" w:line="240" w:lineRule="auto"/>
              <w:rPr>
                <w:rFonts w:eastAsia="Times New Roman"/>
                <w:noProof/>
              </w:rPr>
            </w:pPr>
            <w:r>
              <w:rPr>
                <w:noProof/>
              </w:rPr>
              <w:t>La nouvelle Autorité nationale de régulation de l'eau et des eaux usées est dotée d'un personnel et de locaux.</w:t>
            </w:r>
          </w:p>
        </w:tc>
      </w:tr>
      <w:tr w:rsidR="00A00259" w14:paraId="745E33A4" w14:textId="77777777" w:rsidTr="00CE3F9A">
        <w:trPr>
          <w:trHeight w:val="300"/>
          <w:jc w:val="center"/>
        </w:trPr>
        <w:tc>
          <w:tcPr>
            <w:tcW w:w="675" w:type="dxa"/>
            <w:shd w:val="clear" w:color="auto" w:fill="C6EFCE"/>
            <w:noWrap/>
          </w:tcPr>
          <w:p w14:paraId="47D9B91B" w14:textId="77777777" w:rsidR="00A00259" w:rsidRDefault="00371282">
            <w:pPr>
              <w:pStyle w:val="P68B1DB1-Normal12"/>
              <w:spacing w:line="240" w:lineRule="auto"/>
              <w:rPr>
                <w:noProof/>
              </w:rPr>
            </w:pPr>
            <w:r>
              <w:rPr>
                <w:noProof/>
              </w:rPr>
              <w:t>316</w:t>
            </w:r>
          </w:p>
        </w:tc>
        <w:tc>
          <w:tcPr>
            <w:tcW w:w="1953" w:type="dxa"/>
            <w:shd w:val="clear" w:color="auto" w:fill="C6EFCE"/>
            <w:noWrap/>
          </w:tcPr>
          <w:p w14:paraId="069F1183" w14:textId="77777777" w:rsidR="00A00259" w:rsidRDefault="00371282">
            <w:pPr>
              <w:pStyle w:val="P68B1DB1-Normal12"/>
              <w:spacing w:line="240" w:lineRule="auto"/>
              <w:rPr>
                <w:noProof/>
              </w:rPr>
            </w:pPr>
            <w:r>
              <w:rPr>
                <w:noProof/>
              </w:rPr>
              <w:t>4 - 1.4. Utilisation durable des ressources, résilience au changement climatique et protection de l’environnement – 16285_Stratégie nationale pour l’eau</w:t>
            </w:r>
          </w:p>
        </w:tc>
        <w:tc>
          <w:tcPr>
            <w:tcW w:w="1162" w:type="dxa"/>
            <w:shd w:val="clear" w:color="auto" w:fill="C6EFCE"/>
            <w:noWrap/>
          </w:tcPr>
          <w:p w14:paraId="1F6F73C2" w14:textId="77777777" w:rsidR="00A00259" w:rsidRDefault="00371282">
            <w:pPr>
              <w:pStyle w:val="P68B1DB1-Normal12"/>
              <w:spacing w:line="240" w:lineRule="auto"/>
              <w:rPr>
                <w:noProof/>
              </w:rPr>
            </w:pPr>
            <w:r>
              <w:rPr>
                <w:noProof/>
              </w:rPr>
              <w:t>Étape</w:t>
            </w:r>
          </w:p>
        </w:tc>
        <w:tc>
          <w:tcPr>
            <w:tcW w:w="1190" w:type="dxa"/>
            <w:shd w:val="clear" w:color="auto" w:fill="C6EFCE"/>
            <w:noWrap/>
          </w:tcPr>
          <w:p w14:paraId="11B8908D" w14:textId="77777777" w:rsidR="00A00259" w:rsidRDefault="00371282">
            <w:pPr>
              <w:pStyle w:val="P68B1DB1-Normal27"/>
              <w:spacing w:line="240" w:lineRule="auto"/>
              <w:rPr>
                <w:noProof/>
              </w:rPr>
            </w:pPr>
            <w:r>
              <w:rPr>
                <w:noProof/>
              </w:rPr>
              <w:t>Stratégie nationale de l'eau et élargissement des responsabilités de deux services publics de l'eau</w:t>
            </w:r>
          </w:p>
        </w:tc>
        <w:tc>
          <w:tcPr>
            <w:tcW w:w="1468" w:type="dxa"/>
            <w:shd w:val="clear" w:color="auto" w:fill="C6EFCE"/>
            <w:noWrap/>
          </w:tcPr>
          <w:p w14:paraId="1B0B3735" w14:textId="0070DA66" w:rsidR="00A00259" w:rsidRDefault="00371282">
            <w:pPr>
              <w:pStyle w:val="P68B1DB1-Normal27"/>
              <w:spacing w:after="0" w:line="240" w:lineRule="auto"/>
              <w:rPr>
                <w:noProof/>
              </w:rPr>
            </w:pPr>
            <w:r>
              <w:rPr>
                <w:noProof/>
              </w:rPr>
              <w:t>Entrée en vigueur d’actes juridiques pour l’adoption de la stratégie nationale de l’eau et l’élargissement des responsabilités de l’EYDAP (société d’approvisionnement en eau et d’assainissement d’Athènes) et de l’EYATH (société d’approvisionnement en eau et d’assainissement de Thessalonique)</w:t>
            </w:r>
          </w:p>
        </w:tc>
        <w:tc>
          <w:tcPr>
            <w:tcW w:w="1031" w:type="dxa"/>
            <w:shd w:val="clear" w:color="auto" w:fill="C6EFCE"/>
            <w:noWrap/>
          </w:tcPr>
          <w:p w14:paraId="1851A62D" w14:textId="77777777" w:rsidR="00A00259" w:rsidRDefault="00A00259">
            <w:pPr>
              <w:spacing w:line="240" w:lineRule="auto"/>
              <w:rPr>
                <w:rFonts w:ascii="Times New Roman" w:eastAsia="Times New Roman" w:hAnsi="Times New Roman" w:cs="Times New Roman"/>
                <w:noProof/>
                <w:color w:val="006100"/>
                <w:sz w:val="18"/>
                <w:szCs w:val="18"/>
              </w:rPr>
            </w:pPr>
          </w:p>
        </w:tc>
        <w:tc>
          <w:tcPr>
            <w:tcW w:w="1053" w:type="dxa"/>
            <w:shd w:val="clear" w:color="auto" w:fill="C6EFCE"/>
            <w:noWrap/>
          </w:tcPr>
          <w:p w14:paraId="0F60CF7D" w14:textId="77777777" w:rsidR="00A00259" w:rsidRDefault="00A00259">
            <w:pPr>
              <w:spacing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1004984C" w14:textId="77777777" w:rsidR="00A00259" w:rsidRDefault="00A00259">
            <w:pPr>
              <w:spacing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B5363B1" w14:textId="77777777" w:rsidR="00A00259" w:rsidRDefault="00371282">
            <w:pPr>
              <w:pStyle w:val="P68B1DB1-Normal12"/>
              <w:spacing w:line="240" w:lineRule="auto"/>
              <w:rPr>
                <w:noProof/>
              </w:rPr>
            </w:pPr>
            <w:r>
              <w:rPr>
                <w:noProof/>
              </w:rPr>
              <w:t>T4</w:t>
            </w:r>
          </w:p>
        </w:tc>
        <w:tc>
          <w:tcPr>
            <w:tcW w:w="709" w:type="dxa"/>
            <w:shd w:val="clear" w:color="auto" w:fill="C6EFCE"/>
            <w:noWrap/>
          </w:tcPr>
          <w:p w14:paraId="69244D19" w14:textId="77777777" w:rsidR="00A00259" w:rsidRDefault="00371282">
            <w:pPr>
              <w:pStyle w:val="P68B1DB1-Normal12"/>
              <w:spacing w:line="240" w:lineRule="auto"/>
              <w:rPr>
                <w:noProof/>
              </w:rPr>
            </w:pPr>
            <w:r>
              <w:rPr>
                <w:noProof/>
              </w:rPr>
              <w:t>2025</w:t>
            </w:r>
          </w:p>
        </w:tc>
        <w:tc>
          <w:tcPr>
            <w:tcW w:w="4675" w:type="dxa"/>
            <w:shd w:val="clear" w:color="auto" w:fill="C6EFCE"/>
            <w:noWrap/>
          </w:tcPr>
          <w:p w14:paraId="30AEA315" w14:textId="0CEE397D" w:rsidR="00A00259" w:rsidRDefault="00371282">
            <w:pPr>
              <w:pStyle w:val="P68B1DB1-Normal23"/>
              <w:spacing w:line="240" w:lineRule="auto"/>
              <w:rPr>
                <w:noProof/>
              </w:rPr>
            </w:pPr>
            <w:r>
              <w:rPr>
                <w:noProof/>
              </w:rPr>
              <w:t>Entrée en vigueur des actes juridiques suivants:</w:t>
            </w:r>
          </w:p>
          <w:p w14:paraId="36B31ECB" w14:textId="77777777" w:rsidR="00A00259" w:rsidRDefault="00371282">
            <w:pPr>
              <w:pStyle w:val="P68B1DB1-Normal23"/>
              <w:spacing w:line="240" w:lineRule="auto"/>
              <w:rPr>
                <w:noProof/>
              </w:rPr>
            </w:pPr>
            <w:r>
              <w:rPr>
                <w:noProof/>
              </w:rPr>
              <w:t>Stratégie nationale de l'eau évaluant l'état actuel de la gestion de l'eau et établissant des orientations politiques pour assurer la protection et la gestion durable des ressources en eau;</w:t>
            </w:r>
          </w:p>
          <w:p w14:paraId="10B11423" w14:textId="7EFA5522" w:rsidR="00A00259" w:rsidRDefault="00371282">
            <w:pPr>
              <w:pStyle w:val="P68B1DB1-Normal23"/>
              <w:spacing w:line="240" w:lineRule="auto"/>
              <w:rPr>
                <w:noProof/>
              </w:rPr>
            </w:pPr>
            <w:r>
              <w:rPr>
                <w:noProof/>
              </w:rPr>
              <w:t>acte juridique principal pour l’extension géographique des responsabilités de l’EYDAP (entreprise d’approvisionnement en eau et de traitement des eaux usées d’Athènes) à l’Attique et à la Béotie, et de l’EYATH (entreprise d’approvisionnement en eau et de traitement des eaux usées de Thessalonique) à Chalcidique et à Thessalonique, ainsi que pour l’extension de leurs responsabilités aux services d’eau d’irrigation.</w:t>
            </w:r>
          </w:p>
        </w:tc>
      </w:tr>
    </w:tbl>
    <w:p w14:paraId="5CF00BDE" w14:textId="77777777" w:rsidR="00A00259" w:rsidRDefault="00A00259">
      <w:pPr>
        <w:spacing w:before="120" w:after="120" w:line="240" w:lineRule="auto"/>
        <w:ind w:left="709"/>
        <w:jc w:val="both"/>
        <w:rPr>
          <w:rFonts w:ascii="Times New Roman" w:hAnsi="Times New Roman" w:cs="Times New Roman"/>
          <w:noProof/>
          <w:sz w:val="24"/>
          <w:szCs w:val="24"/>
        </w:rPr>
      </w:pPr>
    </w:p>
    <w:p w14:paraId="00043611" w14:textId="77777777" w:rsidR="00A00259" w:rsidRDefault="00A00259">
      <w:pPr>
        <w:keepNext/>
        <w:keepLines/>
        <w:spacing w:before="40" w:after="0" w:line="240" w:lineRule="auto"/>
        <w:jc w:val="both"/>
        <w:outlineLvl w:val="4"/>
        <w:rPr>
          <w:rFonts w:ascii="Cambria" w:hAnsi="Cambria"/>
          <w:noProof/>
          <w:color w:val="365F91"/>
          <w:sz w:val="24"/>
        </w:rPr>
        <w:sectPr w:rsidR="00A00259">
          <w:headerReference w:type="even" r:id="rId102"/>
          <w:headerReference w:type="default" r:id="rId103"/>
          <w:footerReference w:type="even" r:id="rId104"/>
          <w:footerReference w:type="default" r:id="rId105"/>
          <w:headerReference w:type="first" r:id="rId106"/>
          <w:footerReference w:type="first" r:id="rId107"/>
          <w:pgSz w:w="16839" w:h="11907" w:orient="landscape"/>
          <w:pgMar w:top="1134" w:right="1134" w:bottom="1134" w:left="1134" w:header="567" w:footer="567" w:gutter="0"/>
          <w:cols w:space="720"/>
          <w:docGrid w:linePitch="360"/>
        </w:sectPr>
      </w:pPr>
    </w:p>
    <w:p w14:paraId="3C9AEBAA" w14:textId="77777777" w:rsidR="00A00259" w:rsidRDefault="00371282">
      <w:pPr>
        <w:pStyle w:val="P68B1DB1-Normal9"/>
        <w:keepNext/>
        <w:keepLines/>
        <w:spacing w:before="40" w:after="0" w:line="240" w:lineRule="auto"/>
        <w:jc w:val="both"/>
        <w:outlineLvl w:val="4"/>
        <w:rPr>
          <w:rFonts w:eastAsia="Times New Roman"/>
          <w:noProof/>
        </w:rPr>
      </w:pPr>
      <w:r>
        <w:rPr>
          <w:noProof/>
        </w:rPr>
        <w:t>Groupe 5: Plan national de reboisement et protection de la biodiversité</w:t>
      </w:r>
    </w:p>
    <w:p w14:paraId="1E4FA929" w14:textId="16268F4F" w:rsidR="00A00259" w:rsidRDefault="00371282">
      <w:pPr>
        <w:pStyle w:val="P68B1DB1-Normal5"/>
        <w:spacing w:after="120" w:line="240" w:lineRule="auto"/>
        <w:rPr>
          <w:rFonts w:cs="Times New Roman"/>
          <w:noProof/>
        </w:rPr>
      </w:pPr>
      <w:r>
        <w:rPr>
          <w:noProof/>
        </w:rPr>
        <w:t>Les mesures incluses dans ce groupe sont les suivantes:</w:t>
      </w:r>
    </w:p>
    <w:p w14:paraId="71194768" w14:textId="77777777" w:rsidR="00A00259" w:rsidRDefault="00371282">
      <w:pPr>
        <w:spacing w:after="0" w:line="240" w:lineRule="auto"/>
        <w:rPr>
          <w:rFonts w:ascii="Times New Roman" w:hAnsi="Times New Roman" w:cs="Times New Roman"/>
          <w:noProof/>
          <w:sz w:val="24"/>
          <w:szCs w:val="24"/>
        </w:rPr>
      </w:pPr>
      <w:r>
        <w:rPr>
          <w:rFonts w:ascii="Times New Roman" w:hAnsi="Times New Roman"/>
          <w:noProof/>
          <w:sz w:val="24"/>
        </w:rPr>
        <w:t>●</w:t>
      </w:r>
      <w:r>
        <w:rPr>
          <w:noProof/>
        </w:rPr>
        <w:t xml:space="preserve"> </w:t>
      </w:r>
      <w:r>
        <w:rPr>
          <w:rFonts w:ascii="Times New Roman" w:hAnsi="Times New Roman"/>
          <w:noProof/>
          <w:sz w:val="24"/>
        </w:rPr>
        <w:t xml:space="preserve"> Plan national de reboisement, mesures de restauration et de prévention («antiNERO»), mesures de lutte contre l’érosion et les inondations (ID: 16849)</w:t>
      </w:r>
    </w:p>
    <w:p w14:paraId="71D565DA" w14:textId="77777777" w:rsidR="00A00259" w:rsidRDefault="00371282">
      <w:pPr>
        <w:spacing w:after="0" w:line="240" w:lineRule="auto"/>
        <w:rPr>
          <w:rFonts w:ascii="Times New Roman" w:hAnsi="Times New Roman"/>
          <w:noProof/>
          <w:sz w:val="16"/>
          <w:szCs w:val="16"/>
        </w:rPr>
      </w:pPr>
      <w:r>
        <w:rPr>
          <w:rFonts w:ascii="Times New Roman" w:hAnsi="Times New Roman"/>
          <w:noProof/>
          <w:sz w:val="24"/>
        </w:rPr>
        <w:t>●</w:t>
      </w:r>
      <w:r>
        <w:rPr>
          <w:noProof/>
        </w:rPr>
        <w:t xml:space="preserve"> </w:t>
      </w:r>
      <w:r>
        <w:rPr>
          <w:rFonts w:ascii="Times New Roman" w:hAnsi="Times New Roman"/>
          <w:noProof/>
          <w:sz w:val="24"/>
        </w:rPr>
        <w:t xml:space="preserve">La protection de la biodiversité en tant que moteur de la croissance durable (ID: 16851) </w:t>
      </w:r>
    </w:p>
    <w:p w14:paraId="074EE3E7" w14:textId="77777777" w:rsidR="00A00259" w:rsidRDefault="00A00259">
      <w:pPr>
        <w:spacing w:after="0" w:line="240" w:lineRule="auto"/>
        <w:rPr>
          <w:rFonts w:ascii="Times New Roman" w:hAnsi="Times New Roman"/>
          <w:noProof/>
          <w:sz w:val="6"/>
          <w:szCs w:val="6"/>
        </w:rPr>
      </w:pPr>
    </w:p>
    <w:tbl>
      <w:tblPr>
        <w:tblStyle w:val="TableGrid1"/>
        <w:tblW w:w="15735" w:type="dxa"/>
        <w:tblInd w:w="-743" w:type="dxa"/>
        <w:tblLook w:val="04A0" w:firstRow="1" w:lastRow="0" w:firstColumn="1" w:lastColumn="0" w:noHBand="0" w:noVBand="1"/>
      </w:tblPr>
      <w:tblGrid>
        <w:gridCol w:w="709"/>
        <w:gridCol w:w="2153"/>
        <w:gridCol w:w="1259"/>
        <w:gridCol w:w="1284"/>
        <w:gridCol w:w="1271"/>
        <w:gridCol w:w="1199"/>
        <w:gridCol w:w="1199"/>
        <w:gridCol w:w="1199"/>
        <w:gridCol w:w="1217"/>
        <w:gridCol w:w="1228"/>
        <w:gridCol w:w="3017"/>
      </w:tblGrid>
      <w:tr w:rsidR="00A00259" w14:paraId="13F8C494" w14:textId="77777777">
        <w:trPr>
          <w:tblHeader/>
        </w:trPr>
        <w:tc>
          <w:tcPr>
            <w:tcW w:w="709" w:type="dxa"/>
            <w:vMerge w:val="restart"/>
            <w:shd w:val="clear" w:color="auto" w:fill="B8CCE4"/>
          </w:tcPr>
          <w:p w14:paraId="0852E30C" w14:textId="77777777" w:rsidR="00A00259" w:rsidRDefault="00371282">
            <w:pPr>
              <w:pStyle w:val="P68B1DB1-Normal28"/>
              <w:spacing w:after="0" w:line="240" w:lineRule="auto"/>
              <w:jc w:val="center"/>
              <w:rPr>
                <w:rFonts w:ascii="Aptos" w:hAnsi="Aptos"/>
                <w:noProof/>
              </w:rPr>
            </w:pPr>
            <w:r>
              <w:rPr>
                <w:noProof/>
              </w:rPr>
              <w:t>Seq.</w:t>
            </w:r>
            <w:r>
              <w:rPr>
                <w:noProof/>
              </w:rPr>
              <w:br/>
              <w:t>Non.</w:t>
            </w:r>
          </w:p>
        </w:tc>
        <w:tc>
          <w:tcPr>
            <w:tcW w:w="2153" w:type="dxa"/>
            <w:vMerge w:val="restart"/>
            <w:shd w:val="clear" w:color="auto" w:fill="B8CCE4"/>
          </w:tcPr>
          <w:p w14:paraId="6EDCFF13" w14:textId="77777777" w:rsidR="00A00259" w:rsidRDefault="00371282">
            <w:pPr>
              <w:pStyle w:val="P68B1DB1-Normal28"/>
              <w:spacing w:after="0" w:line="240" w:lineRule="auto"/>
              <w:jc w:val="center"/>
              <w:rPr>
                <w:rFonts w:ascii="Aptos" w:hAnsi="Aptos"/>
                <w:noProof/>
              </w:rPr>
            </w:pPr>
            <w:r>
              <w:rPr>
                <w:noProof/>
              </w:rPr>
              <w:t>Mesure connexe (réforme ou investissement)</w:t>
            </w:r>
          </w:p>
        </w:tc>
        <w:tc>
          <w:tcPr>
            <w:tcW w:w="1259" w:type="dxa"/>
            <w:vMerge w:val="restart"/>
            <w:shd w:val="clear" w:color="auto" w:fill="B8CCE4"/>
          </w:tcPr>
          <w:p w14:paraId="2F327331" w14:textId="77777777" w:rsidR="00A00259" w:rsidRDefault="00371282">
            <w:pPr>
              <w:pStyle w:val="P68B1DB1-Normal28"/>
              <w:spacing w:after="0" w:line="240" w:lineRule="auto"/>
              <w:jc w:val="center"/>
              <w:rPr>
                <w:rFonts w:ascii="Aptos" w:hAnsi="Aptos"/>
                <w:noProof/>
              </w:rPr>
            </w:pPr>
            <w:r>
              <w:rPr>
                <w:noProof/>
              </w:rPr>
              <w:t>Étape/cible</w:t>
            </w:r>
          </w:p>
        </w:tc>
        <w:tc>
          <w:tcPr>
            <w:tcW w:w="1284" w:type="dxa"/>
            <w:vMerge w:val="restart"/>
            <w:shd w:val="clear" w:color="auto" w:fill="B8CCE4"/>
          </w:tcPr>
          <w:p w14:paraId="3D79D8DF" w14:textId="77777777" w:rsidR="00A00259" w:rsidRDefault="00371282">
            <w:pPr>
              <w:pStyle w:val="P68B1DB1-Normal28"/>
              <w:spacing w:after="0" w:line="240" w:lineRule="auto"/>
              <w:jc w:val="center"/>
              <w:rPr>
                <w:rFonts w:ascii="Aptos" w:hAnsi="Aptos"/>
                <w:noProof/>
              </w:rPr>
            </w:pPr>
            <w:r>
              <w:rPr>
                <w:noProof/>
              </w:rPr>
              <w:t>Nom</w:t>
            </w:r>
          </w:p>
        </w:tc>
        <w:tc>
          <w:tcPr>
            <w:tcW w:w="1271" w:type="dxa"/>
            <w:vMerge w:val="restart"/>
            <w:shd w:val="clear" w:color="auto" w:fill="B8CCE4"/>
          </w:tcPr>
          <w:p w14:paraId="0681B417" w14:textId="77777777" w:rsidR="00A00259" w:rsidRDefault="00371282">
            <w:pPr>
              <w:pStyle w:val="P68B1DB1-Normal28"/>
              <w:spacing w:after="0" w:line="240" w:lineRule="auto"/>
              <w:jc w:val="center"/>
              <w:rPr>
                <w:rFonts w:ascii="Aptos" w:hAnsi="Aptos"/>
                <w:noProof/>
              </w:rPr>
            </w:pPr>
            <w:r>
              <w:rPr>
                <w:noProof/>
              </w:rPr>
              <w:t>Indicateurs qualitatifs (pour les jalons)</w:t>
            </w:r>
          </w:p>
        </w:tc>
        <w:tc>
          <w:tcPr>
            <w:tcW w:w="3597" w:type="dxa"/>
            <w:gridSpan w:val="3"/>
            <w:shd w:val="clear" w:color="auto" w:fill="B8CCE4"/>
          </w:tcPr>
          <w:p w14:paraId="38E67800" w14:textId="77777777" w:rsidR="00A00259" w:rsidRDefault="00371282">
            <w:pPr>
              <w:pStyle w:val="P68B1DB1-Normal28"/>
              <w:spacing w:after="0" w:line="240" w:lineRule="auto"/>
              <w:jc w:val="center"/>
              <w:rPr>
                <w:rFonts w:ascii="Aptos" w:hAnsi="Aptos"/>
                <w:noProof/>
              </w:rPr>
            </w:pPr>
            <w:r>
              <w:rPr>
                <w:noProof/>
              </w:rPr>
              <w:t xml:space="preserve">Indicateurs quantitatifs </w:t>
            </w:r>
            <w:r>
              <w:rPr>
                <w:noProof/>
                <w:szCs w:val="18"/>
              </w:rPr>
              <w:br/>
            </w:r>
            <w:r>
              <w:rPr>
                <w:noProof/>
              </w:rPr>
              <w:t>(pour les objectifs)</w:t>
            </w:r>
          </w:p>
        </w:tc>
        <w:tc>
          <w:tcPr>
            <w:tcW w:w="2445" w:type="dxa"/>
            <w:gridSpan w:val="2"/>
            <w:shd w:val="clear" w:color="auto" w:fill="B8CCE4"/>
          </w:tcPr>
          <w:p w14:paraId="7C9660D4" w14:textId="77777777" w:rsidR="00A00259" w:rsidRDefault="00371282">
            <w:pPr>
              <w:pStyle w:val="P68B1DB1-Normal28"/>
              <w:spacing w:after="0" w:line="240" w:lineRule="auto"/>
              <w:jc w:val="center"/>
              <w:rPr>
                <w:rFonts w:ascii="Aptos" w:hAnsi="Aptos"/>
                <w:noProof/>
              </w:rPr>
            </w:pPr>
            <w:r>
              <w:rPr>
                <w:noProof/>
              </w:rPr>
              <w:t>Calendrier indicatif d'achèvement</w:t>
            </w:r>
          </w:p>
        </w:tc>
        <w:tc>
          <w:tcPr>
            <w:tcW w:w="3017" w:type="dxa"/>
            <w:vMerge w:val="restart"/>
            <w:shd w:val="clear" w:color="auto" w:fill="B8CCE4"/>
          </w:tcPr>
          <w:p w14:paraId="300D9423" w14:textId="77777777" w:rsidR="00A00259" w:rsidRDefault="00371282">
            <w:pPr>
              <w:pStyle w:val="P68B1DB1-Normal28"/>
              <w:spacing w:after="0" w:line="240" w:lineRule="auto"/>
              <w:jc w:val="center"/>
              <w:rPr>
                <w:rFonts w:ascii="Aptos" w:hAnsi="Aptos"/>
                <w:noProof/>
              </w:rPr>
            </w:pPr>
            <w:r>
              <w:rPr>
                <w:noProof/>
              </w:rPr>
              <w:t>Description de chaque jalon et cible</w:t>
            </w:r>
          </w:p>
        </w:tc>
      </w:tr>
      <w:tr w:rsidR="00A00259" w14:paraId="29AA5AD1" w14:textId="77777777">
        <w:trPr>
          <w:tblHeader/>
        </w:trPr>
        <w:tc>
          <w:tcPr>
            <w:tcW w:w="709" w:type="dxa"/>
            <w:vMerge/>
            <w:tcBorders>
              <w:bottom w:val="single" w:sz="4" w:space="0" w:color="auto"/>
            </w:tcBorders>
            <w:shd w:val="clear" w:color="auto" w:fill="B8CCE4"/>
            <w:vAlign w:val="center"/>
          </w:tcPr>
          <w:p w14:paraId="499A2EA4" w14:textId="77777777" w:rsidR="00A00259" w:rsidRDefault="00A00259">
            <w:pPr>
              <w:spacing w:after="0" w:line="240" w:lineRule="auto"/>
              <w:rPr>
                <w:rFonts w:ascii="Aptos" w:eastAsia="Aptos" w:hAnsi="Aptos" w:cs="Times New Roman"/>
                <w:noProof/>
                <w:kern w:val="2"/>
              </w:rPr>
            </w:pPr>
          </w:p>
        </w:tc>
        <w:tc>
          <w:tcPr>
            <w:tcW w:w="2153" w:type="dxa"/>
            <w:vMerge/>
            <w:tcBorders>
              <w:bottom w:val="single" w:sz="4" w:space="0" w:color="auto"/>
            </w:tcBorders>
            <w:shd w:val="clear" w:color="auto" w:fill="B8CCE4"/>
            <w:vAlign w:val="center"/>
          </w:tcPr>
          <w:p w14:paraId="3AFC315B" w14:textId="77777777" w:rsidR="00A00259" w:rsidRDefault="00A00259">
            <w:pPr>
              <w:spacing w:after="0" w:line="240" w:lineRule="auto"/>
              <w:rPr>
                <w:rFonts w:ascii="Aptos" w:eastAsia="Aptos" w:hAnsi="Aptos" w:cs="Times New Roman"/>
                <w:noProof/>
                <w:kern w:val="2"/>
              </w:rPr>
            </w:pPr>
          </w:p>
        </w:tc>
        <w:tc>
          <w:tcPr>
            <w:tcW w:w="1259" w:type="dxa"/>
            <w:vMerge/>
            <w:tcBorders>
              <w:bottom w:val="single" w:sz="4" w:space="0" w:color="auto"/>
            </w:tcBorders>
            <w:shd w:val="clear" w:color="auto" w:fill="B8CCE4"/>
            <w:vAlign w:val="center"/>
          </w:tcPr>
          <w:p w14:paraId="77FE397C" w14:textId="77777777" w:rsidR="00A00259" w:rsidRDefault="00A00259">
            <w:pPr>
              <w:spacing w:after="0" w:line="240" w:lineRule="auto"/>
              <w:rPr>
                <w:rFonts w:ascii="Aptos" w:eastAsia="Aptos" w:hAnsi="Aptos" w:cs="Times New Roman"/>
                <w:noProof/>
                <w:kern w:val="2"/>
              </w:rPr>
            </w:pPr>
          </w:p>
        </w:tc>
        <w:tc>
          <w:tcPr>
            <w:tcW w:w="1284" w:type="dxa"/>
            <w:vMerge/>
            <w:tcBorders>
              <w:bottom w:val="single" w:sz="4" w:space="0" w:color="auto"/>
            </w:tcBorders>
            <w:shd w:val="clear" w:color="auto" w:fill="B8CCE4"/>
            <w:vAlign w:val="center"/>
          </w:tcPr>
          <w:p w14:paraId="6EF04A8C" w14:textId="77777777" w:rsidR="00A00259" w:rsidRDefault="00A00259">
            <w:pPr>
              <w:spacing w:after="0" w:line="240" w:lineRule="auto"/>
              <w:rPr>
                <w:rFonts w:ascii="Aptos" w:eastAsia="Aptos" w:hAnsi="Aptos" w:cs="Times New Roman"/>
                <w:noProof/>
                <w:kern w:val="2"/>
              </w:rPr>
            </w:pPr>
          </w:p>
        </w:tc>
        <w:tc>
          <w:tcPr>
            <w:tcW w:w="1271" w:type="dxa"/>
            <w:vMerge/>
            <w:tcBorders>
              <w:bottom w:val="single" w:sz="4" w:space="0" w:color="auto"/>
            </w:tcBorders>
            <w:shd w:val="clear" w:color="auto" w:fill="B8CCE4"/>
            <w:vAlign w:val="center"/>
          </w:tcPr>
          <w:p w14:paraId="1368CA7C" w14:textId="77777777" w:rsidR="00A00259" w:rsidRDefault="00A00259">
            <w:pPr>
              <w:spacing w:after="0" w:line="240" w:lineRule="auto"/>
              <w:rPr>
                <w:rFonts w:ascii="Aptos" w:eastAsia="Aptos" w:hAnsi="Aptos" w:cs="Times New Roman"/>
                <w:noProof/>
                <w:kern w:val="2"/>
              </w:rPr>
            </w:pPr>
          </w:p>
        </w:tc>
        <w:tc>
          <w:tcPr>
            <w:tcW w:w="1199" w:type="dxa"/>
            <w:tcBorders>
              <w:bottom w:val="single" w:sz="4" w:space="0" w:color="auto"/>
            </w:tcBorders>
            <w:shd w:val="clear" w:color="auto" w:fill="B8CCE4"/>
            <w:vAlign w:val="center"/>
          </w:tcPr>
          <w:p w14:paraId="362CA0A2" w14:textId="77777777" w:rsidR="00A00259" w:rsidRDefault="00371282">
            <w:pPr>
              <w:pStyle w:val="P68B1DB1-Normal28"/>
              <w:spacing w:after="0" w:line="240" w:lineRule="auto"/>
              <w:rPr>
                <w:rFonts w:ascii="Aptos" w:hAnsi="Aptos"/>
                <w:noProof/>
              </w:rPr>
            </w:pPr>
            <w:r>
              <w:rPr>
                <w:noProof/>
              </w:rPr>
              <w:t>Unité de mesure</w:t>
            </w:r>
          </w:p>
        </w:tc>
        <w:tc>
          <w:tcPr>
            <w:tcW w:w="1199" w:type="dxa"/>
            <w:tcBorders>
              <w:bottom w:val="single" w:sz="4" w:space="0" w:color="auto"/>
            </w:tcBorders>
            <w:shd w:val="clear" w:color="auto" w:fill="B8CCE4"/>
          </w:tcPr>
          <w:p w14:paraId="691B396C" w14:textId="77777777" w:rsidR="00A00259" w:rsidRDefault="00371282">
            <w:pPr>
              <w:pStyle w:val="P68B1DB1-Normal28"/>
              <w:spacing w:after="0" w:line="240" w:lineRule="auto"/>
              <w:rPr>
                <w:rFonts w:ascii="Aptos" w:hAnsi="Aptos"/>
                <w:noProof/>
              </w:rPr>
            </w:pPr>
            <w:r>
              <w:rPr>
                <w:noProof/>
              </w:rPr>
              <w:t>Données de référence</w:t>
            </w:r>
          </w:p>
        </w:tc>
        <w:tc>
          <w:tcPr>
            <w:tcW w:w="1199" w:type="dxa"/>
            <w:tcBorders>
              <w:bottom w:val="single" w:sz="4" w:space="0" w:color="auto"/>
            </w:tcBorders>
            <w:shd w:val="clear" w:color="auto" w:fill="B8CCE4"/>
          </w:tcPr>
          <w:p w14:paraId="5476C484" w14:textId="77777777" w:rsidR="00A00259" w:rsidRDefault="00371282">
            <w:pPr>
              <w:pStyle w:val="P68B1DB1-Normal28"/>
              <w:spacing w:after="0" w:line="240" w:lineRule="auto"/>
              <w:rPr>
                <w:rFonts w:ascii="Aptos" w:hAnsi="Aptos"/>
                <w:noProof/>
              </w:rPr>
            </w:pPr>
            <w:r>
              <w:rPr>
                <w:noProof/>
              </w:rPr>
              <w:t>Objectif</w:t>
            </w:r>
          </w:p>
        </w:tc>
        <w:tc>
          <w:tcPr>
            <w:tcW w:w="1217" w:type="dxa"/>
            <w:tcBorders>
              <w:bottom w:val="single" w:sz="4" w:space="0" w:color="auto"/>
            </w:tcBorders>
            <w:shd w:val="clear" w:color="auto" w:fill="B8CCE4"/>
          </w:tcPr>
          <w:p w14:paraId="6B5DE573" w14:textId="77777777" w:rsidR="00A00259" w:rsidRDefault="00371282">
            <w:pPr>
              <w:pStyle w:val="P68B1DB1-Normal28"/>
              <w:spacing w:after="0" w:line="240" w:lineRule="auto"/>
              <w:rPr>
                <w:rFonts w:ascii="Aptos" w:hAnsi="Aptos"/>
                <w:noProof/>
              </w:rPr>
            </w:pPr>
            <w:r>
              <w:rPr>
                <w:noProof/>
              </w:rPr>
              <w:t>Trimestre</w:t>
            </w:r>
          </w:p>
        </w:tc>
        <w:tc>
          <w:tcPr>
            <w:tcW w:w="1228" w:type="dxa"/>
            <w:tcBorders>
              <w:bottom w:val="single" w:sz="4" w:space="0" w:color="auto"/>
            </w:tcBorders>
            <w:shd w:val="clear" w:color="auto" w:fill="B8CCE4"/>
          </w:tcPr>
          <w:p w14:paraId="0C386364" w14:textId="77777777" w:rsidR="00A00259" w:rsidRDefault="00371282">
            <w:pPr>
              <w:pStyle w:val="P68B1DB1-Normal28"/>
              <w:spacing w:after="0" w:line="240" w:lineRule="auto"/>
              <w:rPr>
                <w:rFonts w:ascii="Aptos" w:hAnsi="Aptos"/>
                <w:noProof/>
              </w:rPr>
            </w:pPr>
            <w:r>
              <w:rPr>
                <w:noProof/>
              </w:rPr>
              <w:t>Année</w:t>
            </w:r>
          </w:p>
        </w:tc>
        <w:tc>
          <w:tcPr>
            <w:tcW w:w="3017" w:type="dxa"/>
            <w:vMerge/>
            <w:tcBorders>
              <w:bottom w:val="single" w:sz="4" w:space="0" w:color="auto"/>
            </w:tcBorders>
            <w:shd w:val="clear" w:color="auto" w:fill="B8CCE4"/>
          </w:tcPr>
          <w:p w14:paraId="6A49BB7B" w14:textId="77777777" w:rsidR="00A00259" w:rsidRDefault="00A00259">
            <w:pPr>
              <w:spacing w:after="0" w:line="240" w:lineRule="auto"/>
              <w:rPr>
                <w:rFonts w:ascii="Aptos" w:eastAsia="Aptos" w:hAnsi="Aptos" w:cs="Times New Roman"/>
                <w:noProof/>
                <w:kern w:val="2"/>
              </w:rPr>
            </w:pPr>
          </w:p>
        </w:tc>
      </w:tr>
      <w:tr w:rsidR="00A00259" w14:paraId="00444F72" w14:textId="77777777">
        <w:trPr>
          <w:tblHeader/>
        </w:trPr>
        <w:tc>
          <w:tcPr>
            <w:tcW w:w="709" w:type="dxa"/>
            <w:shd w:val="clear" w:color="auto" w:fill="C6EFCE"/>
            <w:vAlign w:val="center"/>
          </w:tcPr>
          <w:p w14:paraId="076AC471" w14:textId="77777777" w:rsidR="00A00259" w:rsidRDefault="00371282">
            <w:pPr>
              <w:pStyle w:val="P68B1DB1-Normal29"/>
              <w:spacing w:after="0" w:line="240" w:lineRule="auto"/>
              <w:rPr>
                <w:rFonts w:ascii="Aptos" w:hAnsi="Aptos"/>
                <w:noProof/>
              </w:rPr>
            </w:pPr>
            <w:r>
              <w:rPr>
                <w:noProof/>
              </w:rPr>
              <w:t>61</w:t>
            </w:r>
          </w:p>
        </w:tc>
        <w:tc>
          <w:tcPr>
            <w:tcW w:w="2153" w:type="dxa"/>
            <w:shd w:val="clear" w:color="auto" w:fill="C6EFCE"/>
            <w:vAlign w:val="center"/>
          </w:tcPr>
          <w:p w14:paraId="25FEE597" w14:textId="77777777" w:rsidR="00A00259" w:rsidRDefault="00371282">
            <w:pPr>
              <w:pStyle w:val="P68B1DB1-Normal29"/>
              <w:spacing w:after="0" w:line="240" w:lineRule="auto"/>
              <w:rPr>
                <w:rFonts w:ascii="Aptos" w:hAnsi="Aptos"/>
                <w:noProof/>
              </w:rPr>
            </w:pPr>
            <w:r>
              <w:rPr>
                <w:noProof/>
              </w:rPr>
              <w:t>4 - 1.4. «Utilisation durable des ressources, résilience au changement climatique et protection de l’environnement» - 16849_ Plan national de reboisement, mesures de restauration et de prévention («antiNERO»), mesures de lutte contre l’érosion et les inondations</w:t>
            </w:r>
          </w:p>
        </w:tc>
        <w:tc>
          <w:tcPr>
            <w:tcW w:w="1259" w:type="dxa"/>
            <w:shd w:val="clear" w:color="auto" w:fill="C6EFCE"/>
            <w:vAlign w:val="center"/>
          </w:tcPr>
          <w:p w14:paraId="3EBA90B9" w14:textId="77777777" w:rsidR="00A00259" w:rsidRDefault="00371282">
            <w:pPr>
              <w:pStyle w:val="P68B1DB1-Normal29"/>
              <w:spacing w:after="0" w:line="240" w:lineRule="auto"/>
              <w:rPr>
                <w:rFonts w:ascii="Aptos" w:hAnsi="Aptos"/>
                <w:noProof/>
              </w:rPr>
            </w:pPr>
            <w:r>
              <w:rPr>
                <w:noProof/>
              </w:rPr>
              <w:t>Étape</w:t>
            </w:r>
          </w:p>
        </w:tc>
        <w:tc>
          <w:tcPr>
            <w:tcW w:w="1284" w:type="dxa"/>
            <w:shd w:val="clear" w:color="auto" w:fill="C6EFCE"/>
            <w:vAlign w:val="center"/>
          </w:tcPr>
          <w:p w14:paraId="164ECBE5" w14:textId="77777777" w:rsidR="00A00259" w:rsidRDefault="00371282">
            <w:pPr>
              <w:pStyle w:val="P68B1DB1-Normal29"/>
              <w:spacing w:after="0" w:line="240" w:lineRule="auto"/>
              <w:rPr>
                <w:rFonts w:ascii="Aptos" w:hAnsi="Aptos"/>
                <w:noProof/>
              </w:rPr>
            </w:pPr>
            <w:r>
              <w:rPr>
                <w:noProof/>
              </w:rPr>
              <w:t>Reboisement, restauration et prévention — contrats 1</w:t>
            </w:r>
          </w:p>
        </w:tc>
        <w:tc>
          <w:tcPr>
            <w:tcW w:w="1271" w:type="dxa"/>
            <w:shd w:val="clear" w:color="auto" w:fill="C6EFCE"/>
            <w:vAlign w:val="center"/>
          </w:tcPr>
          <w:p w14:paraId="67F0DCFE" w14:textId="7E457C1A" w:rsidR="00A00259" w:rsidRDefault="00371282">
            <w:pPr>
              <w:pStyle w:val="P68B1DB1-Normal29"/>
              <w:spacing w:after="0" w:line="240" w:lineRule="auto"/>
              <w:rPr>
                <w:rFonts w:ascii="Aptos" w:hAnsi="Aptos"/>
                <w:noProof/>
              </w:rPr>
            </w:pPr>
            <w:r>
              <w:rPr>
                <w:noProof/>
              </w:rPr>
              <w:t>Notification de l'attribution des marchés</w:t>
            </w:r>
          </w:p>
        </w:tc>
        <w:tc>
          <w:tcPr>
            <w:tcW w:w="1199" w:type="dxa"/>
            <w:shd w:val="clear" w:color="auto" w:fill="C6EFCE"/>
            <w:vAlign w:val="center"/>
          </w:tcPr>
          <w:p w14:paraId="1E5ADD15" w14:textId="77777777" w:rsidR="00A00259" w:rsidRDefault="00A00259">
            <w:pPr>
              <w:spacing w:after="0" w:line="240" w:lineRule="auto"/>
              <w:rPr>
                <w:rFonts w:ascii="Aptos" w:eastAsia="Aptos" w:hAnsi="Aptos" w:cs="Times New Roman"/>
                <w:noProof/>
                <w:kern w:val="2"/>
              </w:rPr>
            </w:pPr>
          </w:p>
        </w:tc>
        <w:tc>
          <w:tcPr>
            <w:tcW w:w="1199" w:type="dxa"/>
            <w:shd w:val="clear" w:color="auto" w:fill="C6EFCE"/>
            <w:vAlign w:val="center"/>
          </w:tcPr>
          <w:p w14:paraId="1EE03C2F" w14:textId="77777777" w:rsidR="00A00259" w:rsidRDefault="00A00259">
            <w:pPr>
              <w:spacing w:after="0" w:line="240" w:lineRule="auto"/>
              <w:rPr>
                <w:rFonts w:ascii="Aptos" w:eastAsia="Aptos" w:hAnsi="Aptos" w:cs="Times New Roman"/>
                <w:noProof/>
                <w:kern w:val="2"/>
              </w:rPr>
            </w:pPr>
          </w:p>
        </w:tc>
        <w:tc>
          <w:tcPr>
            <w:tcW w:w="1199" w:type="dxa"/>
            <w:shd w:val="clear" w:color="auto" w:fill="C6EFCE"/>
            <w:vAlign w:val="center"/>
          </w:tcPr>
          <w:p w14:paraId="1B718A7A" w14:textId="77777777" w:rsidR="00A00259" w:rsidRDefault="00A00259">
            <w:pPr>
              <w:spacing w:after="0" w:line="240" w:lineRule="auto"/>
              <w:rPr>
                <w:rFonts w:ascii="Aptos" w:eastAsia="Aptos" w:hAnsi="Aptos" w:cs="Times New Roman"/>
                <w:noProof/>
                <w:kern w:val="2"/>
              </w:rPr>
            </w:pPr>
          </w:p>
        </w:tc>
        <w:tc>
          <w:tcPr>
            <w:tcW w:w="1217" w:type="dxa"/>
            <w:shd w:val="clear" w:color="auto" w:fill="C6EFCE"/>
            <w:vAlign w:val="center"/>
          </w:tcPr>
          <w:p w14:paraId="6DDA3505" w14:textId="592F49CB" w:rsidR="00A00259" w:rsidRDefault="00371282">
            <w:pPr>
              <w:pStyle w:val="P68B1DB1-Normal29"/>
              <w:spacing w:after="0" w:line="240" w:lineRule="auto"/>
              <w:rPr>
                <w:noProof/>
              </w:rPr>
            </w:pPr>
            <w:r>
              <w:rPr>
                <w:noProof/>
              </w:rPr>
              <w:t>T2</w:t>
            </w:r>
          </w:p>
        </w:tc>
        <w:tc>
          <w:tcPr>
            <w:tcW w:w="1228" w:type="dxa"/>
            <w:shd w:val="clear" w:color="auto" w:fill="C6EFCE"/>
            <w:vAlign w:val="center"/>
          </w:tcPr>
          <w:p w14:paraId="673104B0" w14:textId="5BD3BCF4" w:rsidR="00A00259" w:rsidRDefault="00371282">
            <w:pPr>
              <w:pStyle w:val="P68B1DB1-Normal29"/>
              <w:spacing w:after="0" w:line="240" w:lineRule="auto"/>
              <w:rPr>
                <w:noProof/>
              </w:rPr>
            </w:pPr>
            <w:r>
              <w:rPr>
                <w:noProof/>
              </w:rPr>
              <w:t>2023</w:t>
            </w:r>
          </w:p>
        </w:tc>
        <w:tc>
          <w:tcPr>
            <w:tcW w:w="3017" w:type="dxa"/>
            <w:shd w:val="clear" w:color="auto" w:fill="C6EFCE"/>
          </w:tcPr>
          <w:p w14:paraId="5E8DC826" w14:textId="77777777" w:rsidR="00A00259" w:rsidRDefault="00371282">
            <w:pPr>
              <w:pStyle w:val="P68B1DB1-Normal29"/>
              <w:spacing w:after="0" w:line="240" w:lineRule="auto"/>
              <w:rPr>
                <w:rFonts w:ascii="Aptos" w:hAnsi="Aptos"/>
                <w:noProof/>
              </w:rPr>
            </w:pPr>
            <w:r>
              <w:rPr>
                <w:noProof/>
              </w:rPr>
              <w:t xml:space="preserve">Notification de l'attribution de tous les contrats pour les programmes Antinero I et II pour la mise à niveau de 37 500 ha d'écosystèmes forestiers dégradés, y compris les défrichements forestiers et forestiers et l'entretien du réseau routier forestier et des zones d'incendie existantes. </w:t>
            </w:r>
          </w:p>
        </w:tc>
      </w:tr>
      <w:tr w:rsidR="00A00259" w14:paraId="0D983669" w14:textId="77777777">
        <w:trPr>
          <w:tblHeader/>
        </w:trPr>
        <w:tc>
          <w:tcPr>
            <w:tcW w:w="709" w:type="dxa"/>
            <w:shd w:val="clear" w:color="auto" w:fill="C6EFCE"/>
          </w:tcPr>
          <w:p w14:paraId="57A882A2" w14:textId="77777777" w:rsidR="00A00259" w:rsidRDefault="00371282">
            <w:pPr>
              <w:pStyle w:val="P68B1DB1-Normal29"/>
              <w:spacing w:after="0" w:line="240" w:lineRule="auto"/>
              <w:rPr>
                <w:rFonts w:ascii="Aptos" w:hAnsi="Aptos"/>
                <w:noProof/>
              </w:rPr>
            </w:pPr>
            <w:r>
              <w:rPr>
                <w:noProof/>
              </w:rPr>
              <w:t>62</w:t>
            </w:r>
          </w:p>
        </w:tc>
        <w:tc>
          <w:tcPr>
            <w:tcW w:w="2153" w:type="dxa"/>
            <w:shd w:val="clear" w:color="auto" w:fill="C6EFCE"/>
          </w:tcPr>
          <w:p w14:paraId="76A85FDC" w14:textId="77777777" w:rsidR="00A00259" w:rsidRDefault="00371282">
            <w:pPr>
              <w:pStyle w:val="P68B1DB1-Normal29"/>
              <w:spacing w:after="0" w:line="240" w:lineRule="auto"/>
              <w:rPr>
                <w:rFonts w:ascii="Aptos" w:hAnsi="Aptos"/>
                <w:noProof/>
              </w:rPr>
            </w:pPr>
            <w:r>
              <w:rPr>
                <w:noProof/>
              </w:rPr>
              <w:t>4 - 1.4. «Utilisation durable des ressources, résilience au changement climatique et protection de l’environnement» - 16849_ Plan national de reboisement, mesures de restauration et de prévention («antiNERO»), mesures de lutte contre l’érosion et les inondations</w:t>
            </w:r>
          </w:p>
        </w:tc>
        <w:tc>
          <w:tcPr>
            <w:tcW w:w="1259" w:type="dxa"/>
            <w:shd w:val="clear" w:color="auto" w:fill="C6EFCE"/>
          </w:tcPr>
          <w:p w14:paraId="34726F70" w14:textId="77777777" w:rsidR="00A00259" w:rsidRDefault="00371282">
            <w:pPr>
              <w:pStyle w:val="P68B1DB1-Normal29"/>
              <w:spacing w:after="0" w:line="240" w:lineRule="auto"/>
              <w:rPr>
                <w:rFonts w:ascii="Aptos" w:hAnsi="Aptos"/>
                <w:noProof/>
              </w:rPr>
            </w:pPr>
            <w:r>
              <w:rPr>
                <w:noProof/>
              </w:rPr>
              <w:t>Étape</w:t>
            </w:r>
          </w:p>
        </w:tc>
        <w:tc>
          <w:tcPr>
            <w:tcW w:w="1284" w:type="dxa"/>
            <w:shd w:val="clear" w:color="auto" w:fill="C6EFCE"/>
          </w:tcPr>
          <w:p w14:paraId="2529E08C" w14:textId="77777777" w:rsidR="00A00259" w:rsidRDefault="00371282">
            <w:pPr>
              <w:pStyle w:val="P68B1DB1-Normal29"/>
              <w:spacing w:after="0" w:line="240" w:lineRule="auto"/>
              <w:rPr>
                <w:rFonts w:ascii="Aptos" w:hAnsi="Aptos"/>
                <w:noProof/>
              </w:rPr>
            </w:pPr>
            <w:r>
              <w:rPr>
                <w:noProof/>
              </w:rPr>
              <w:t>Reboisement, restauration et prévention — contrats 2</w:t>
            </w:r>
          </w:p>
        </w:tc>
        <w:tc>
          <w:tcPr>
            <w:tcW w:w="1271" w:type="dxa"/>
            <w:shd w:val="clear" w:color="auto" w:fill="C6EFCE"/>
          </w:tcPr>
          <w:p w14:paraId="529831ED" w14:textId="77777777" w:rsidR="00A00259" w:rsidRDefault="00371282">
            <w:pPr>
              <w:pStyle w:val="P68B1DB1-Normal29"/>
              <w:spacing w:after="0" w:line="240" w:lineRule="auto"/>
              <w:rPr>
                <w:rFonts w:ascii="Aptos" w:hAnsi="Aptos"/>
                <w:noProof/>
              </w:rPr>
            </w:pPr>
            <w:r>
              <w:rPr>
                <w:noProof/>
              </w:rPr>
              <w:t>Notification de l'attribution des marchés</w:t>
            </w:r>
          </w:p>
        </w:tc>
        <w:tc>
          <w:tcPr>
            <w:tcW w:w="1199" w:type="dxa"/>
            <w:shd w:val="clear" w:color="auto" w:fill="C6EFCE"/>
          </w:tcPr>
          <w:p w14:paraId="33C02D7C" w14:textId="77777777" w:rsidR="00A00259" w:rsidRDefault="00A00259">
            <w:pPr>
              <w:spacing w:after="0" w:line="240" w:lineRule="auto"/>
              <w:rPr>
                <w:rFonts w:ascii="Aptos" w:eastAsia="Aptos" w:hAnsi="Aptos" w:cs="Times New Roman"/>
                <w:noProof/>
                <w:kern w:val="2"/>
              </w:rPr>
            </w:pPr>
          </w:p>
        </w:tc>
        <w:tc>
          <w:tcPr>
            <w:tcW w:w="1199" w:type="dxa"/>
            <w:shd w:val="clear" w:color="auto" w:fill="C6EFCE"/>
          </w:tcPr>
          <w:p w14:paraId="6E9DC676" w14:textId="77777777" w:rsidR="00A00259" w:rsidRDefault="00A00259">
            <w:pPr>
              <w:spacing w:after="0" w:line="240" w:lineRule="auto"/>
              <w:rPr>
                <w:rFonts w:ascii="Aptos" w:eastAsia="Aptos" w:hAnsi="Aptos" w:cs="Times New Roman"/>
                <w:noProof/>
                <w:kern w:val="2"/>
              </w:rPr>
            </w:pPr>
          </w:p>
        </w:tc>
        <w:tc>
          <w:tcPr>
            <w:tcW w:w="1199" w:type="dxa"/>
            <w:shd w:val="clear" w:color="auto" w:fill="C6EFCE"/>
          </w:tcPr>
          <w:p w14:paraId="35D38398" w14:textId="77777777" w:rsidR="00A00259" w:rsidRDefault="00A00259">
            <w:pPr>
              <w:spacing w:after="0" w:line="240" w:lineRule="auto"/>
              <w:rPr>
                <w:rFonts w:ascii="Aptos" w:eastAsia="Aptos" w:hAnsi="Aptos" w:cs="Times New Roman"/>
                <w:noProof/>
                <w:kern w:val="2"/>
              </w:rPr>
            </w:pPr>
          </w:p>
        </w:tc>
        <w:tc>
          <w:tcPr>
            <w:tcW w:w="1217" w:type="dxa"/>
            <w:shd w:val="clear" w:color="auto" w:fill="C6EFCE"/>
          </w:tcPr>
          <w:p w14:paraId="0E6C3943" w14:textId="77777777" w:rsidR="00A00259" w:rsidRDefault="00371282">
            <w:pPr>
              <w:pStyle w:val="P68B1DB1-Normal29"/>
              <w:spacing w:after="0" w:line="240" w:lineRule="auto"/>
              <w:rPr>
                <w:rFonts w:ascii="Aptos" w:hAnsi="Aptos"/>
                <w:noProof/>
              </w:rPr>
            </w:pPr>
            <w:r>
              <w:rPr>
                <w:noProof/>
              </w:rPr>
              <w:t>T4</w:t>
            </w:r>
          </w:p>
        </w:tc>
        <w:tc>
          <w:tcPr>
            <w:tcW w:w="1228" w:type="dxa"/>
            <w:shd w:val="clear" w:color="auto" w:fill="C6EFCE"/>
          </w:tcPr>
          <w:p w14:paraId="68DD670D" w14:textId="77777777" w:rsidR="00A00259" w:rsidRDefault="00371282">
            <w:pPr>
              <w:pStyle w:val="P68B1DB1-Normal29"/>
              <w:spacing w:after="0" w:line="240" w:lineRule="auto"/>
              <w:rPr>
                <w:rFonts w:ascii="Aptos" w:hAnsi="Aptos"/>
                <w:noProof/>
              </w:rPr>
            </w:pPr>
            <w:r>
              <w:rPr>
                <w:noProof/>
              </w:rPr>
              <w:t>2023</w:t>
            </w:r>
          </w:p>
        </w:tc>
        <w:tc>
          <w:tcPr>
            <w:tcW w:w="3017" w:type="dxa"/>
            <w:shd w:val="clear" w:color="auto" w:fill="C6EFCE"/>
          </w:tcPr>
          <w:p w14:paraId="10C741E8" w14:textId="77777777" w:rsidR="00A00259" w:rsidRDefault="00371282">
            <w:pPr>
              <w:pStyle w:val="P68B1DB1-Normal29"/>
              <w:spacing w:after="0" w:line="240" w:lineRule="auto"/>
              <w:rPr>
                <w:rFonts w:eastAsia="Times New Roman"/>
                <w:noProof/>
              </w:rPr>
            </w:pPr>
            <w:r>
              <w:rPr>
                <w:noProof/>
              </w:rPr>
              <w:t>Notification de l'attribution de tous les marchés pour:</w:t>
            </w:r>
          </w:p>
          <w:p w14:paraId="47380F23" w14:textId="77777777" w:rsidR="00A00259" w:rsidRDefault="00371282">
            <w:pPr>
              <w:pStyle w:val="P68B1DB1-Normal29"/>
              <w:spacing w:after="0" w:line="240" w:lineRule="auto"/>
              <w:rPr>
                <w:rFonts w:eastAsia="Times New Roman"/>
                <w:noProof/>
              </w:rPr>
            </w:pPr>
            <w:r>
              <w:rPr>
                <w:noProof/>
              </w:rPr>
              <w:t>1. Restauration de 5 700 ha d’écosystèmes forestiers dégradés en Grèce grâce à des plantations de jeunes arbres utilisant au moins 50 % des espèces indigènes; et</w:t>
            </w:r>
          </w:p>
          <w:p w14:paraId="4CA991D9" w14:textId="77777777" w:rsidR="00A00259" w:rsidRDefault="00371282">
            <w:pPr>
              <w:pStyle w:val="P68B1DB1-Normal29"/>
              <w:spacing w:after="0" w:line="240" w:lineRule="auto"/>
              <w:rPr>
                <w:rFonts w:eastAsia="Times New Roman"/>
                <w:noProof/>
              </w:rPr>
            </w:pPr>
            <w:r>
              <w:rPr>
                <w:noProof/>
              </w:rPr>
              <w:t>2. Mise à niveau et modernisation des quatre pépinières forestières; et</w:t>
            </w:r>
          </w:p>
          <w:p w14:paraId="204D0D66" w14:textId="77777777" w:rsidR="00A00259" w:rsidRDefault="00371282">
            <w:pPr>
              <w:pStyle w:val="P68B1DB1-Normal29"/>
              <w:spacing w:after="0" w:line="240" w:lineRule="auto"/>
              <w:rPr>
                <w:rFonts w:eastAsia="Times New Roman"/>
                <w:noProof/>
              </w:rPr>
            </w:pPr>
            <w:r>
              <w:rPr>
                <w:noProof/>
              </w:rPr>
              <w:t xml:space="preserve">3. Mise en œuvre pilote du plan national de reboisement; et </w:t>
            </w:r>
          </w:p>
          <w:p w14:paraId="4707B42E" w14:textId="77777777" w:rsidR="00A00259" w:rsidRDefault="00371282">
            <w:pPr>
              <w:pStyle w:val="P68B1DB1-Normal29"/>
              <w:spacing w:after="0" w:line="240" w:lineRule="auto"/>
              <w:rPr>
                <w:rFonts w:ascii="Aptos" w:hAnsi="Aptos"/>
                <w:noProof/>
              </w:rPr>
            </w:pPr>
            <w:r>
              <w:rPr>
                <w:noProof/>
              </w:rPr>
              <w:t xml:space="preserve">4. Mesures anti-érosion et anti-inondation à Evros et Rhodopes couvrant un total de 5 000 hectares de travaux anti-érosion et 175 000 m2 de travaux de protection contre les inondations. </w:t>
            </w:r>
          </w:p>
        </w:tc>
      </w:tr>
      <w:tr w:rsidR="00A00259" w14:paraId="1DB4C061" w14:textId="77777777">
        <w:trPr>
          <w:tblHeader/>
        </w:trPr>
        <w:tc>
          <w:tcPr>
            <w:tcW w:w="709" w:type="dxa"/>
            <w:shd w:val="clear" w:color="auto" w:fill="C6EFCE"/>
          </w:tcPr>
          <w:p w14:paraId="236C0AA0" w14:textId="77777777" w:rsidR="00A00259" w:rsidRDefault="00371282">
            <w:pPr>
              <w:pStyle w:val="P68B1DB1-Normal29"/>
              <w:spacing w:after="0" w:line="240" w:lineRule="auto"/>
              <w:rPr>
                <w:rFonts w:ascii="Aptos" w:hAnsi="Aptos"/>
                <w:noProof/>
              </w:rPr>
            </w:pPr>
            <w:r>
              <w:rPr>
                <w:noProof/>
              </w:rPr>
              <w:t>63</w:t>
            </w:r>
          </w:p>
        </w:tc>
        <w:tc>
          <w:tcPr>
            <w:tcW w:w="2153" w:type="dxa"/>
            <w:shd w:val="clear" w:color="auto" w:fill="C6EFCE"/>
          </w:tcPr>
          <w:p w14:paraId="02E0639C" w14:textId="77777777" w:rsidR="00A00259" w:rsidRDefault="00371282">
            <w:pPr>
              <w:pStyle w:val="P68B1DB1-Normal29"/>
              <w:spacing w:after="0" w:line="240" w:lineRule="auto"/>
              <w:rPr>
                <w:rFonts w:ascii="Aptos" w:hAnsi="Aptos"/>
                <w:noProof/>
              </w:rPr>
            </w:pPr>
            <w:r>
              <w:rPr>
                <w:noProof/>
              </w:rPr>
              <w:t>4 - 1.4. «Utilisation durable des ressources, résilience au changement climatique et protection de l’environnement» – 16849_ National Reforestation Plan, restoration and prevention («antiNERO»), anti-érosion et mesures de protection contre les inondations</w:t>
            </w:r>
          </w:p>
        </w:tc>
        <w:tc>
          <w:tcPr>
            <w:tcW w:w="1259" w:type="dxa"/>
            <w:shd w:val="clear" w:color="auto" w:fill="C6EFCE"/>
          </w:tcPr>
          <w:p w14:paraId="755A1616" w14:textId="77777777" w:rsidR="00A00259" w:rsidRDefault="00371282">
            <w:pPr>
              <w:pStyle w:val="P68B1DB1-Normal29"/>
              <w:spacing w:after="0" w:line="240" w:lineRule="auto"/>
              <w:rPr>
                <w:rFonts w:ascii="Aptos" w:hAnsi="Aptos"/>
                <w:noProof/>
              </w:rPr>
            </w:pPr>
            <w:r>
              <w:rPr>
                <w:noProof/>
              </w:rPr>
              <w:t>Étape</w:t>
            </w:r>
          </w:p>
        </w:tc>
        <w:tc>
          <w:tcPr>
            <w:tcW w:w="1284" w:type="dxa"/>
            <w:shd w:val="clear" w:color="auto" w:fill="C6EFCE"/>
          </w:tcPr>
          <w:p w14:paraId="1C0E2F9A" w14:textId="77777777" w:rsidR="00A00259" w:rsidRDefault="00371282">
            <w:pPr>
              <w:pStyle w:val="P68B1DB1-Normal29"/>
              <w:spacing w:after="0" w:line="240" w:lineRule="auto"/>
              <w:rPr>
                <w:rFonts w:ascii="Aptos" w:hAnsi="Aptos"/>
                <w:noProof/>
              </w:rPr>
            </w:pPr>
            <w:r>
              <w:rPr>
                <w:noProof/>
              </w:rPr>
              <w:t>Reboisement, restauration et prévention – exécution</w:t>
            </w:r>
          </w:p>
        </w:tc>
        <w:tc>
          <w:tcPr>
            <w:tcW w:w="1271" w:type="dxa"/>
            <w:shd w:val="clear" w:color="auto" w:fill="C6EFCE"/>
          </w:tcPr>
          <w:p w14:paraId="6744D6D3" w14:textId="77777777" w:rsidR="00A00259" w:rsidRDefault="00371282">
            <w:pPr>
              <w:pStyle w:val="P68B1DB1-Normal29"/>
              <w:spacing w:after="0" w:line="240" w:lineRule="auto"/>
              <w:rPr>
                <w:rFonts w:ascii="Aptos" w:hAnsi="Aptos"/>
                <w:noProof/>
              </w:rPr>
            </w:pPr>
            <w:r>
              <w:rPr>
                <w:noProof/>
              </w:rPr>
              <w:t>Exécution des travaux</w:t>
            </w:r>
          </w:p>
        </w:tc>
        <w:tc>
          <w:tcPr>
            <w:tcW w:w="1199" w:type="dxa"/>
            <w:shd w:val="clear" w:color="auto" w:fill="C6EFCE"/>
          </w:tcPr>
          <w:p w14:paraId="56F2391D" w14:textId="77777777" w:rsidR="00A00259" w:rsidRDefault="00A00259">
            <w:pPr>
              <w:spacing w:after="0" w:line="240" w:lineRule="auto"/>
              <w:rPr>
                <w:rFonts w:ascii="Aptos" w:eastAsia="Aptos" w:hAnsi="Aptos" w:cs="Times New Roman"/>
                <w:noProof/>
                <w:kern w:val="2"/>
              </w:rPr>
            </w:pPr>
          </w:p>
        </w:tc>
        <w:tc>
          <w:tcPr>
            <w:tcW w:w="1199" w:type="dxa"/>
            <w:shd w:val="clear" w:color="auto" w:fill="C6EFCE"/>
          </w:tcPr>
          <w:p w14:paraId="2585ECEC" w14:textId="77777777" w:rsidR="00A00259" w:rsidRDefault="00A00259">
            <w:pPr>
              <w:spacing w:after="0" w:line="240" w:lineRule="auto"/>
              <w:rPr>
                <w:rFonts w:ascii="Aptos" w:eastAsia="Aptos" w:hAnsi="Aptos" w:cs="Times New Roman"/>
                <w:noProof/>
                <w:kern w:val="2"/>
              </w:rPr>
            </w:pPr>
          </w:p>
        </w:tc>
        <w:tc>
          <w:tcPr>
            <w:tcW w:w="1199" w:type="dxa"/>
            <w:shd w:val="clear" w:color="auto" w:fill="C6EFCE"/>
          </w:tcPr>
          <w:p w14:paraId="1DDED5FB" w14:textId="77777777" w:rsidR="00A00259" w:rsidRDefault="00A00259">
            <w:pPr>
              <w:spacing w:after="0" w:line="240" w:lineRule="auto"/>
              <w:rPr>
                <w:rFonts w:ascii="Aptos" w:eastAsia="Aptos" w:hAnsi="Aptos" w:cs="Times New Roman"/>
                <w:noProof/>
                <w:kern w:val="2"/>
              </w:rPr>
            </w:pPr>
          </w:p>
        </w:tc>
        <w:tc>
          <w:tcPr>
            <w:tcW w:w="1217" w:type="dxa"/>
            <w:shd w:val="clear" w:color="auto" w:fill="C6EFCE"/>
          </w:tcPr>
          <w:p w14:paraId="08C3B329" w14:textId="77777777" w:rsidR="00A00259" w:rsidRDefault="00371282">
            <w:pPr>
              <w:pStyle w:val="P68B1DB1-Normal29"/>
              <w:spacing w:after="0" w:line="240" w:lineRule="auto"/>
              <w:rPr>
                <w:rFonts w:ascii="Aptos" w:hAnsi="Aptos"/>
                <w:noProof/>
              </w:rPr>
            </w:pPr>
            <w:r>
              <w:rPr>
                <w:noProof/>
              </w:rPr>
              <w:t>T4</w:t>
            </w:r>
          </w:p>
        </w:tc>
        <w:tc>
          <w:tcPr>
            <w:tcW w:w="1228" w:type="dxa"/>
            <w:shd w:val="clear" w:color="auto" w:fill="C6EFCE"/>
          </w:tcPr>
          <w:p w14:paraId="56BCEF7B" w14:textId="77777777" w:rsidR="00A00259" w:rsidRDefault="00371282">
            <w:pPr>
              <w:pStyle w:val="P68B1DB1-Normal29"/>
              <w:spacing w:after="0" w:line="240" w:lineRule="auto"/>
              <w:rPr>
                <w:rFonts w:ascii="Aptos" w:hAnsi="Aptos"/>
                <w:noProof/>
              </w:rPr>
            </w:pPr>
            <w:r>
              <w:rPr>
                <w:noProof/>
              </w:rPr>
              <w:t>2025</w:t>
            </w:r>
          </w:p>
        </w:tc>
        <w:tc>
          <w:tcPr>
            <w:tcW w:w="3017" w:type="dxa"/>
            <w:shd w:val="clear" w:color="auto" w:fill="C6EFCE"/>
          </w:tcPr>
          <w:p w14:paraId="293C1561" w14:textId="77777777" w:rsidR="00A00259" w:rsidRDefault="00371282">
            <w:pPr>
              <w:pStyle w:val="P68B1DB1-Normal29"/>
              <w:numPr>
                <w:ilvl w:val="0"/>
                <w:numId w:val="28"/>
              </w:numPr>
              <w:spacing w:after="0" w:line="240" w:lineRule="auto"/>
              <w:contextualSpacing/>
              <w:rPr>
                <w:noProof/>
              </w:rPr>
            </w:pPr>
            <w:r>
              <w:rPr>
                <w:noProof/>
              </w:rPr>
              <w:t>Restauration de 5 084 ha d'écosystèmes forestiers dégradés;</w:t>
            </w:r>
          </w:p>
          <w:p w14:paraId="010CFFF6" w14:textId="77777777" w:rsidR="00A00259" w:rsidRDefault="00371282">
            <w:pPr>
              <w:pStyle w:val="P68B1DB1-Normal29"/>
              <w:numPr>
                <w:ilvl w:val="0"/>
                <w:numId w:val="28"/>
              </w:numPr>
              <w:spacing w:after="0" w:line="240" w:lineRule="auto"/>
              <w:contextualSpacing/>
              <w:rPr>
                <w:noProof/>
              </w:rPr>
            </w:pPr>
            <w:r>
              <w:rPr>
                <w:noProof/>
              </w:rPr>
              <w:t>Antinero I, II, III, IV &amp; V pour la mise à niveau de 91 640 ha d'écosystèmes dégradés;</w:t>
            </w:r>
          </w:p>
          <w:p w14:paraId="6AC42C0C" w14:textId="77777777" w:rsidR="00A00259" w:rsidRDefault="00371282">
            <w:pPr>
              <w:pStyle w:val="P68B1DB1-Normal29"/>
              <w:numPr>
                <w:ilvl w:val="0"/>
                <w:numId w:val="28"/>
              </w:numPr>
              <w:spacing w:after="0" w:line="240" w:lineRule="auto"/>
              <w:contextualSpacing/>
              <w:rPr>
                <w:noProof/>
              </w:rPr>
            </w:pPr>
            <w:r>
              <w:rPr>
                <w:noProof/>
              </w:rPr>
              <w:t>mesures anti-érosion couvrant 8 020 ha;</w:t>
            </w:r>
          </w:p>
          <w:p w14:paraId="02DAC499" w14:textId="77777777" w:rsidR="00A00259" w:rsidRDefault="00371282">
            <w:pPr>
              <w:pStyle w:val="P68B1DB1-Normal29"/>
              <w:numPr>
                <w:ilvl w:val="0"/>
                <w:numId w:val="28"/>
              </w:numPr>
              <w:spacing w:after="0" w:line="240" w:lineRule="auto"/>
              <w:contextualSpacing/>
              <w:rPr>
                <w:rFonts w:ascii="Aptos" w:hAnsi="Aptos"/>
                <w:noProof/>
              </w:rPr>
            </w:pPr>
            <w:r>
              <w:rPr>
                <w:noProof/>
              </w:rPr>
              <w:t>Mesures de lutte contre les inondations couvrant 401 437 m2</w:t>
            </w:r>
          </w:p>
        </w:tc>
      </w:tr>
    </w:tbl>
    <w:p w14:paraId="5B03C74F" w14:textId="77777777" w:rsidR="00A00259" w:rsidRDefault="00A00259">
      <w:pPr>
        <w:spacing w:before="120" w:after="0" w:line="240" w:lineRule="auto"/>
        <w:rPr>
          <w:rFonts w:ascii="Times New Roman" w:hAnsi="Times New Roman"/>
          <w:noProof/>
          <w:sz w:val="16"/>
          <w:szCs w:val="16"/>
        </w:rPr>
      </w:pPr>
    </w:p>
    <w:tbl>
      <w:tblPr>
        <w:tblStyle w:val="TableGrid2"/>
        <w:tblW w:w="15735" w:type="dxa"/>
        <w:tblInd w:w="-743" w:type="dxa"/>
        <w:tblLook w:val="04A0" w:firstRow="1" w:lastRow="0" w:firstColumn="1" w:lastColumn="0" w:noHBand="0" w:noVBand="1"/>
      </w:tblPr>
      <w:tblGrid>
        <w:gridCol w:w="709"/>
        <w:gridCol w:w="2153"/>
        <w:gridCol w:w="1259"/>
        <w:gridCol w:w="1284"/>
        <w:gridCol w:w="1271"/>
        <w:gridCol w:w="1199"/>
        <w:gridCol w:w="1199"/>
        <w:gridCol w:w="1199"/>
        <w:gridCol w:w="1217"/>
        <w:gridCol w:w="1228"/>
        <w:gridCol w:w="3017"/>
      </w:tblGrid>
      <w:tr w:rsidR="00A00259" w14:paraId="09F9DA1C" w14:textId="77777777">
        <w:trPr>
          <w:tblHeader/>
        </w:trPr>
        <w:tc>
          <w:tcPr>
            <w:tcW w:w="709" w:type="dxa"/>
            <w:vMerge w:val="restart"/>
            <w:shd w:val="clear" w:color="auto" w:fill="B8CCE4"/>
          </w:tcPr>
          <w:p w14:paraId="696009B6" w14:textId="77777777" w:rsidR="00A00259" w:rsidRDefault="00371282">
            <w:pPr>
              <w:pStyle w:val="P68B1DB1-Normal28"/>
              <w:spacing w:after="0" w:line="240" w:lineRule="auto"/>
              <w:jc w:val="center"/>
              <w:rPr>
                <w:rFonts w:ascii="Aptos" w:hAnsi="Aptos"/>
                <w:noProof/>
              </w:rPr>
            </w:pPr>
            <w:r>
              <w:rPr>
                <w:noProof/>
              </w:rPr>
              <w:t>Seq.</w:t>
            </w:r>
            <w:r>
              <w:rPr>
                <w:noProof/>
              </w:rPr>
              <w:br/>
              <w:t>Non.</w:t>
            </w:r>
          </w:p>
        </w:tc>
        <w:tc>
          <w:tcPr>
            <w:tcW w:w="2153" w:type="dxa"/>
            <w:vMerge w:val="restart"/>
            <w:shd w:val="clear" w:color="auto" w:fill="B8CCE4"/>
          </w:tcPr>
          <w:p w14:paraId="24618A1F" w14:textId="77777777" w:rsidR="00A00259" w:rsidRDefault="00371282">
            <w:pPr>
              <w:pStyle w:val="P68B1DB1-Normal28"/>
              <w:spacing w:after="0" w:line="240" w:lineRule="auto"/>
              <w:jc w:val="center"/>
              <w:rPr>
                <w:rFonts w:ascii="Aptos" w:hAnsi="Aptos"/>
                <w:noProof/>
              </w:rPr>
            </w:pPr>
            <w:r>
              <w:rPr>
                <w:noProof/>
              </w:rPr>
              <w:t>Mesure connexe (réforme ou investissement)</w:t>
            </w:r>
          </w:p>
        </w:tc>
        <w:tc>
          <w:tcPr>
            <w:tcW w:w="1259" w:type="dxa"/>
            <w:vMerge w:val="restart"/>
            <w:shd w:val="clear" w:color="auto" w:fill="B8CCE4"/>
          </w:tcPr>
          <w:p w14:paraId="4CFC9C88" w14:textId="77777777" w:rsidR="00A00259" w:rsidRDefault="00371282">
            <w:pPr>
              <w:pStyle w:val="P68B1DB1-Normal28"/>
              <w:spacing w:after="0" w:line="240" w:lineRule="auto"/>
              <w:jc w:val="center"/>
              <w:rPr>
                <w:rFonts w:ascii="Aptos" w:hAnsi="Aptos"/>
                <w:noProof/>
              </w:rPr>
            </w:pPr>
            <w:r>
              <w:rPr>
                <w:noProof/>
              </w:rPr>
              <w:t>Étape/cible</w:t>
            </w:r>
          </w:p>
        </w:tc>
        <w:tc>
          <w:tcPr>
            <w:tcW w:w="1284" w:type="dxa"/>
            <w:vMerge w:val="restart"/>
            <w:shd w:val="clear" w:color="auto" w:fill="B8CCE4"/>
          </w:tcPr>
          <w:p w14:paraId="120DDC02" w14:textId="77777777" w:rsidR="00A00259" w:rsidRDefault="00371282">
            <w:pPr>
              <w:pStyle w:val="P68B1DB1-Normal28"/>
              <w:spacing w:after="0" w:line="240" w:lineRule="auto"/>
              <w:jc w:val="center"/>
              <w:rPr>
                <w:rFonts w:ascii="Aptos" w:hAnsi="Aptos"/>
                <w:noProof/>
              </w:rPr>
            </w:pPr>
            <w:r>
              <w:rPr>
                <w:noProof/>
              </w:rPr>
              <w:t>Nom</w:t>
            </w:r>
          </w:p>
        </w:tc>
        <w:tc>
          <w:tcPr>
            <w:tcW w:w="1271" w:type="dxa"/>
            <w:vMerge w:val="restart"/>
            <w:shd w:val="clear" w:color="auto" w:fill="B8CCE4"/>
          </w:tcPr>
          <w:p w14:paraId="38BE00F5" w14:textId="77777777" w:rsidR="00A00259" w:rsidRDefault="00371282">
            <w:pPr>
              <w:pStyle w:val="P68B1DB1-Normal28"/>
              <w:spacing w:after="0" w:line="240" w:lineRule="auto"/>
              <w:jc w:val="center"/>
              <w:rPr>
                <w:rFonts w:ascii="Aptos" w:hAnsi="Aptos"/>
                <w:noProof/>
              </w:rPr>
            </w:pPr>
            <w:r>
              <w:rPr>
                <w:noProof/>
              </w:rPr>
              <w:t>Indicateurs qualitatifs (pour les jalons)</w:t>
            </w:r>
          </w:p>
        </w:tc>
        <w:tc>
          <w:tcPr>
            <w:tcW w:w="3597" w:type="dxa"/>
            <w:gridSpan w:val="3"/>
            <w:shd w:val="clear" w:color="auto" w:fill="B8CCE4"/>
          </w:tcPr>
          <w:p w14:paraId="6C3794BD" w14:textId="77777777" w:rsidR="00A00259" w:rsidRDefault="00371282">
            <w:pPr>
              <w:pStyle w:val="P68B1DB1-Normal28"/>
              <w:spacing w:after="0" w:line="240" w:lineRule="auto"/>
              <w:jc w:val="center"/>
              <w:rPr>
                <w:rFonts w:ascii="Aptos" w:hAnsi="Aptos"/>
                <w:noProof/>
              </w:rPr>
            </w:pPr>
            <w:r>
              <w:rPr>
                <w:noProof/>
              </w:rPr>
              <w:t xml:space="preserve">Indicateurs quantitatifs </w:t>
            </w:r>
            <w:r>
              <w:rPr>
                <w:noProof/>
                <w:szCs w:val="18"/>
              </w:rPr>
              <w:br/>
            </w:r>
            <w:r>
              <w:rPr>
                <w:noProof/>
              </w:rPr>
              <w:t>(pour les objectifs)</w:t>
            </w:r>
          </w:p>
        </w:tc>
        <w:tc>
          <w:tcPr>
            <w:tcW w:w="2445" w:type="dxa"/>
            <w:gridSpan w:val="2"/>
            <w:shd w:val="clear" w:color="auto" w:fill="B8CCE4"/>
          </w:tcPr>
          <w:p w14:paraId="2B51F96B" w14:textId="77777777" w:rsidR="00A00259" w:rsidRDefault="00371282">
            <w:pPr>
              <w:pStyle w:val="P68B1DB1-Normal28"/>
              <w:spacing w:after="0" w:line="240" w:lineRule="auto"/>
              <w:jc w:val="center"/>
              <w:rPr>
                <w:rFonts w:ascii="Aptos" w:hAnsi="Aptos"/>
                <w:noProof/>
              </w:rPr>
            </w:pPr>
            <w:r>
              <w:rPr>
                <w:noProof/>
              </w:rPr>
              <w:t>Calendrier indicatif d'achèvement</w:t>
            </w:r>
          </w:p>
        </w:tc>
        <w:tc>
          <w:tcPr>
            <w:tcW w:w="3017" w:type="dxa"/>
            <w:vMerge w:val="restart"/>
            <w:shd w:val="clear" w:color="auto" w:fill="B8CCE4"/>
          </w:tcPr>
          <w:p w14:paraId="02DA40F0" w14:textId="77777777" w:rsidR="00A00259" w:rsidRDefault="00371282">
            <w:pPr>
              <w:pStyle w:val="P68B1DB1-Normal28"/>
              <w:spacing w:after="0" w:line="240" w:lineRule="auto"/>
              <w:jc w:val="center"/>
              <w:rPr>
                <w:rFonts w:ascii="Aptos" w:hAnsi="Aptos"/>
                <w:noProof/>
              </w:rPr>
            </w:pPr>
            <w:r>
              <w:rPr>
                <w:noProof/>
              </w:rPr>
              <w:t>Description de chaque jalon et cible</w:t>
            </w:r>
          </w:p>
        </w:tc>
      </w:tr>
      <w:tr w:rsidR="00A00259" w14:paraId="6C3D746B" w14:textId="77777777">
        <w:trPr>
          <w:tblHeader/>
        </w:trPr>
        <w:tc>
          <w:tcPr>
            <w:tcW w:w="709" w:type="dxa"/>
            <w:vMerge/>
            <w:tcBorders>
              <w:bottom w:val="single" w:sz="4" w:space="0" w:color="auto"/>
            </w:tcBorders>
            <w:shd w:val="clear" w:color="auto" w:fill="B8CCE4"/>
            <w:vAlign w:val="center"/>
          </w:tcPr>
          <w:p w14:paraId="51310A03" w14:textId="77777777" w:rsidR="00A00259" w:rsidRDefault="00A00259">
            <w:pPr>
              <w:spacing w:after="0" w:line="240" w:lineRule="auto"/>
              <w:rPr>
                <w:rFonts w:ascii="Aptos" w:eastAsia="Aptos" w:hAnsi="Aptos" w:cs="Times New Roman"/>
                <w:noProof/>
                <w:kern w:val="2"/>
              </w:rPr>
            </w:pPr>
          </w:p>
        </w:tc>
        <w:tc>
          <w:tcPr>
            <w:tcW w:w="2153" w:type="dxa"/>
            <w:vMerge/>
            <w:tcBorders>
              <w:bottom w:val="single" w:sz="4" w:space="0" w:color="auto"/>
            </w:tcBorders>
            <w:shd w:val="clear" w:color="auto" w:fill="B8CCE4"/>
            <w:vAlign w:val="center"/>
          </w:tcPr>
          <w:p w14:paraId="6159FB81" w14:textId="77777777" w:rsidR="00A00259" w:rsidRDefault="00A00259">
            <w:pPr>
              <w:spacing w:after="0" w:line="240" w:lineRule="auto"/>
              <w:rPr>
                <w:rFonts w:ascii="Aptos" w:eastAsia="Aptos" w:hAnsi="Aptos" w:cs="Times New Roman"/>
                <w:noProof/>
                <w:kern w:val="2"/>
              </w:rPr>
            </w:pPr>
          </w:p>
        </w:tc>
        <w:tc>
          <w:tcPr>
            <w:tcW w:w="1259" w:type="dxa"/>
            <w:vMerge/>
            <w:tcBorders>
              <w:bottom w:val="single" w:sz="4" w:space="0" w:color="auto"/>
            </w:tcBorders>
            <w:shd w:val="clear" w:color="auto" w:fill="B8CCE4"/>
            <w:vAlign w:val="center"/>
          </w:tcPr>
          <w:p w14:paraId="54128065" w14:textId="77777777" w:rsidR="00A00259" w:rsidRDefault="00A00259">
            <w:pPr>
              <w:spacing w:after="0" w:line="240" w:lineRule="auto"/>
              <w:rPr>
                <w:rFonts w:ascii="Aptos" w:eastAsia="Aptos" w:hAnsi="Aptos" w:cs="Times New Roman"/>
                <w:noProof/>
                <w:kern w:val="2"/>
              </w:rPr>
            </w:pPr>
          </w:p>
        </w:tc>
        <w:tc>
          <w:tcPr>
            <w:tcW w:w="1284" w:type="dxa"/>
            <w:vMerge/>
            <w:tcBorders>
              <w:bottom w:val="single" w:sz="4" w:space="0" w:color="auto"/>
            </w:tcBorders>
            <w:shd w:val="clear" w:color="auto" w:fill="B8CCE4"/>
            <w:vAlign w:val="center"/>
          </w:tcPr>
          <w:p w14:paraId="64D4782F" w14:textId="77777777" w:rsidR="00A00259" w:rsidRDefault="00A00259">
            <w:pPr>
              <w:spacing w:after="0" w:line="240" w:lineRule="auto"/>
              <w:rPr>
                <w:rFonts w:ascii="Aptos" w:eastAsia="Aptos" w:hAnsi="Aptos" w:cs="Times New Roman"/>
                <w:noProof/>
                <w:kern w:val="2"/>
              </w:rPr>
            </w:pPr>
          </w:p>
        </w:tc>
        <w:tc>
          <w:tcPr>
            <w:tcW w:w="1271" w:type="dxa"/>
            <w:vMerge/>
            <w:tcBorders>
              <w:bottom w:val="single" w:sz="4" w:space="0" w:color="auto"/>
            </w:tcBorders>
            <w:shd w:val="clear" w:color="auto" w:fill="B8CCE4"/>
            <w:vAlign w:val="center"/>
          </w:tcPr>
          <w:p w14:paraId="46138694" w14:textId="77777777" w:rsidR="00A00259" w:rsidRDefault="00A00259">
            <w:pPr>
              <w:spacing w:after="0" w:line="240" w:lineRule="auto"/>
              <w:rPr>
                <w:rFonts w:ascii="Aptos" w:eastAsia="Aptos" w:hAnsi="Aptos" w:cs="Times New Roman"/>
                <w:noProof/>
                <w:kern w:val="2"/>
              </w:rPr>
            </w:pPr>
          </w:p>
        </w:tc>
        <w:tc>
          <w:tcPr>
            <w:tcW w:w="1199" w:type="dxa"/>
            <w:tcBorders>
              <w:bottom w:val="single" w:sz="4" w:space="0" w:color="auto"/>
            </w:tcBorders>
            <w:shd w:val="clear" w:color="auto" w:fill="B8CCE4"/>
            <w:vAlign w:val="center"/>
          </w:tcPr>
          <w:p w14:paraId="761EBDFE" w14:textId="77777777" w:rsidR="00A00259" w:rsidRDefault="00371282">
            <w:pPr>
              <w:pStyle w:val="P68B1DB1-Normal28"/>
              <w:spacing w:after="0" w:line="240" w:lineRule="auto"/>
              <w:rPr>
                <w:rFonts w:ascii="Aptos" w:hAnsi="Aptos"/>
                <w:noProof/>
              </w:rPr>
            </w:pPr>
            <w:r>
              <w:rPr>
                <w:noProof/>
              </w:rPr>
              <w:t>Unité de mesure</w:t>
            </w:r>
          </w:p>
        </w:tc>
        <w:tc>
          <w:tcPr>
            <w:tcW w:w="1199" w:type="dxa"/>
            <w:tcBorders>
              <w:bottom w:val="single" w:sz="4" w:space="0" w:color="auto"/>
            </w:tcBorders>
            <w:shd w:val="clear" w:color="auto" w:fill="B8CCE4"/>
          </w:tcPr>
          <w:p w14:paraId="146BBE80" w14:textId="77777777" w:rsidR="00A00259" w:rsidRDefault="00371282">
            <w:pPr>
              <w:pStyle w:val="P68B1DB1-Normal28"/>
              <w:spacing w:after="0" w:line="240" w:lineRule="auto"/>
              <w:rPr>
                <w:rFonts w:ascii="Aptos" w:hAnsi="Aptos"/>
                <w:noProof/>
              </w:rPr>
            </w:pPr>
            <w:r>
              <w:rPr>
                <w:noProof/>
              </w:rPr>
              <w:t>Données de référence</w:t>
            </w:r>
          </w:p>
        </w:tc>
        <w:tc>
          <w:tcPr>
            <w:tcW w:w="1199" w:type="dxa"/>
            <w:tcBorders>
              <w:bottom w:val="single" w:sz="4" w:space="0" w:color="auto"/>
            </w:tcBorders>
            <w:shd w:val="clear" w:color="auto" w:fill="B8CCE4"/>
          </w:tcPr>
          <w:p w14:paraId="0477E67B" w14:textId="77777777" w:rsidR="00A00259" w:rsidRDefault="00371282">
            <w:pPr>
              <w:pStyle w:val="P68B1DB1-Normal28"/>
              <w:spacing w:after="0" w:line="240" w:lineRule="auto"/>
              <w:rPr>
                <w:rFonts w:ascii="Aptos" w:hAnsi="Aptos"/>
                <w:noProof/>
              </w:rPr>
            </w:pPr>
            <w:r>
              <w:rPr>
                <w:noProof/>
              </w:rPr>
              <w:t>Objectif</w:t>
            </w:r>
          </w:p>
        </w:tc>
        <w:tc>
          <w:tcPr>
            <w:tcW w:w="1217" w:type="dxa"/>
            <w:tcBorders>
              <w:bottom w:val="single" w:sz="4" w:space="0" w:color="auto"/>
            </w:tcBorders>
            <w:shd w:val="clear" w:color="auto" w:fill="B8CCE4"/>
          </w:tcPr>
          <w:p w14:paraId="06D1B615" w14:textId="77777777" w:rsidR="00A00259" w:rsidRDefault="00371282">
            <w:pPr>
              <w:pStyle w:val="P68B1DB1-Normal28"/>
              <w:spacing w:after="0" w:line="240" w:lineRule="auto"/>
              <w:rPr>
                <w:rFonts w:ascii="Aptos" w:hAnsi="Aptos"/>
                <w:noProof/>
              </w:rPr>
            </w:pPr>
            <w:r>
              <w:rPr>
                <w:noProof/>
              </w:rPr>
              <w:t>Trimestre</w:t>
            </w:r>
          </w:p>
        </w:tc>
        <w:tc>
          <w:tcPr>
            <w:tcW w:w="1228" w:type="dxa"/>
            <w:tcBorders>
              <w:bottom w:val="single" w:sz="4" w:space="0" w:color="auto"/>
            </w:tcBorders>
            <w:shd w:val="clear" w:color="auto" w:fill="B8CCE4"/>
          </w:tcPr>
          <w:p w14:paraId="3642FC5A" w14:textId="77777777" w:rsidR="00A00259" w:rsidRDefault="00371282">
            <w:pPr>
              <w:pStyle w:val="P68B1DB1-Normal28"/>
              <w:spacing w:after="0" w:line="240" w:lineRule="auto"/>
              <w:rPr>
                <w:rFonts w:ascii="Aptos" w:hAnsi="Aptos"/>
                <w:noProof/>
              </w:rPr>
            </w:pPr>
            <w:r>
              <w:rPr>
                <w:noProof/>
              </w:rPr>
              <w:t>Année</w:t>
            </w:r>
          </w:p>
        </w:tc>
        <w:tc>
          <w:tcPr>
            <w:tcW w:w="3017" w:type="dxa"/>
            <w:vMerge/>
            <w:tcBorders>
              <w:bottom w:val="single" w:sz="4" w:space="0" w:color="auto"/>
            </w:tcBorders>
            <w:shd w:val="clear" w:color="auto" w:fill="B8CCE4"/>
          </w:tcPr>
          <w:p w14:paraId="42D7CF6E" w14:textId="77777777" w:rsidR="00A00259" w:rsidRDefault="00A00259">
            <w:pPr>
              <w:spacing w:after="0" w:line="240" w:lineRule="auto"/>
              <w:rPr>
                <w:rFonts w:ascii="Aptos" w:eastAsia="Aptos" w:hAnsi="Aptos" w:cs="Times New Roman"/>
                <w:noProof/>
                <w:kern w:val="2"/>
              </w:rPr>
            </w:pPr>
          </w:p>
        </w:tc>
      </w:tr>
      <w:tr w:rsidR="00A00259" w14:paraId="1C486198" w14:textId="77777777">
        <w:trPr>
          <w:tblHeader/>
        </w:trPr>
        <w:tc>
          <w:tcPr>
            <w:tcW w:w="709" w:type="dxa"/>
            <w:shd w:val="clear" w:color="auto" w:fill="C6EFCE"/>
          </w:tcPr>
          <w:p w14:paraId="0CA81553" w14:textId="77777777" w:rsidR="00A00259" w:rsidRDefault="00371282">
            <w:pPr>
              <w:pStyle w:val="P68B1DB1-Normal30"/>
              <w:spacing w:after="0" w:line="240" w:lineRule="auto"/>
              <w:rPr>
                <w:rFonts w:ascii="Aptos" w:hAnsi="Aptos"/>
                <w:noProof/>
              </w:rPr>
            </w:pPr>
            <w:r>
              <w:rPr>
                <w:noProof/>
              </w:rPr>
              <w:t>64</w:t>
            </w:r>
          </w:p>
        </w:tc>
        <w:tc>
          <w:tcPr>
            <w:tcW w:w="2153" w:type="dxa"/>
            <w:shd w:val="clear" w:color="auto" w:fill="C6EFCE"/>
          </w:tcPr>
          <w:p w14:paraId="2746CCB9" w14:textId="77777777" w:rsidR="00A00259" w:rsidRDefault="00371282">
            <w:pPr>
              <w:pStyle w:val="P68B1DB1-Normal30"/>
              <w:spacing w:after="0" w:line="240" w:lineRule="auto"/>
              <w:rPr>
                <w:rFonts w:ascii="Aptos" w:hAnsi="Aptos"/>
                <w:noProof/>
              </w:rPr>
            </w:pPr>
            <w:r>
              <w:rPr>
                <w:noProof/>
              </w:rPr>
              <w:t>4 - 1.4. Utilisation durable des ressources, résilience au changement climatique et protection de l'environnement - 16851_La protection de la biodiversité en tant que moteur de la croissance durable</w:t>
            </w:r>
          </w:p>
        </w:tc>
        <w:tc>
          <w:tcPr>
            <w:tcW w:w="1259" w:type="dxa"/>
            <w:shd w:val="clear" w:color="auto" w:fill="C6EFCE"/>
          </w:tcPr>
          <w:p w14:paraId="62289831" w14:textId="77777777" w:rsidR="00A00259" w:rsidRDefault="00371282">
            <w:pPr>
              <w:pStyle w:val="P68B1DB1-Normal30"/>
              <w:spacing w:after="0" w:line="240" w:lineRule="auto"/>
              <w:rPr>
                <w:rFonts w:ascii="Aptos" w:hAnsi="Aptos"/>
                <w:noProof/>
              </w:rPr>
            </w:pPr>
            <w:r>
              <w:rPr>
                <w:noProof/>
              </w:rPr>
              <w:t>Étape</w:t>
            </w:r>
          </w:p>
        </w:tc>
        <w:tc>
          <w:tcPr>
            <w:tcW w:w="1284" w:type="dxa"/>
            <w:shd w:val="clear" w:color="auto" w:fill="C6EFCE"/>
          </w:tcPr>
          <w:p w14:paraId="4A63787A" w14:textId="77777777" w:rsidR="00A00259" w:rsidRDefault="00371282">
            <w:pPr>
              <w:pStyle w:val="P68B1DB1-Normal29"/>
              <w:spacing w:after="0" w:line="240" w:lineRule="auto"/>
              <w:rPr>
                <w:rFonts w:ascii="Aptos" w:hAnsi="Aptos"/>
                <w:noProof/>
              </w:rPr>
            </w:pPr>
            <w:r>
              <w:rPr>
                <w:noProof/>
              </w:rPr>
              <w:t xml:space="preserve">Biodiversité </w:t>
            </w:r>
          </w:p>
        </w:tc>
        <w:tc>
          <w:tcPr>
            <w:tcW w:w="1271" w:type="dxa"/>
            <w:shd w:val="clear" w:color="auto" w:fill="C6EFCE"/>
          </w:tcPr>
          <w:p w14:paraId="6511B0A4" w14:textId="77777777" w:rsidR="00A00259" w:rsidRDefault="00371282">
            <w:pPr>
              <w:pStyle w:val="P68B1DB1-Normal29"/>
              <w:spacing w:after="0" w:line="240" w:lineRule="auto"/>
              <w:rPr>
                <w:noProof/>
              </w:rPr>
            </w:pPr>
            <w:r>
              <w:rPr>
                <w:noProof/>
              </w:rPr>
              <w:t>Réalisation des projets tels que décrits dans la description du jalon</w:t>
            </w:r>
          </w:p>
          <w:p w14:paraId="72B278FD" w14:textId="77777777" w:rsidR="00A00259" w:rsidRDefault="00A00259">
            <w:pPr>
              <w:spacing w:after="0" w:line="240" w:lineRule="auto"/>
              <w:rPr>
                <w:rFonts w:ascii="Aptos" w:eastAsia="Aptos" w:hAnsi="Aptos" w:cs="Times New Roman"/>
                <w:noProof/>
                <w:kern w:val="2"/>
              </w:rPr>
            </w:pPr>
          </w:p>
        </w:tc>
        <w:tc>
          <w:tcPr>
            <w:tcW w:w="1199" w:type="dxa"/>
            <w:shd w:val="clear" w:color="auto" w:fill="C6EFCE"/>
          </w:tcPr>
          <w:p w14:paraId="43D873F3" w14:textId="77777777" w:rsidR="00A00259" w:rsidRDefault="00A00259">
            <w:pPr>
              <w:spacing w:after="0" w:line="240" w:lineRule="auto"/>
              <w:rPr>
                <w:rFonts w:ascii="Times New Roman" w:eastAsia="Aptos" w:hAnsi="Times New Roman" w:cs="Times New Roman"/>
                <w:b/>
                <w:noProof/>
                <w:kern w:val="2"/>
                <w:sz w:val="18"/>
              </w:rPr>
            </w:pPr>
          </w:p>
        </w:tc>
        <w:tc>
          <w:tcPr>
            <w:tcW w:w="1199" w:type="dxa"/>
            <w:shd w:val="clear" w:color="auto" w:fill="C6EFCE"/>
          </w:tcPr>
          <w:p w14:paraId="61E51CCC" w14:textId="77777777" w:rsidR="00A00259" w:rsidRDefault="00A00259">
            <w:pPr>
              <w:spacing w:after="0" w:line="240" w:lineRule="auto"/>
              <w:rPr>
                <w:rFonts w:ascii="Times New Roman" w:eastAsia="Aptos" w:hAnsi="Times New Roman" w:cs="Times New Roman"/>
                <w:b/>
                <w:noProof/>
                <w:kern w:val="2"/>
                <w:sz w:val="18"/>
              </w:rPr>
            </w:pPr>
          </w:p>
        </w:tc>
        <w:tc>
          <w:tcPr>
            <w:tcW w:w="1199" w:type="dxa"/>
            <w:shd w:val="clear" w:color="auto" w:fill="C6EFCE"/>
          </w:tcPr>
          <w:p w14:paraId="2D8EB10D" w14:textId="77777777" w:rsidR="00A00259" w:rsidRDefault="00A00259">
            <w:pPr>
              <w:spacing w:after="0" w:line="240" w:lineRule="auto"/>
              <w:rPr>
                <w:rFonts w:ascii="Times New Roman" w:eastAsia="Aptos" w:hAnsi="Times New Roman" w:cs="Times New Roman"/>
                <w:b/>
                <w:noProof/>
                <w:kern w:val="2"/>
                <w:sz w:val="18"/>
              </w:rPr>
            </w:pPr>
          </w:p>
        </w:tc>
        <w:tc>
          <w:tcPr>
            <w:tcW w:w="1217" w:type="dxa"/>
            <w:shd w:val="clear" w:color="auto" w:fill="C6EFCE"/>
          </w:tcPr>
          <w:p w14:paraId="562B0BA0" w14:textId="77777777" w:rsidR="00A00259" w:rsidRDefault="00371282">
            <w:pPr>
              <w:pStyle w:val="P68B1DB1-Normal30"/>
              <w:spacing w:after="0" w:line="240" w:lineRule="auto"/>
              <w:rPr>
                <w:b/>
                <w:noProof/>
              </w:rPr>
            </w:pPr>
            <w:r>
              <w:rPr>
                <w:noProof/>
              </w:rPr>
              <w:t>T4</w:t>
            </w:r>
          </w:p>
        </w:tc>
        <w:tc>
          <w:tcPr>
            <w:tcW w:w="1228" w:type="dxa"/>
            <w:shd w:val="clear" w:color="auto" w:fill="C6EFCE"/>
          </w:tcPr>
          <w:p w14:paraId="4C69D30A" w14:textId="77777777" w:rsidR="00A00259" w:rsidRDefault="00371282">
            <w:pPr>
              <w:pStyle w:val="P68B1DB1-Normal30"/>
              <w:spacing w:after="0" w:line="240" w:lineRule="auto"/>
              <w:rPr>
                <w:b/>
                <w:noProof/>
              </w:rPr>
            </w:pPr>
            <w:r>
              <w:rPr>
                <w:noProof/>
              </w:rPr>
              <w:t>2025</w:t>
            </w:r>
          </w:p>
        </w:tc>
        <w:tc>
          <w:tcPr>
            <w:tcW w:w="3017" w:type="dxa"/>
            <w:shd w:val="clear" w:color="auto" w:fill="C6EFCE"/>
          </w:tcPr>
          <w:p w14:paraId="12D1FF47" w14:textId="35B210A9" w:rsidR="00A00259" w:rsidRDefault="00371282">
            <w:pPr>
              <w:pStyle w:val="P68B1DB1-Normal29"/>
              <w:numPr>
                <w:ilvl w:val="0"/>
                <w:numId w:val="29"/>
              </w:numPr>
              <w:spacing w:after="0" w:line="240" w:lineRule="auto"/>
              <w:contextualSpacing/>
              <w:rPr>
                <w:noProof/>
              </w:rPr>
            </w:pPr>
            <w:r>
              <w:rPr>
                <w:noProof/>
              </w:rPr>
              <w:t>Exécution de projets concernant le réseau national de sentiers et sentiers de randonnée;</w:t>
            </w:r>
          </w:p>
          <w:p w14:paraId="1D3AF5B3" w14:textId="77777777" w:rsidR="00A00259" w:rsidRDefault="00371282">
            <w:pPr>
              <w:pStyle w:val="P68B1DB1-Normal29"/>
              <w:numPr>
                <w:ilvl w:val="0"/>
                <w:numId w:val="29"/>
              </w:numPr>
              <w:spacing w:after="0" w:line="240" w:lineRule="auto"/>
              <w:contextualSpacing/>
              <w:rPr>
                <w:noProof/>
              </w:rPr>
            </w:pPr>
            <w:r>
              <w:rPr>
                <w:noProof/>
              </w:rPr>
              <w:t>Rénovation du Musée d'histoire naturelle de Crète;</w:t>
            </w:r>
          </w:p>
          <w:p w14:paraId="79F0A2A0" w14:textId="77777777" w:rsidR="00A00259" w:rsidRDefault="00371282">
            <w:pPr>
              <w:pStyle w:val="P68B1DB1-Normal29"/>
              <w:numPr>
                <w:ilvl w:val="0"/>
                <w:numId w:val="29"/>
              </w:numPr>
              <w:spacing w:after="0" w:line="240" w:lineRule="auto"/>
              <w:contextualSpacing/>
              <w:rPr>
                <w:noProof/>
              </w:rPr>
            </w:pPr>
            <w:r>
              <w:rPr>
                <w:noProof/>
              </w:rPr>
              <w:t>Reconnaissance du Musée d'histoire naturelle de Goulandris en tant que Musée national d'histoire naturelle;</w:t>
            </w:r>
          </w:p>
          <w:p w14:paraId="3589EA94" w14:textId="7C10CB7D" w:rsidR="00A00259" w:rsidRDefault="00371282">
            <w:pPr>
              <w:pStyle w:val="P68B1DB1-Normal29"/>
              <w:numPr>
                <w:ilvl w:val="0"/>
                <w:numId w:val="29"/>
              </w:numPr>
              <w:spacing w:after="0" w:line="240" w:lineRule="auto"/>
              <w:contextualSpacing/>
              <w:rPr>
                <w:noProof/>
              </w:rPr>
            </w:pPr>
            <w:r>
              <w:rPr>
                <w:noProof/>
              </w:rPr>
              <w:t>Fourniture d'équipements pour un système de surveillance et de patrouille des aires protégées;</w:t>
            </w:r>
          </w:p>
          <w:p w14:paraId="06F91286" w14:textId="77777777" w:rsidR="00A00259" w:rsidRDefault="00371282">
            <w:pPr>
              <w:pStyle w:val="P68B1DB1-Normal29"/>
              <w:numPr>
                <w:ilvl w:val="0"/>
                <w:numId w:val="29"/>
              </w:numPr>
              <w:spacing w:after="0" w:line="240" w:lineRule="auto"/>
              <w:contextualSpacing/>
              <w:rPr>
                <w:rFonts w:ascii="Aptos" w:hAnsi="Aptos"/>
                <w:noProof/>
              </w:rPr>
            </w:pPr>
            <w:r>
              <w:rPr>
                <w:noProof/>
              </w:rPr>
              <w:t>Numérisation des collections grecques d'histoire naturelle.</w:t>
            </w:r>
          </w:p>
        </w:tc>
      </w:tr>
    </w:tbl>
    <w:p w14:paraId="72EC22D1" w14:textId="77777777" w:rsidR="00A00259" w:rsidRDefault="00A00259">
      <w:pPr>
        <w:spacing w:before="120" w:after="0" w:line="240" w:lineRule="auto"/>
        <w:rPr>
          <w:rFonts w:ascii="Times New Roman" w:hAnsi="Times New Roman"/>
          <w:noProof/>
          <w:sz w:val="16"/>
          <w:szCs w:val="16"/>
        </w:rPr>
      </w:pPr>
    </w:p>
    <w:p w14:paraId="0B8B86C8" w14:textId="77777777" w:rsidR="00A00259" w:rsidRDefault="00A00259">
      <w:pPr>
        <w:rPr>
          <w:noProof/>
        </w:rPr>
      </w:pPr>
    </w:p>
    <w:p w14:paraId="02BE5DA8" w14:textId="77777777" w:rsidR="00A00259" w:rsidRDefault="00A00259">
      <w:pPr>
        <w:keepNext/>
        <w:keepLines/>
        <w:spacing w:before="240" w:after="0" w:line="240" w:lineRule="auto"/>
        <w:jc w:val="both"/>
        <w:outlineLvl w:val="4"/>
        <w:rPr>
          <w:rFonts w:ascii="Cambria" w:hAnsi="Cambria"/>
          <w:noProof/>
          <w:color w:val="365F91"/>
          <w:sz w:val="24"/>
        </w:rPr>
        <w:sectPr w:rsidR="00A00259">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60"/>
        </w:sectPr>
      </w:pPr>
    </w:p>
    <w:p w14:paraId="5C1BB5F2" w14:textId="77777777" w:rsidR="00A00259" w:rsidRDefault="00371282">
      <w:pPr>
        <w:pStyle w:val="P68B1DB1-Normal9"/>
        <w:keepNext/>
        <w:keepLines/>
        <w:spacing w:before="240" w:after="0" w:line="240" w:lineRule="auto"/>
        <w:jc w:val="both"/>
        <w:outlineLvl w:val="4"/>
        <w:rPr>
          <w:rFonts w:eastAsia="Times New Roman"/>
          <w:noProof/>
        </w:rPr>
      </w:pPr>
      <w:r>
        <w:rPr>
          <w:noProof/>
        </w:rPr>
        <w:t>Groupe 6: Eaux usées &amp; infrastructures hydrauliques, économies d'eau</w:t>
      </w:r>
    </w:p>
    <w:p w14:paraId="2E1FDC6F" w14:textId="77777777" w:rsidR="00A00259" w:rsidRDefault="00371282">
      <w:pPr>
        <w:pStyle w:val="P68B1DB1-Normal5"/>
        <w:spacing w:before="120" w:after="120" w:line="240" w:lineRule="auto"/>
        <w:rPr>
          <w:rFonts w:cs="Times New Roman"/>
          <w:noProof/>
        </w:rPr>
      </w:pPr>
      <w:r>
        <w:rPr>
          <w:noProof/>
        </w:rPr>
        <w:t>Les mesures incluses dans ce groupe sont les suivantes:</w:t>
      </w:r>
    </w:p>
    <w:p w14:paraId="17585ECD" w14:textId="26A1AED0" w:rsidR="00A00259" w:rsidRDefault="00371282">
      <w:pPr>
        <w:spacing w:before="120" w:after="120" w:line="240" w:lineRule="auto"/>
        <w:rPr>
          <w:rFonts w:ascii="Times New Roman" w:hAnsi="Times New Roman"/>
          <w:noProof/>
          <w:sz w:val="24"/>
          <w:szCs w:val="24"/>
        </w:rPr>
      </w:pPr>
      <w:r>
        <w:rPr>
          <w:rFonts w:ascii="Times New Roman" w:hAnsi="Times New Roman"/>
          <w:noProof/>
          <w:sz w:val="24"/>
          <w:szCs w:val="24"/>
        </w:rPr>
        <w:t>●</w:t>
      </w:r>
      <w:r>
        <w:rPr>
          <w:noProof/>
        </w:rPr>
        <w:t xml:space="preserve"> </w:t>
      </w:r>
      <w:r>
        <w:rPr>
          <w:rFonts w:ascii="Times New Roman" w:hAnsi="Times New Roman"/>
          <w:noProof/>
          <w:sz w:val="24"/>
          <w:szCs w:val="24"/>
        </w:rPr>
        <w:t>Infrastructures de gestion des eaux urbaines résiduaires et des boues et achat d'équipement de gestion des déchets municipaux (ID: 16846)</w:t>
      </w:r>
    </w:p>
    <w:p w14:paraId="34399519" w14:textId="49483B10" w:rsidR="00A00259" w:rsidRDefault="00371282">
      <w:pPr>
        <w:spacing w:before="120" w:after="120" w:line="240" w:lineRule="auto"/>
        <w:rPr>
          <w:rFonts w:ascii="Times New Roman" w:hAnsi="Times New Roman" w:cs="Times New Roman"/>
          <w:noProof/>
          <w:sz w:val="24"/>
          <w:szCs w:val="24"/>
        </w:rPr>
      </w:pPr>
      <w:r>
        <w:rPr>
          <w:rFonts w:ascii="Times New Roman" w:hAnsi="Times New Roman"/>
          <w:noProof/>
          <w:sz w:val="24"/>
          <w:szCs w:val="24"/>
        </w:rPr>
        <w:t>●</w:t>
      </w:r>
      <w:r>
        <w:rPr>
          <w:noProof/>
        </w:rPr>
        <w:t xml:space="preserve"> </w:t>
      </w:r>
      <w:r>
        <w:rPr>
          <w:rFonts w:ascii="Times New Roman" w:hAnsi="Times New Roman"/>
          <w:noProof/>
          <w:sz w:val="24"/>
          <w:szCs w:val="24"/>
        </w:rPr>
        <w:t>Projets d'approvisionnement en eau potable et d'économies (ID: 16850)</w:t>
      </w:r>
    </w:p>
    <w:tbl>
      <w:tblPr>
        <w:tblW w:w="15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680"/>
        <w:gridCol w:w="1204"/>
        <w:gridCol w:w="1417"/>
        <w:gridCol w:w="1418"/>
        <w:gridCol w:w="1082"/>
        <w:gridCol w:w="1044"/>
        <w:gridCol w:w="851"/>
        <w:gridCol w:w="992"/>
        <w:gridCol w:w="850"/>
        <w:gridCol w:w="4150"/>
      </w:tblGrid>
      <w:tr w:rsidR="00A00259" w14:paraId="541468BA" w14:textId="77777777" w:rsidTr="00CE3F9A">
        <w:trPr>
          <w:trHeight w:val="939"/>
          <w:tblHeader/>
          <w:jc w:val="center"/>
        </w:trPr>
        <w:tc>
          <w:tcPr>
            <w:tcW w:w="588" w:type="dxa"/>
            <w:vMerge w:val="restart"/>
            <w:shd w:val="clear" w:color="auto" w:fill="BDD7EE"/>
            <w:vAlign w:val="center"/>
            <w:hideMark/>
          </w:tcPr>
          <w:p w14:paraId="2019A385" w14:textId="77777777" w:rsidR="00A00259" w:rsidRDefault="00371282">
            <w:pPr>
              <w:pStyle w:val="P68B1DB1-Normal10"/>
              <w:spacing w:after="0" w:line="240" w:lineRule="auto"/>
              <w:jc w:val="center"/>
              <w:rPr>
                <w:rFonts w:eastAsia="Times New Roman" w:cs="Times New Roman"/>
                <w:bCs/>
                <w:noProof/>
                <w:szCs w:val="18"/>
              </w:rPr>
            </w:pPr>
            <w:r>
              <w:rPr>
                <w:noProof/>
              </w:rPr>
              <w:t>Seq. Non.</w:t>
            </w:r>
          </w:p>
        </w:tc>
        <w:tc>
          <w:tcPr>
            <w:tcW w:w="1680" w:type="dxa"/>
            <w:vMerge w:val="restart"/>
            <w:shd w:val="clear" w:color="auto" w:fill="BDD7EE"/>
            <w:vAlign w:val="center"/>
            <w:hideMark/>
          </w:tcPr>
          <w:p w14:paraId="12A2EB14"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204" w:type="dxa"/>
            <w:vMerge w:val="restart"/>
            <w:shd w:val="clear" w:color="auto" w:fill="BDD7EE"/>
            <w:vAlign w:val="center"/>
            <w:hideMark/>
          </w:tcPr>
          <w:p w14:paraId="0F2115DE"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417" w:type="dxa"/>
            <w:vMerge w:val="restart"/>
            <w:shd w:val="clear" w:color="auto" w:fill="BDD7EE"/>
            <w:vAlign w:val="center"/>
            <w:hideMark/>
          </w:tcPr>
          <w:p w14:paraId="03509096"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418" w:type="dxa"/>
            <w:vMerge w:val="restart"/>
            <w:shd w:val="clear" w:color="auto" w:fill="BDD7EE"/>
            <w:vAlign w:val="center"/>
            <w:hideMark/>
          </w:tcPr>
          <w:p w14:paraId="44C7810A" w14:textId="4A3B8E6B" w:rsidR="00A00259" w:rsidRDefault="00371282">
            <w:pPr>
              <w:pStyle w:val="P68B1DB1-Normal10"/>
              <w:spacing w:after="0" w:line="240" w:lineRule="auto"/>
              <w:jc w:val="center"/>
              <w:rPr>
                <w:rFonts w:eastAsia="Times New Roman" w:cs="Times New Roman"/>
                <w:bCs/>
                <w:noProof/>
                <w:szCs w:val="18"/>
              </w:rPr>
            </w:pPr>
            <w:r>
              <w:rPr>
                <w:noProof/>
              </w:rPr>
              <w:t xml:space="preserve">Indicateurs qualitatifs </w:t>
            </w:r>
            <w:r>
              <w:rPr>
                <w:noProof/>
              </w:rPr>
              <w:br/>
              <w:t xml:space="preserve"> (pour les jalons)</w:t>
            </w:r>
          </w:p>
        </w:tc>
        <w:tc>
          <w:tcPr>
            <w:tcW w:w="2977" w:type="dxa"/>
            <w:gridSpan w:val="3"/>
            <w:shd w:val="clear" w:color="auto" w:fill="BDD7EE"/>
            <w:vAlign w:val="center"/>
            <w:hideMark/>
          </w:tcPr>
          <w:p w14:paraId="34AE3F77" w14:textId="77777777" w:rsidR="00A00259" w:rsidRDefault="00371282">
            <w:pPr>
              <w:pStyle w:val="P68B1DB1-Normal10"/>
              <w:spacing w:after="0" w:line="240" w:lineRule="auto"/>
              <w:jc w:val="center"/>
              <w:rPr>
                <w:rFonts w:eastAsia="Times New Roman" w:cs="Times New Roman"/>
                <w:bCs/>
                <w:noProof/>
                <w:szCs w:val="18"/>
              </w:rPr>
            </w:pPr>
            <w:r>
              <w:rPr>
                <w:noProof/>
              </w:rPr>
              <w:t>Indicateurs quantitatifs (pour les objectifs)</w:t>
            </w:r>
          </w:p>
        </w:tc>
        <w:tc>
          <w:tcPr>
            <w:tcW w:w="1842" w:type="dxa"/>
            <w:gridSpan w:val="2"/>
            <w:shd w:val="clear" w:color="auto" w:fill="BDD7EE"/>
            <w:vAlign w:val="center"/>
            <w:hideMark/>
          </w:tcPr>
          <w:p w14:paraId="1BC5991E"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4150" w:type="dxa"/>
            <w:vMerge w:val="restart"/>
            <w:shd w:val="clear" w:color="auto" w:fill="BDD7EE"/>
            <w:vAlign w:val="center"/>
            <w:hideMark/>
          </w:tcPr>
          <w:p w14:paraId="068FC20F"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461E73A5" w14:textId="77777777" w:rsidTr="00CE3F9A">
        <w:trPr>
          <w:trHeight w:val="609"/>
          <w:tblHeader/>
          <w:jc w:val="center"/>
        </w:trPr>
        <w:tc>
          <w:tcPr>
            <w:tcW w:w="588" w:type="dxa"/>
            <w:vMerge/>
            <w:vAlign w:val="center"/>
            <w:hideMark/>
          </w:tcPr>
          <w:p w14:paraId="2E029903" w14:textId="77777777" w:rsidR="00A00259" w:rsidRDefault="00A00259">
            <w:pPr>
              <w:spacing w:after="0" w:line="240" w:lineRule="auto"/>
              <w:rPr>
                <w:rFonts w:ascii="Times New Roman" w:eastAsia="Times New Roman" w:hAnsi="Times New Roman" w:cs="Times New Roman"/>
                <w:b/>
                <w:bCs/>
                <w:noProof/>
                <w:sz w:val="18"/>
                <w:szCs w:val="18"/>
              </w:rPr>
            </w:pPr>
          </w:p>
        </w:tc>
        <w:tc>
          <w:tcPr>
            <w:tcW w:w="1680" w:type="dxa"/>
            <w:vMerge/>
            <w:vAlign w:val="center"/>
            <w:hideMark/>
          </w:tcPr>
          <w:p w14:paraId="34B4E214" w14:textId="77777777" w:rsidR="00A00259" w:rsidRDefault="00A00259">
            <w:pPr>
              <w:spacing w:after="0" w:line="240" w:lineRule="auto"/>
              <w:rPr>
                <w:rFonts w:ascii="Times New Roman" w:eastAsia="Times New Roman" w:hAnsi="Times New Roman" w:cs="Times New Roman"/>
                <w:b/>
                <w:bCs/>
                <w:noProof/>
                <w:sz w:val="18"/>
                <w:szCs w:val="18"/>
              </w:rPr>
            </w:pPr>
          </w:p>
        </w:tc>
        <w:tc>
          <w:tcPr>
            <w:tcW w:w="1204" w:type="dxa"/>
            <w:vMerge/>
            <w:vAlign w:val="center"/>
            <w:hideMark/>
          </w:tcPr>
          <w:p w14:paraId="1A51F8E0" w14:textId="77777777" w:rsidR="00A00259" w:rsidRDefault="00A00259">
            <w:pPr>
              <w:spacing w:after="0" w:line="240" w:lineRule="auto"/>
              <w:rPr>
                <w:rFonts w:ascii="Times New Roman" w:eastAsia="Times New Roman" w:hAnsi="Times New Roman" w:cs="Times New Roman"/>
                <w:b/>
                <w:bCs/>
                <w:noProof/>
                <w:sz w:val="18"/>
                <w:szCs w:val="18"/>
              </w:rPr>
            </w:pPr>
          </w:p>
        </w:tc>
        <w:tc>
          <w:tcPr>
            <w:tcW w:w="1417" w:type="dxa"/>
            <w:vMerge/>
            <w:vAlign w:val="center"/>
            <w:hideMark/>
          </w:tcPr>
          <w:p w14:paraId="55C57A85" w14:textId="77777777" w:rsidR="00A00259" w:rsidRDefault="00A00259">
            <w:pPr>
              <w:spacing w:after="0" w:line="240" w:lineRule="auto"/>
              <w:rPr>
                <w:rFonts w:ascii="Times New Roman" w:eastAsia="Times New Roman" w:hAnsi="Times New Roman" w:cs="Times New Roman"/>
                <w:b/>
                <w:bCs/>
                <w:noProof/>
                <w:sz w:val="18"/>
                <w:szCs w:val="18"/>
              </w:rPr>
            </w:pPr>
          </w:p>
        </w:tc>
        <w:tc>
          <w:tcPr>
            <w:tcW w:w="1418" w:type="dxa"/>
            <w:vMerge/>
            <w:vAlign w:val="center"/>
            <w:hideMark/>
          </w:tcPr>
          <w:p w14:paraId="13FA35A8" w14:textId="77777777" w:rsidR="00A00259" w:rsidRDefault="00A00259">
            <w:pPr>
              <w:spacing w:after="0" w:line="240" w:lineRule="auto"/>
              <w:rPr>
                <w:rFonts w:ascii="Times New Roman" w:eastAsia="Times New Roman" w:hAnsi="Times New Roman" w:cs="Times New Roman"/>
                <w:b/>
                <w:bCs/>
                <w:noProof/>
                <w:sz w:val="18"/>
                <w:szCs w:val="18"/>
              </w:rPr>
            </w:pPr>
          </w:p>
        </w:tc>
        <w:tc>
          <w:tcPr>
            <w:tcW w:w="1082" w:type="dxa"/>
            <w:shd w:val="clear" w:color="auto" w:fill="BDD7EE"/>
            <w:vAlign w:val="center"/>
            <w:hideMark/>
          </w:tcPr>
          <w:p w14:paraId="00E932BF"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1044" w:type="dxa"/>
            <w:shd w:val="clear" w:color="auto" w:fill="BDD7EE"/>
            <w:vAlign w:val="center"/>
            <w:hideMark/>
          </w:tcPr>
          <w:p w14:paraId="0D4C6C28"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851" w:type="dxa"/>
            <w:shd w:val="clear" w:color="auto" w:fill="BDD7EE"/>
            <w:vAlign w:val="center"/>
            <w:hideMark/>
          </w:tcPr>
          <w:p w14:paraId="47DDF8CC"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992" w:type="dxa"/>
            <w:shd w:val="clear" w:color="auto" w:fill="BDD7EE"/>
            <w:vAlign w:val="center"/>
            <w:hideMark/>
          </w:tcPr>
          <w:p w14:paraId="299E8D47"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850" w:type="dxa"/>
            <w:shd w:val="clear" w:color="auto" w:fill="BDD7EE"/>
            <w:vAlign w:val="center"/>
            <w:hideMark/>
          </w:tcPr>
          <w:p w14:paraId="429EB2D0"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4150" w:type="dxa"/>
            <w:vMerge/>
            <w:vAlign w:val="center"/>
            <w:hideMark/>
          </w:tcPr>
          <w:p w14:paraId="5D3E9D1E"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68F361D5" w14:textId="77777777" w:rsidTr="00CE3F9A">
        <w:trPr>
          <w:trHeight w:val="313"/>
          <w:jc w:val="center"/>
        </w:trPr>
        <w:tc>
          <w:tcPr>
            <w:tcW w:w="588" w:type="dxa"/>
            <w:shd w:val="clear" w:color="auto" w:fill="C6EFCE"/>
            <w:noWrap/>
          </w:tcPr>
          <w:p w14:paraId="1947626D" w14:textId="77777777" w:rsidR="00A00259" w:rsidRDefault="00371282">
            <w:pPr>
              <w:pStyle w:val="P68B1DB1-Normal12"/>
              <w:spacing w:after="0" w:line="240" w:lineRule="auto"/>
              <w:rPr>
                <w:rFonts w:eastAsia="Times New Roman"/>
                <w:noProof/>
              </w:rPr>
            </w:pPr>
            <w:r>
              <w:rPr>
                <w:noProof/>
              </w:rPr>
              <w:t>66</w:t>
            </w:r>
          </w:p>
        </w:tc>
        <w:tc>
          <w:tcPr>
            <w:tcW w:w="1680" w:type="dxa"/>
            <w:shd w:val="clear" w:color="auto" w:fill="C6EFCE"/>
            <w:noWrap/>
          </w:tcPr>
          <w:p w14:paraId="6297AF23" w14:textId="77777777" w:rsidR="00A00259" w:rsidRDefault="00371282">
            <w:pPr>
              <w:pStyle w:val="P68B1DB1-Normal12"/>
              <w:spacing w:after="0" w:line="240" w:lineRule="auto"/>
              <w:rPr>
                <w:rFonts w:eastAsia="Times New Roman"/>
                <w:noProof/>
              </w:rPr>
            </w:pPr>
            <w:r>
              <w:rPr>
                <w:noProof/>
              </w:rPr>
              <w:t>4 - 1.4. Utilisation durable des ressources, résilience au changement climatique et protection de l'environnement - 16850_Drinking Water Supply and Saving Infrastructures</w:t>
            </w:r>
          </w:p>
        </w:tc>
        <w:tc>
          <w:tcPr>
            <w:tcW w:w="1204" w:type="dxa"/>
            <w:shd w:val="clear" w:color="auto" w:fill="C6EFCE"/>
            <w:noWrap/>
          </w:tcPr>
          <w:p w14:paraId="7026ACC0" w14:textId="77777777" w:rsidR="00A00259" w:rsidRDefault="00371282">
            <w:pPr>
              <w:pStyle w:val="P68B1DB1-Normal12"/>
              <w:spacing w:after="0" w:line="240" w:lineRule="auto"/>
              <w:rPr>
                <w:rFonts w:eastAsia="Times New Roman"/>
                <w:noProof/>
              </w:rPr>
            </w:pPr>
            <w:r>
              <w:rPr>
                <w:noProof/>
              </w:rPr>
              <w:t>Étape</w:t>
            </w:r>
          </w:p>
        </w:tc>
        <w:tc>
          <w:tcPr>
            <w:tcW w:w="1417" w:type="dxa"/>
            <w:shd w:val="clear" w:color="auto" w:fill="C6EFCE"/>
            <w:noWrap/>
          </w:tcPr>
          <w:p w14:paraId="16BE3631" w14:textId="77777777" w:rsidR="00A00259" w:rsidRDefault="00371282">
            <w:pPr>
              <w:pStyle w:val="P68B1DB1-Normal12"/>
              <w:spacing w:after="0" w:line="240" w:lineRule="auto"/>
              <w:rPr>
                <w:rFonts w:eastAsia="Times New Roman"/>
                <w:noProof/>
              </w:rPr>
            </w:pPr>
            <w:r>
              <w:rPr>
                <w:noProof/>
              </w:rPr>
              <w:t>Approbation des demandes d'infrastructures hydrauliques</w:t>
            </w:r>
          </w:p>
        </w:tc>
        <w:tc>
          <w:tcPr>
            <w:tcW w:w="1418" w:type="dxa"/>
            <w:shd w:val="clear" w:color="auto" w:fill="C6EFCE"/>
            <w:noWrap/>
          </w:tcPr>
          <w:p w14:paraId="1A31B3C5" w14:textId="77777777" w:rsidR="00A00259" w:rsidRDefault="00371282">
            <w:pPr>
              <w:pStyle w:val="P68B1DB1-Normal12"/>
              <w:spacing w:after="0" w:line="240" w:lineRule="auto"/>
              <w:rPr>
                <w:rFonts w:eastAsia="Times New Roman"/>
                <w:noProof/>
              </w:rPr>
            </w:pPr>
            <w:r>
              <w:rPr>
                <w:noProof/>
              </w:rPr>
              <w:t>Demandes approuvées par le ministère de l'Environnement et de l'Énergie</w:t>
            </w:r>
          </w:p>
        </w:tc>
        <w:tc>
          <w:tcPr>
            <w:tcW w:w="1082" w:type="dxa"/>
            <w:shd w:val="clear" w:color="auto" w:fill="C6EFCE"/>
            <w:noWrap/>
          </w:tcPr>
          <w:p w14:paraId="7FCA485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44" w:type="dxa"/>
            <w:shd w:val="clear" w:color="auto" w:fill="C6EFCE"/>
            <w:noWrap/>
          </w:tcPr>
          <w:p w14:paraId="0E46C95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4CA5DE7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253BA32" w14:textId="77777777" w:rsidR="00A00259" w:rsidRDefault="00371282">
            <w:pPr>
              <w:pStyle w:val="P68B1DB1-Normal12"/>
              <w:spacing w:after="0" w:line="240" w:lineRule="auto"/>
              <w:rPr>
                <w:rFonts w:eastAsia="Times New Roman"/>
                <w:noProof/>
              </w:rPr>
            </w:pPr>
            <w:r>
              <w:rPr>
                <w:noProof/>
              </w:rPr>
              <w:t>T2</w:t>
            </w:r>
          </w:p>
        </w:tc>
        <w:tc>
          <w:tcPr>
            <w:tcW w:w="850" w:type="dxa"/>
            <w:shd w:val="clear" w:color="auto" w:fill="C6EFCE"/>
            <w:noWrap/>
          </w:tcPr>
          <w:p w14:paraId="311AD087" w14:textId="77777777" w:rsidR="00A00259" w:rsidRDefault="00371282">
            <w:pPr>
              <w:pStyle w:val="P68B1DB1-Normal12"/>
              <w:spacing w:after="0" w:line="240" w:lineRule="auto"/>
              <w:rPr>
                <w:rFonts w:eastAsia="Times New Roman"/>
                <w:noProof/>
              </w:rPr>
            </w:pPr>
            <w:r>
              <w:rPr>
                <w:noProof/>
              </w:rPr>
              <w:t>2023</w:t>
            </w:r>
          </w:p>
        </w:tc>
        <w:tc>
          <w:tcPr>
            <w:tcW w:w="4150" w:type="dxa"/>
            <w:shd w:val="clear" w:color="auto" w:fill="C6EFCE"/>
            <w:noWrap/>
          </w:tcPr>
          <w:p w14:paraId="6CBEA601" w14:textId="77777777" w:rsidR="00A00259" w:rsidRDefault="00371282">
            <w:pPr>
              <w:pStyle w:val="P68B1DB1-Normal12"/>
              <w:spacing w:after="0" w:line="240" w:lineRule="auto"/>
              <w:rPr>
                <w:rFonts w:eastAsiaTheme="minorEastAsia"/>
                <w:noProof/>
              </w:rPr>
            </w:pPr>
            <w:r>
              <w:rPr>
                <w:noProof/>
              </w:rPr>
              <w:t>Délivrance d'un appel d'intérêt pour les projets d'infrastructure de l'eau, afin d'inclure les exigences suivantes: i) pour les systèmes nouvellement construits, avoir un indice de fuite des infrastructures (ILI) inférieur ou égal à 1,5; ii) pour les activités de rénovation, réduire la fuite de plus de 20 % ou diminuer la consommation d’énergie moyenne de plus de 20 %; et iii) pour les installations de dessalement à raccorder à des sources d’énergie renouvelables et avoir une consommation d’énergie moyenne inférieure ou égale à 0,5 kWh.</w:t>
            </w:r>
          </w:p>
        </w:tc>
      </w:tr>
      <w:tr w:rsidR="00A00259" w14:paraId="742C805B" w14:textId="77777777" w:rsidTr="00CE3F9A">
        <w:trPr>
          <w:trHeight w:val="2420"/>
          <w:jc w:val="center"/>
        </w:trPr>
        <w:tc>
          <w:tcPr>
            <w:tcW w:w="588" w:type="dxa"/>
            <w:tcBorders>
              <w:top w:val="single" w:sz="4" w:space="0" w:color="auto"/>
              <w:left w:val="single" w:sz="4" w:space="0" w:color="auto"/>
              <w:bottom w:val="single" w:sz="4" w:space="0" w:color="auto"/>
              <w:right w:val="single" w:sz="4" w:space="0" w:color="auto"/>
            </w:tcBorders>
            <w:shd w:val="clear" w:color="auto" w:fill="C6EFCE"/>
            <w:noWrap/>
          </w:tcPr>
          <w:p w14:paraId="5BFD10C1" w14:textId="77777777" w:rsidR="00A00259" w:rsidRDefault="00371282">
            <w:pPr>
              <w:pStyle w:val="P68B1DB1-Normal12"/>
              <w:spacing w:after="0" w:line="240" w:lineRule="auto"/>
              <w:rPr>
                <w:rFonts w:eastAsia="Times New Roman"/>
                <w:noProof/>
              </w:rPr>
            </w:pPr>
            <w:r>
              <w:rPr>
                <w:noProof/>
              </w:rPr>
              <w:t>68</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167896EE" w14:textId="70320DAD" w:rsidR="00A00259" w:rsidRDefault="00371282">
            <w:pPr>
              <w:pStyle w:val="P68B1DB1-Normal12"/>
              <w:spacing w:after="0" w:line="240" w:lineRule="auto"/>
              <w:rPr>
                <w:rFonts w:eastAsia="Times New Roman"/>
                <w:noProof/>
              </w:rPr>
            </w:pPr>
            <w:r>
              <w:rPr>
                <w:noProof/>
              </w:rPr>
              <w:t>4 - 1.4. Utilisation durable des ressources, résilience au changement climatique et protection de l'environnement - 16846_ Infrastructures de gestion des eaux urbaines résiduaires et des boues provenant du traitement des eaux usées</w:t>
            </w:r>
          </w:p>
        </w:tc>
        <w:tc>
          <w:tcPr>
            <w:tcW w:w="1204" w:type="dxa"/>
            <w:tcBorders>
              <w:top w:val="single" w:sz="4" w:space="0" w:color="auto"/>
              <w:left w:val="single" w:sz="4" w:space="0" w:color="auto"/>
              <w:bottom w:val="single" w:sz="4" w:space="0" w:color="auto"/>
              <w:right w:val="single" w:sz="4" w:space="0" w:color="auto"/>
            </w:tcBorders>
            <w:shd w:val="clear" w:color="auto" w:fill="C6EFCE"/>
            <w:noWrap/>
          </w:tcPr>
          <w:p w14:paraId="2B42E1A2" w14:textId="77777777" w:rsidR="00A00259" w:rsidRDefault="00371282">
            <w:pPr>
              <w:pStyle w:val="P68B1DB1-Normal12"/>
              <w:spacing w:after="0" w:line="240" w:lineRule="auto"/>
              <w:rPr>
                <w:rFonts w:eastAsia="Times New Roman"/>
                <w:noProof/>
              </w:rPr>
            </w:pPr>
            <w:r>
              <w:rPr>
                <w:noProof/>
              </w:rPr>
              <w:t>Étape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3FD6CE08" w14:textId="77777777" w:rsidR="00A00259" w:rsidRDefault="00371282">
            <w:pPr>
              <w:pStyle w:val="P68B1DB1-Normal12"/>
              <w:spacing w:after="0" w:line="240" w:lineRule="auto"/>
              <w:rPr>
                <w:rFonts w:eastAsia="Times New Roman"/>
                <w:noProof/>
              </w:rPr>
            </w:pPr>
            <w:r>
              <w:rPr>
                <w:noProof/>
              </w:rPr>
              <w:t>Notification de l’attribution d’un marché pour des projets relatifs aux eaux usées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2EAADC01" w14:textId="77777777" w:rsidR="00A00259" w:rsidRDefault="00371282">
            <w:pPr>
              <w:pStyle w:val="P68B1DB1-Normal12"/>
              <w:spacing w:after="0" w:line="240" w:lineRule="auto"/>
              <w:rPr>
                <w:rFonts w:eastAsia="Times New Roman"/>
                <w:noProof/>
              </w:rPr>
            </w:pPr>
            <w:r>
              <w:rPr>
                <w:noProof/>
              </w:rPr>
              <w:t>Notification de l'attribution de tous les marchés</w:t>
            </w: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6BC6D6B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44" w:type="dxa"/>
            <w:tcBorders>
              <w:top w:val="single" w:sz="4" w:space="0" w:color="auto"/>
              <w:left w:val="single" w:sz="4" w:space="0" w:color="auto"/>
              <w:bottom w:val="single" w:sz="4" w:space="0" w:color="auto"/>
              <w:right w:val="single" w:sz="4" w:space="0" w:color="auto"/>
            </w:tcBorders>
            <w:shd w:val="clear" w:color="auto" w:fill="C6EFCE"/>
            <w:noWrap/>
          </w:tcPr>
          <w:p w14:paraId="46275DA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F41AF2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5E96E4B" w14:textId="77777777" w:rsidR="00A00259" w:rsidRDefault="00371282">
            <w:pPr>
              <w:pStyle w:val="P68B1DB1-Normal12"/>
              <w:spacing w:after="0" w:line="240" w:lineRule="auto"/>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739084B" w14:textId="77777777" w:rsidR="00A00259" w:rsidRDefault="00371282">
            <w:pPr>
              <w:pStyle w:val="P68B1DB1-Normal12"/>
              <w:spacing w:after="0" w:line="240" w:lineRule="auto"/>
              <w:rPr>
                <w:rFonts w:eastAsia="Times New Roman"/>
                <w:noProof/>
              </w:rPr>
            </w:pPr>
            <w:r>
              <w:rPr>
                <w:noProof/>
              </w:rPr>
              <w:t>2023</w:t>
            </w:r>
          </w:p>
        </w:tc>
        <w:tc>
          <w:tcPr>
            <w:tcW w:w="4150" w:type="dxa"/>
            <w:tcBorders>
              <w:top w:val="single" w:sz="4" w:space="0" w:color="auto"/>
              <w:left w:val="single" w:sz="4" w:space="0" w:color="auto"/>
              <w:bottom w:val="single" w:sz="4" w:space="0" w:color="auto"/>
              <w:right w:val="single" w:sz="4" w:space="0" w:color="auto"/>
            </w:tcBorders>
            <w:shd w:val="clear" w:color="auto" w:fill="C6EFCE"/>
            <w:noWrap/>
          </w:tcPr>
          <w:p w14:paraId="51FFDEF1" w14:textId="77777777" w:rsidR="00A00259" w:rsidRDefault="00371282">
            <w:pPr>
              <w:pStyle w:val="P68B1DB1-Normal12"/>
              <w:spacing w:after="0" w:line="240" w:lineRule="auto"/>
              <w:rPr>
                <w:rFonts w:eastAsia="Times New Roman"/>
                <w:noProof/>
              </w:rPr>
            </w:pPr>
            <w:r>
              <w:rPr>
                <w:noProof/>
              </w:rPr>
              <w:t>Notification de l’attribution du marché pour les projets de gestion des eaux usées et des boues:</w:t>
            </w:r>
          </w:p>
          <w:p w14:paraId="60189825" w14:textId="77777777" w:rsidR="00A00259" w:rsidRDefault="00371282">
            <w:pPr>
              <w:pStyle w:val="P68B1DB1-Normal12"/>
              <w:spacing w:after="0" w:line="240" w:lineRule="auto"/>
              <w:rPr>
                <w:rFonts w:eastAsia="Times New Roman"/>
                <w:noProof/>
              </w:rPr>
            </w:pPr>
            <w:r>
              <w:rPr>
                <w:noProof/>
              </w:rPr>
              <w:t>1. Infrastructure de réseau d'égouts et stations d'épuration des eaux usées (WWTP).</w:t>
            </w:r>
          </w:p>
          <w:p w14:paraId="2A91A00E" w14:textId="77777777" w:rsidR="00A00259" w:rsidRDefault="00371282">
            <w:pPr>
              <w:pStyle w:val="P68B1DB1-Normal12"/>
              <w:spacing w:after="0" w:line="240" w:lineRule="auto"/>
              <w:rPr>
                <w:rFonts w:eastAsia="Times New Roman"/>
                <w:noProof/>
              </w:rPr>
            </w:pPr>
            <w:r>
              <w:rPr>
                <w:noProof/>
              </w:rPr>
              <w:t>2. Modernisation, agrandissement et modernisation des stations d'épuration des eaux usées et réutilisation des eaux traitées.</w:t>
            </w:r>
          </w:p>
          <w:p w14:paraId="2FB6000B" w14:textId="77777777" w:rsidR="00A00259" w:rsidRDefault="00371282">
            <w:pPr>
              <w:pStyle w:val="P68B1DB1-Normal12"/>
              <w:spacing w:after="0" w:line="240" w:lineRule="auto"/>
              <w:rPr>
                <w:rFonts w:eastAsiaTheme="minorEastAsia"/>
                <w:noProof/>
              </w:rPr>
            </w:pPr>
            <w:r>
              <w:rPr>
                <w:noProof/>
              </w:rPr>
              <w:t>3. Mise en place d'une infrastructure de gestion des boues provenant des stations d'épuration des eaux usées.</w:t>
            </w:r>
          </w:p>
        </w:tc>
      </w:tr>
      <w:tr w:rsidR="00A00259" w14:paraId="30255581" w14:textId="77777777" w:rsidTr="00CE3F9A">
        <w:trPr>
          <w:trHeight w:val="615"/>
          <w:jc w:val="center"/>
        </w:trPr>
        <w:tc>
          <w:tcPr>
            <w:tcW w:w="588" w:type="dxa"/>
            <w:shd w:val="clear" w:color="auto" w:fill="C6EFCE"/>
            <w:noWrap/>
          </w:tcPr>
          <w:p w14:paraId="6A452582" w14:textId="77777777" w:rsidR="00A00259" w:rsidRDefault="00371282">
            <w:pPr>
              <w:pStyle w:val="P68B1DB1-Normal12"/>
              <w:spacing w:after="0" w:line="240" w:lineRule="auto"/>
              <w:rPr>
                <w:rFonts w:eastAsia="Times New Roman"/>
                <w:noProof/>
              </w:rPr>
            </w:pPr>
            <w:r>
              <w:rPr>
                <w:noProof/>
              </w:rPr>
              <w:t>73</w:t>
            </w:r>
          </w:p>
        </w:tc>
        <w:tc>
          <w:tcPr>
            <w:tcW w:w="1680" w:type="dxa"/>
            <w:shd w:val="clear" w:color="auto" w:fill="C6EFCE"/>
            <w:noWrap/>
          </w:tcPr>
          <w:p w14:paraId="79BCCF34" w14:textId="014718C7" w:rsidR="00A00259" w:rsidRDefault="00371282">
            <w:pPr>
              <w:pStyle w:val="P68B1DB1-Normal12"/>
              <w:spacing w:after="0" w:line="240" w:lineRule="auto"/>
              <w:rPr>
                <w:noProof/>
              </w:rPr>
            </w:pPr>
            <w:r>
              <w:rPr>
                <w:noProof/>
              </w:rPr>
              <w:t>4 - 1.4. Utilisation durable des ressources, résilience au changement climatique et protection de l'environnement - 16846_ Infrastructures de gestion des eaux urbaines résiduaires et des boues et achat d'équipements municipaux de gestion des déchets</w:t>
            </w:r>
          </w:p>
        </w:tc>
        <w:tc>
          <w:tcPr>
            <w:tcW w:w="1204" w:type="dxa"/>
            <w:shd w:val="clear" w:color="auto" w:fill="C6EFCE"/>
            <w:noWrap/>
          </w:tcPr>
          <w:p w14:paraId="5B65FC12" w14:textId="77777777" w:rsidR="00A00259" w:rsidRDefault="00371282">
            <w:pPr>
              <w:pStyle w:val="P68B1DB1-Normal12"/>
              <w:spacing w:after="0" w:line="240" w:lineRule="auto"/>
              <w:rPr>
                <w:rFonts w:eastAsia="Times New Roman"/>
                <w:noProof/>
              </w:rPr>
            </w:pPr>
            <w:r>
              <w:rPr>
                <w:noProof/>
              </w:rPr>
              <w:t>Étape</w:t>
            </w:r>
          </w:p>
        </w:tc>
        <w:tc>
          <w:tcPr>
            <w:tcW w:w="1417" w:type="dxa"/>
            <w:shd w:val="clear" w:color="auto" w:fill="C6EFCE"/>
            <w:noWrap/>
          </w:tcPr>
          <w:p w14:paraId="728413E1" w14:textId="77777777" w:rsidR="00A00259" w:rsidRDefault="00371282">
            <w:pPr>
              <w:pStyle w:val="P68B1DB1-Normal12"/>
              <w:spacing w:after="0" w:line="240" w:lineRule="auto"/>
              <w:rPr>
                <w:rFonts w:eastAsia="Times New Roman"/>
                <w:noProof/>
              </w:rPr>
            </w:pPr>
            <w:r>
              <w:rPr>
                <w:noProof/>
              </w:rPr>
              <w:t>Construction d'infrastructures de gestion des eaux urbaines résiduaires et des boues</w:t>
            </w:r>
          </w:p>
        </w:tc>
        <w:tc>
          <w:tcPr>
            <w:tcW w:w="1418" w:type="dxa"/>
            <w:shd w:val="clear" w:color="auto" w:fill="C6EFCE"/>
            <w:noWrap/>
          </w:tcPr>
          <w:p w14:paraId="4FFB9AAB" w14:textId="6C7E2CEC" w:rsidR="00A00259" w:rsidRDefault="00371282">
            <w:pPr>
              <w:pStyle w:val="P68B1DB1-Normal12"/>
              <w:spacing w:after="0" w:line="240" w:lineRule="auto"/>
              <w:rPr>
                <w:noProof/>
              </w:rPr>
            </w:pPr>
            <w:r>
              <w:rPr>
                <w:noProof/>
              </w:rPr>
              <w:t>70 projets construits</w:t>
            </w:r>
          </w:p>
        </w:tc>
        <w:tc>
          <w:tcPr>
            <w:tcW w:w="1082" w:type="dxa"/>
            <w:shd w:val="clear" w:color="auto" w:fill="C6EFCE"/>
            <w:noWrap/>
          </w:tcPr>
          <w:p w14:paraId="02697CC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44" w:type="dxa"/>
            <w:shd w:val="clear" w:color="auto" w:fill="C6EFCE"/>
            <w:noWrap/>
          </w:tcPr>
          <w:p w14:paraId="23E3711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6775968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251CCBD4" w14:textId="77777777" w:rsidR="00A00259" w:rsidRDefault="00371282">
            <w:pPr>
              <w:pStyle w:val="P68B1DB1-Normal12"/>
              <w:spacing w:after="0" w:line="240" w:lineRule="auto"/>
              <w:rPr>
                <w:rFonts w:eastAsia="Times New Roman"/>
                <w:noProof/>
              </w:rPr>
            </w:pPr>
            <w:r>
              <w:rPr>
                <w:noProof/>
              </w:rPr>
              <w:t>T4</w:t>
            </w:r>
          </w:p>
        </w:tc>
        <w:tc>
          <w:tcPr>
            <w:tcW w:w="850" w:type="dxa"/>
            <w:shd w:val="clear" w:color="auto" w:fill="C6EFCE"/>
            <w:noWrap/>
          </w:tcPr>
          <w:p w14:paraId="5CC4577C" w14:textId="77777777" w:rsidR="00A00259" w:rsidRDefault="00371282">
            <w:pPr>
              <w:pStyle w:val="P68B1DB1-Normal12"/>
              <w:spacing w:after="0" w:line="240" w:lineRule="auto"/>
              <w:rPr>
                <w:rFonts w:eastAsia="Times New Roman"/>
                <w:noProof/>
              </w:rPr>
            </w:pPr>
            <w:r>
              <w:rPr>
                <w:noProof/>
              </w:rPr>
              <w:t>2025</w:t>
            </w:r>
          </w:p>
        </w:tc>
        <w:tc>
          <w:tcPr>
            <w:tcW w:w="4150" w:type="dxa"/>
            <w:shd w:val="clear" w:color="auto" w:fill="C6EFCE"/>
            <w:noWrap/>
          </w:tcPr>
          <w:p w14:paraId="735D1738" w14:textId="0D0855D6" w:rsidR="00A00259" w:rsidRDefault="00371282">
            <w:pPr>
              <w:pStyle w:val="P68B1DB1-Normal27"/>
              <w:spacing w:after="0" w:line="240" w:lineRule="auto"/>
              <w:rPr>
                <w:noProof/>
              </w:rPr>
            </w:pPr>
            <w:r>
              <w:rPr>
                <w:noProof/>
              </w:rPr>
              <w:t>Certificats d'achèvement confirmant la construction de 70 projets des types suivants:</w:t>
            </w:r>
          </w:p>
          <w:p w14:paraId="5550C41E" w14:textId="77777777" w:rsidR="00A00259" w:rsidRDefault="00371282">
            <w:pPr>
              <w:pStyle w:val="P68B1DB1-ListParagraph31"/>
              <w:numPr>
                <w:ilvl w:val="0"/>
                <w:numId w:val="30"/>
              </w:numPr>
              <w:spacing w:after="0" w:line="240" w:lineRule="auto"/>
              <w:rPr>
                <w:noProof/>
              </w:rPr>
            </w:pPr>
            <w:r>
              <w:rPr>
                <w:noProof/>
              </w:rPr>
              <w:t>les infrastructures de réseaux d’égouts, les conduites de raccordement des eaux usées et les stations d’épuration des eaux usées;</w:t>
            </w:r>
          </w:p>
          <w:p w14:paraId="168087A5" w14:textId="77777777" w:rsidR="00A00259" w:rsidRDefault="00371282">
            <w:pPr>
              <w:pStyle w:val="P68B1DB1-ListParagraph31"/>
              <w:numPr>
                <w:ilvl w:val="0"/>
                <w:numId w:val="31"/>
              </w:numPr>
              <w:spacing w:after="0" w:line="240" w:lineRule="auto"/>
              <w:jc w:val="both"/>
              <w:rPr>
                <w:noProof/>
              </w:rPr>
            </w:pPr>
            <w:r>
              <w:rPr>
                <w:noProof/>
              </w:rPr>
              <w:t xml:space="preserve">l’amélioration, l’extension et la modernisation des stations d’épuration des eaux usées et la réutilisation des eaux traitées; et </w:t>
            </w:r>
          </w:p>
          <w:p w14:paraId="5BE08920" w14:textId="7385305C" w:rsidR="00A00259" w:rsidRDefault="00371282">
            <w:pPr>
              <w:pStyle w:val="P68B1DB1-ListParagraph31"/>
              <w:numPr>
                <w:ilvl w:val="0"/>
                <w:numId w:val="32"/>
              </w:numPr>
              <w:spacing w:after="0" w:line="240" w:lineRule="auto"/>
              <w:jc w:val="both"/>
              <w:rPr>
                <w:noProof/>
              </w:rPr>
            </w:pPr>
            <w:r>
              <w:rPr>
                <w:noProof/>
              </w:rPr>
              <w:t xml:space="preserve">infrastructures de gestion des boues provenant des stations d’épuration des eaux usées. </w:t>
            </w:r>
          </w:p>
          <w:p w14:paraId="4FF975B4" w14:textId="77777777" w:rsidR="00A00259" w:rsidRDefault="00A00259">
            <w:pPr>
              <w:spacing w:after="0" w:line="240" w:lineRule="auto"/>
              <w:rPr>
                <w:rFonts w:ascii="Times New Roman" w:eastAsiaTheme="minorEastAsia" w:hAnsi="Times New Roman" w:cs="Times New Roman"/>
                <w:noProof/>
                <w:color w:val="006100"/>
                <w:sz w:val="18"/>
                <w:szCs w:val="18"/>
              </w:rPr>
            </w:pPr>
          </w:p>
        </w:tc>
      </w:tr>
      <w:tr w:rsidR="00A00259" w14:paraId="25DF7331" w14:textId="77777777" w:rsidTr="00CE3F9A">
        <w:trPr>
          <w:trHeight w:val="313"/>
          <w:jc w:val="center"/>
        </w:trPr>
        <w:tc>
          <w:tcPr>
            <w:tcW w:w="588" w:type="dxa"/>
            <w:shd w:val="clear" w:color="auto" w:fill="C6EFCE"/>
            <w:noWrap/>
          </w:tcPr>
          <w:p w14:paraId="112290AF" w14:textId="44DC2817" w:rsidR="00A00259" w:rsidRDefault="00371282">
            <w:pPr>
              <w:pStyle w:val="P68B1DB1-Normal12"/>
              <w:spacing w:after="0" w:line="240" w:lineRule="auto"/>
              <w:rPr>
                <w:rFonts w:eastAsia="Times New Roman"/>
                <w:noProof/>
              </w:rPr>
            </w:pPr>
            <w:r>
              <w:rPr>
                <w:noProof/>
              </w:rPr>
              <w:t>73 bis</w:t>
            </w:r>
          </w:p>
        </w:tc>
        <w:tc>
          <w:tcPr>
            <w:tcW w:w="1680" w:type="dxa"/>
            <w:shd w:val="clear" w:color="auto" w:fill="C6EFCE"/>
            <w:noWrap/>
          </w:tcPr>
          <w:p w14:paraId="433CC43A" w14:textId="1F8E318F" w:rsidR="00A00259" w:rsidRDefault="00371282">
            <w:pPr>
              <w:pStyle w:val="P68B1DB1-Normal12"/>
              <w:spacing w:after="0" w:line="240" w:lineRule="auto"/>
              <w:rPr>
                <w:rFonts w:eastAsia="Times New Roman"/>
                <w:noProof/>
              </w:rPr>
            </w:pPr>
            <w:r>
              <w:rPr>
                <w:noProof/>
              </w:rPr>
              <w:t>4 - 1.4. Utilisation durable des ressources, résilience au changement climatique et protection de l'environnement - 16846_ Infrastructures de gestion des eaux urbaines résiduaires et des boues et achat d'équipements municipaux de gestion des déchets</w:t>
            </w:r>
          </w:p>
        </w:tc>
        <w:tc>
          <w:tcPr>
            <w:tcW w:w="1204" w:type="dxa"/>
            <w:shd w:val="clear" w:color="auto" w:fill="C6EFCE"/>
            <w:noWrap/>
          </w:tcPr>
          <w:p w14:paraId="0AEABC04" w14:textId="2D1003B1" w:rsidR="00A00259" w:rsidRDefault="00371282">
            <w:pPr>
              <w:pStyle w:val="P68B1DB1-Normal12"/>
              <w:spacing w:after="0" w:line="240" w:lineRule="auto"/>
              <w:rPr>
                <w:rFonts w:eastAsia="Times New Roman"/>
                <w:noProof/>
              </w:rPr>
            </w:pPr>
            <w:r>
              <w:rPr>
                <w:noProof/>
              </w:rPr>
              <w:t>Objectif</w:t>
            </w:r>
          </w:p>
        </w:tc>
        <w:tc>
          <w:tcPr>
            <w:tcW w:w="1417" w:type="dxa"/>
            <w:shd w:val="clear" w:color="auto" w:fill="C6EFCE"/>
            <w:noWrap/>
          </w:tcPr>
          <w:p w14:paraId="34969D52" w14:textId="7A8C1DAD" w:rsidR="00A00259" w:rsidRDefault="00371282">
            <w:pPr>
              <w:pStyle w:val="P68B1DB1-Normal23"/>
              <w:spacing w:line="240" w:lineRule="auto"/>
              <w:rPr>
                <w:noProof/>
              </w:rPr>
            </w:pPr>
            <w:r>
              <w:rPr>
                <w:noProof/>
              </w:rPr>
              <w:t>Achat de 130 véhicules électriques de collecte des déchets</w:t>
            </w:r>
          </w:p>
          <w:p w14:paraId="10DE07EC" w14:textId="3C19585D" w:rsidR="00A00259" w:rsidRDefault="00A00259">
            <w:pPr>
              <w:spacing w:line="240" w:lineRule="auto"/>
              <w:rPr>
                <w:rFonts w:ascii="Times New Roman" w:eastAsia="Times New Roman" w:hAnsi="Times New Roman" w:cs="Times New Roman"/>
                <w:noProof/>
                <w:color w:val="006100"/>
                <w:sz w:val="18"/>
                <w:szCs w:val="18"/>
              </w:rPr>
            </w:pPr>
          </w:p>
        </w:tc>
        <w:tc>
          <w:tcPr>
            <w:tcW w:w="1418" w:type="dxa"/>
            <w:shd w:val="clear" w:color="auto" w:fill="C6EFCE"/>
            <w:noWrap/>
          </w:tcPr>
          <w:p w14:paraId="1D94F0E1" w14:textId="5D9D1409" w:rsidR="00A00259" w:rsidRDefault="00A00259">
            <w:pPr>
              <w:spacing w:line="240" w:lineRule="auto"/>
              <w:rPr>
                <w:rFonts w:ascii="Times New Roman" w:hAnsi="Times New Roman" w:cs="Times New Roman"/>
                <w:noProof/>
                <w:color w:val="006100"/>
                <w:sz w:val="18"/>
                <w:szCs w:val="18"/>
              </w:rPr>
            </w:pPr>
          </w:p>
        </w:tc>
        <w:tc>
          <w:tcPr>
            <w:tcW w:w="1082" w:type="dxa"/>
            <w:shd w:val="clear" w:color="auto" w:fill="C6EFCE"/>
            <w:noWrap/>
          </w:tcPr>
          <w:p w14:paraId="0EDE4345" w14:textId="6C0572D8" w:rsidR="00A00259" w:rsidRDefault="00371282">
            <w:pPr>
              <w:pStyle w:val="P68B1DB1-Normal23"/>
              <w:spacing w:line="240" w:lineRule="auto"/>
              <w:rPr>
                <w:noProof/>
              </w:rPr>
            </w:pPr>
            <w:r>
              <w:rPr>
                <w:noProof/>
              </w:rPr>
              <w:t>Nombre de véhicules achetés</w:t>
            </w:r>
          </w:p>
        </w:tc>
        <w:tc>
          <w:tcPr>
            <w:tcW w:w="1044" w:type="dxa"/>
            <w:shd w:val="clear" w:color="auto" w:fill="C6EFCE"/>
            <w:noWrap/>
          </w:tcPr>
          <w:p w14:paraId="4B6BCB71" w14:textId="7ABF3E26" w:rsidR="00A00259" w:rsidRDefault="00371282">
            <w:pPr>
              <w:pStyle w:val="P68B1DB1-Normal23"/>
              <w:spacing w:line="240" w:lineRule="auto"/>
              <w:rPr>
                <w:noProof/>
              </w:rPr>
            </w:pPr>
            <w:r>
              <w:rPr>
                <w:noProof/>
              </w:rPr>
              <w:t>0</w:t>
            </w:r>
          </w:p>
        </w:tc>
        <w:tc>
          <w:tcPr>
            <w:tcW w:w="851" w:type="dxa"/>
            <w:shd w:val="clear" w:color="auto" w:fill="C6EFCE"/>
            <w:noWrap/>
          </w:tcPr>
          <w:p w14:paraId="7EC0E707" w14:textId="2F3130CA" w:rsidR="00A00259" w:rsidRDefault="00371282">
            <w:pPr>
              <w:pStyle w:val="P68B1DB1-Normal23"/>
              <w:spacing w:line="240" w:lineRule="auto"/>
              <w:rPr>
                <w:noProof/>
              </w:rPr>
            </w:pPr>
            <w:r>
              <w:rPr>
                <w:noProof/>
              </w:rPr>
              <w:t>130</w:t>
            </w:r>
          </w:p>
        </w:tc>
        <w:tc>
          <w:tcPr>
            <w:tcW w:w="992" w:type="dxa"/>
            <w:shd w:val="clear" w:color="auto" w:fill="C6EFCE"/>
            <w:noWrap/>
          </w:tcPr>
          <w:p w14:paraId="4A6A6B6C" w14:textId="2813B99D" w:rsidR="00A00259" w:rsidRDefault="00371282">
            <w:pPr>
              <w:pStyle w:val="P68B1DB1-Normal12"/>
              <w:spacing w:line="240" w:lineRule="auto"/>
              <w:rPr>
                <w:noProof/>
              </w:rPr>
            </w:pPr>
            <w:r>
              <w:rPr>
                <w:noProof/>
              </w:rPr>
              <w:t>T2</w:t>
            </w:r>
          </w:p>
        </w:tc>
        <w:tc>
          <w:tcPr>
            <w:tcW w:w="850" w:type="dxa"/>
            <w:shd w:val="clear" w:color="auto" w:fill="C6EFCE"/>
            <w:noWrap/>
          </w:tcPr>
          <w:p w14:paraId="4A2E74A1" w14:textId="17C47A4E" w:rsidR="00A00259" w:rsidRDefault="00371282">
            <w:pPr>
              <w:pStyle w:val="P68B1DB1-Normal12"/>
              <w:spacing w:line="240" w:lineRule="auto"/>
              <w:rPr>
                <w:noProof/>
              </w:rPr>
            </w:pPr>
            <w:r>
              <w:rPr>
                <w:noProof/>
              </w:rPr>
              <w:t>2026</w:t>
            </w:r>
          </w:p>
        </w:tc>
        <w:tc>
          <w:tcPr>
            <w:tcW w:w="4150" w:type="dxa"/>
            <w:shd w:val="clear" w:color="auto" w:fill="C6EFCE"/>
            <w:noWrap/>
          </w:tcPr>
          <w:p w14:paraId="6F742AE7" w14:textId="450EE86D" w:rsidR="00A00259" w:rsidRDefault="00371282">
            <w:pPr>
              <w:pStyle w:val="P68B1DB1-Normal27"/>
              <w:spacing w:line="240" w:lineRule="auto"/>
              <w:rPr>
                <w:noProof/>
              </w:rPr>
            </w:pPr>
            <w:r>
              <w:rPr>
                <w:noProof/>
              </w:rPr>
              <w:t>Achat de 130 véhicules de collecte des déchets électriques.</w:t>
            </w:r>
          </w:p>
        </w:tc>
      </w:tr>
      <w:tr w:rsidR="00A00259" w14:paraId="0F12D742" w14:textId="77777777" w:rsidTr="00CE3F9A">
        <w:trPr>
          <w:trHeight w:val="313"/>
          <w:jc w:val="center"/>
        </w:trPr>
        <w:tc>
          <w:tcPr>
            <w:tcW w:w="588" w:type="dxa"/>
            <w:shd w:val="clear" w:color="auto" w:fill="C6EFCE"/>
            <w:noWrap/>
          </w:tcPr>
          <w:p w14:paraId="234E0AE9" w14:textId="77777777" w:rsidR="00A00259" w:rsidRDefault="00371282">
            <w:pPr>
              <w:pStyle w:val="P68B1DB1-Normal12"/>
              <w:spacing w:after="0" w:line="240" w:lineRule="auto"/>
              <w:rPr>
                <w:rFonts w:eastAsia="Times New Roman"/>
                <w:noProof/>
              </w:rPr>
            </w:pPr>
            <w:r>
              <w:rPr>
                <w:noProof/>
              </w:rPr>
              <w:t>74</w:t>
            </w:r>
          </w:p>
        </w:tc>
        <w:tc>
          <w:tcPr>
            <w:tcW w:w="1680" w:type="dxa"/>
            <w:shd w:val="clear" w:color="auto" w:fill="C6EFCE"/>
            <w:noWrap/>
          </w:tcPr>
          <w:p w14:paraId="04054658" w14:textId="6C6974F4" w:rsidR="00A00259" w:rsidRDefault="00371282">
            <w:pPr>
              <w:pStyle w:val="P68B1DB1-Normal12"/>
              <w:spacing w:after="0" w:line="240" w:lineRule="auto"/>
              <w:rPr>
                <w:rFonts w:eastAsia="Times New Roman"/>
                <w:noProof/>
              </w:rPr>
            </w:pPr>
            <w:r>
              <w:rPr>
                <w:noProof/>
              </w:rPr>
              <w:t>4 - 1.4. Utilisation durable des ressources, résilience au changement climatique et protection de l'environnement - 16850_Projets d'alimentation en eau potable et d'économies</w:t>
            </w:r>
          </w:p>
        </w:tc>
        <w:tc>
          <w:tcPr>
            <w:tcW w:w="1204" w:type="dxa"/>
            <w:shd w:val="clear" w:color="auto" w:fill="C6EFCE"/>
            <w:noWrap/>
          </w:tcPr>
          <w:p w14:paraId="59684C33" w14:textId="77777777" w:rsidR="00A00259" w:rsidRDefault="00371282">
            <w:pPr>
              <w:pStyle w:val="P68B1DB1-Normal12"/>
              <w:spacing w:after="0" w:line="240" w:lineRule="auto"/>
              <w:rPr>
                <w:rFonts w:eastAsia="Times New Roman"/>
                <w:noProof/>
              </w:rPr>
            </w:pPr>
            <w:r>
              <w:rPr>
                <w:noProof/>
              </w:rPr>
              <w:t>Étape</w:t>
            </w:r>
          </w:p>
        </w:tc>
        <w:tc>
          <w:tcPr>
            <w:tcW w:w="1417" w:type="dxa"/>
            <w:shd w:val="clear" w:color="auto" w:fill="C6EFCE"/>
            <w:noWrap/>
          </w:tcPr>
          <w:p w14:paraId="11401D24" w14:textId="05A2B58B" w:rsidR="00A00259" w:rsidRDefault="00371282">
            <w:pPr>
              <w:pStyle w:val="P68B1DB1-Normal12"/>
              <w:spacing w:after="0" w:line="240" w:lineRule="auto"/>
              <w:rPr>
                <w:noProof/>
              </w:rPr>
            </w:pPr>
            <w:r>
              <w:rPr>
                <w:noProof/>
              </w:rPr>
              <w:t xml:space="preserve">Projets d'approvisionnement en eau et d'économies d'eau </w:t>
            </w:r>
          </w:p>
        </w:tc>
        <w:tc>
          <w:tcPr>
            <w:tcW w:w="1418" w:type="dxa"/>
            <w:shd w:val="clear" w:color="auto" w:fill="C6EFCE"/>
            <w:noWrap/>
          </w:tcPr>
          <w:p w14:paraId="63AAB509" w14:textId="79B87199" w:rsidR="00A00259" w:rsidRDefault="00371282">
            <w:pPr>
              <w:pStyle w:val="P68B1DB1-Normal23"/>
              <w:spacing w:after="0" w:line="240" w:lineRule="auto"/>
              <w:rPr>
                <w:noProof/>
              </w:rPr>
            </w:pPr>
            <w:r>
              <w:rPr>
                <w:noProof/>
              </w:rPr>
              <w:t>Au moins 50 projets réalisés</w:t>
            </w:r>
          </w:p>
        </w:tc>
        <w:tc>
          <w:tcPr>
            <w:tcW w:w="1082" w:type="dxa"/>
            <w:shd w:val="clear" w:color="auto" w:fill="C6EFCE"/>
            <w:noWrap/>
          </w:tcPr>
          <w:p w14:paraId="26EFF4A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44" w:type="dxa"/>
            <w:shd w:val="clear" w:color="auto" w:fill="C6EFCE"/>
            <w:noWrap/>
          </w:tcPr>
          <w:p w14:paraId="5E88C6F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4044C81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29BD1191" w14:textId="77777777" w:rsidR="00A00259" w:rsidRDefault="00371282">
            <w:pPr>
              <w:pStyle w:val="P68B1DB1-Normal12"/>
              <w:spacing w:after="0" w:line="240" w:lineRule="auto"/>
              <w:rPr>
                <w:rFonts w:eastAsia="Times New Roman"/>
                <w:noProof/>
              </w:rPr>
            </w:pPr>
            <w:r>
              <w:rPr>
                <w:noProof/>
              </w:rPr>
              <w:t>T4</w:t>
            </w:r>
          </w:p>
        </w:tc>
        <w:tc>
          <w:tcPr>
            <w:tcW w:w="850" w:type="dxa"/>
            <w:shd w:val="clear" w:color="auto" w:fill="C6EFCE"/>
            <w:noWrap/>
          </w:tcPr>
          <w:p w14:paraId="5557C124" w14:textId="77777777" w:rsidR="00A00259" w:rsidRDefault="00371282">
            <w:pPr>
              <w:pStyle w:val="P68B1DB1-Normal12"/>
              <w:spacing w:after="0" w:line="240" w:lineRule="auto"/>
              <w:rPr>
                <w:rFonts w:eastAsia="Times New Roman"/>
                <w:noProof/>
              </w:rPr>
            </w:pPr>
            <w:r>
              <w:rPr>
                <w:noProof/>
              </w:rPr>
              <w:t>2025</w:t>
            </w:r>
          </w:p>
        </w:tc>
        <w:tc>
          <w:tcPr>
            <w:tcW w:w="4150" w:type="dxa"/>
            <w:shd w:val="clear" w:color="auto" w:fill="C6EFCE"/>
            <w:noWrap/>
          </w:tcPr>
          <w:p w14:paraId="22995746" w14:textId="2120921B" w:rsidR="00A00259" w:rsidRDefault="00371282">
            <w:pPr>
              <w:pStyle w:val="P68B1DB1-Normal12"/>
              <w:spacing w:after="0" w:line="240" w:lineRule="auto"/>
              <w:rPr>
                <w:rFonts w:eastAsia="Times New Roman"/>
                <w:noProof/>
              </w:rPr>
            </w:pPr>
            <w:r>
              <w:rPr>
                <w:noProof/>
              </w:rPr>
              <w:t xml:space="preserve">Certificats d'achèvement ou protocoles d'acceptation confirmant la livraison d'au moins 50 projets d'approvisionnement en eau et d'économie d'eau, y compris: </w:t>
            </w:r>
          </w:p>
          <w:p w14:paraId="1DA79EA0" w14:textId="2E9CEC1A" w:rsidR="00A00259" w:rsidRDefault="00371282">
            <w:pPr>
              <w:pStyle w:val="P68B1DB1-Normal12"/>
              <w:spacing w:after="0" w:line="240" w:lineRule="auto"/>
              <w:rPr>
                <w:noProof/>
              </w:rPr>
            </w:pPr>
            <w:r>
              <w:rPr>
                <w:noProof/>
              </w:rPr>
              <w:t>a) la construction d'infrastructures d'approvisionnement en eau dans au moins sept zones,</w:t>
            </w:r>
          </w:p>
          <w:p w14:paraId="6FB5E00F" w14:textId="7F77AE4C" w:rsidR="00A00259" w:rsidRDefault="00371282">
            <w:pPr>
              <w:pStyle w:val="P68B1DB1-Normal12"/>
              <w:spacing w:after="0" w:line="240" w:lineRule="auto"/>
              <w:rPr>
                <w:rFonts w:eastAsia="Times New Roman"/>
                <w:noProof/>
              </w:rPr>
            </w:pPr>
            <w:r>
              <w:rPr>
                <w:noProof/>
              </w:rPr>
              <w:t>b) installation d’une usine de dessalement</w:t>
            </w:r>
          </w:p>
          <w:p w14:paraId="2F61922A" w14:textId="561E9BC0" w:rsidR="00A00259" w:rsidRDefault="00371282">
            <w:pPr>
              <w:pStyle w:val="P68B1DB1-Normal12"/>
              <w:spacing w:after="0" w:line="240" w:lineRule="auto"/>
              <w:rPr>
                <w:rFonts w:eastAsia="Times New Roman"/>
                <w:noProof/>
              </w:rPr>
            </w:pPr>
            <w:r>
              <w:rPr>
                <w:noProof/>
              </w:rPr>
              <w:t>c) installation de systèmes de télémétrie - systèmes de contrôle à distance pour la détection des fuites dans les réseaux d'approvisionnement en eau et</w:t>
            </w:r>
          </w:p>
          <w:p w14:paraId="73729D8B" w14:textId="058063EF" w:rsidR="00A00259" w:rsidRDefault="00371282">
            <w:pPr>
              <w:pStyle w:val="P68B1DB1-Normal12"/>
              <w:spacing w:after="0" w:line="240" w:lineRule="auto"/>
              <w:rPr>
                <w:rFonts w:eastAsia="Times New Roman"/>
                <w:noProof/>
              </w:rPr>
            </w:pPr>
            <w:r>
              <w:rPr>
                <w:noProof/>
              </w:rPr>
              <w:t xml:space="preserve">d) installation de compteurs d’eau numériques </w:t>
            </w:r>
          </w:p>
        </w:tc>
      </w:tr>
    </w:tbl>
    <w:p w14:paraId="60D8B8E5" w14:textId="77777777" w:rsidR="00A00259" w:rsidRDefault="00A00259">
      <w:pPr>
        <w:spacing w:before="120" w:after="120" w:line="240" w:lineRule="auto"/>
        <w:rPr>
          <w:rFonts w:ascii="Times New Roman" w:hAnsi="Times New Roman" w:cs="Times New Roman"/>
          <w:noProof/>
          <w:sz w:val="24"/>
        </w:rPr>
      </w:pPr>
    </w:p>
    <w:p w14:paraId="4FEBE08C" w14:textId="5C03E255" w:rsidR="00A00259" w:rsidRDefault="00371282">
      <w:pPr>
        <w:pStyle w:val="P68B1DB1-Normal14"/>
        <w:rPr>
          <w:rFonts w:ascii="Cambria" w:eastAsia="Times New Roman" w:hAnsi="Cambria"/>
          <w:noProof/>
          <w:color w:val="365F91"/>
        </w:rPr>
      </w:pPr>
      <w:r>
        <w:rPr>
          <w:rFonts w:ascii="Times New Roman" w:hAnsi="Times New Roman" w:cs="Times New Roman"/>
          <w:noProof/>
        </w:rPr>
        <w:br w:type="page"/>
      </w:r>
      <w:r>
        <w:rPr>
          <w:rFonts w:ascii="Cambria" w:hAnsi="Cambria"/>
          <w:noProof/>
          <w:color w:val="365F91"/>
        </w:rPr>
        <w:t>Groupe 7: Projets de protection civile</w:t>
      </w:r>
    </w:p>
    <w:p w14:paraId="27124961" w14:textId="77777777" w:rsidR="00A00259" w:rsidRDefault="00371282">
      <w:pPr>
        <w:pStyle w:val="P68B1DB1-Normal5"/>
        <w:spacing w:before="120" w:after="120" w:line="240" w:lineRule="auto"/>
        <w:rPr>
          <w:rFonts w:cs="Times New Roman"/>
          <w:noProof/>
        </w:rPr>
      </w:pPr>
      <w:r>
        <w:rPr>
          <w:noProof/>
        </w:rPr>
        <w:t>Les mesures incluses dans ce groupe sont les suivantes:</w:t>
      </w:r>
    </w:p>
    <w:p w14:paraId="0395E502" w14:textId="77777777" w:rsidR="00A00259" w:rsidRDefault="00371282">
      <w:pPr>
        <w:pStyle w:val="P68B1DB1-ListParagraph32"/>
        <w:numPr>
          <w:ilvl w:val="0"/>
          <w:numId w:val="33"/>
        </w:numPr>
        <w:spacing w:before="120" w:after="120" w:line="240" w:lineRule="auto"/>
        <w:rPr>
          <w:rFonts w:cs="Times New Roman"/>
          <w:noProof/>
        </w:rPr>
      </w:pPr>
      <w:r>
        <w:rPr>
          <w:noProof/>
        </w:rPr>
        <w:t>Moyens aériens pour la gestion des crises (ID: 16911)</w:t>
      </w:r>
    </w:p>
    <w:p w14:paraId="287F3E3E" w14:textId="77777777" w:rsidR="00A00259" w:rsidRDefault="00371282">
      <w:pPr>
        <w:pStyle w:val="P68B1DB1-ListParagraph32"/>
        <w:numPr>
          <w:ilvl w:val="0"/>
          <w:numId w:val="33"/>
        </w:numPr>
        <w:spacing w:before="120" w:after="120" w:line="240" w:lineRule="auto"/>
        <w:rPr>
          <w:rFonts w:cs="Times New Roman"/>
          <w:noProof/>
        </w:rPr>
      </w:pPr>
      <w:r>
        <w:rPr>
          <w:noProof/>
        </w:rPr>
        <w:t>Gestion et suivi de la protection civile (ID: 16910)</w:t>
      </w:r>
    </w:p>
    <w:p w14:paraId="34839310" w14:textId="77777777" w:rsidR="00A00259" w:rsidRDefault="00371282">
      <w:pPr>
        <w:pStyle w:val="P68B1DB1-ListParagraph32"/>
        <w:numPr>
          <w:ilvl w:val="0"/>
          <w:numId w:val="33"/>
        </w:numPr>
        <w:spacing w:before="120" w:after="120" w:line="240" w:lineRule="auto"/>
        <w:rPr>
          <w:rFonts w:cs="Times New Roman"/>
          <w:noProof/>
        </w:rPr>
      </w:pPr>
      <w:r>
        <w:rPr>
          <w:noProof/>
        </w:rPr>
        <w:t>Équipement de lutte contre les incendies de forêt, de prévention et d’intervention (ID: 16912)</w:t>
      </w:r>
    </w:p>
    <w:p w14:paraId="36AD8BAE" w14:textId="77777777" w:rsidR="00A00259" w:rsidRDefault="00371282">
      <w:pPr>
        <w:pStyle w:val="P68B1DB1-ListParagraph32"/>
        <w:numPr>
          <w:ilvl w:val="0"/>
          <w:numId w:val="33"/>
        </w:numPr>
        <w:spacing w:before="120" w:after="120" w:line="240" w:lineRule="auto"/>
        <w:rPr>
          <w:rFonts w:cs="Times New Roman"/>
          <w:noProof/>
        </w:rPr>
      </w:pPr>
      <w:r>
        <w:rPr>
          <w:noProof/>
        </w:rPr>
        <w:t>Mise en œuvre de centres régionaux de protection civile (PEKEPP) au moyen de programmes de PPP (ID: 16283)</w:t>
      </w:r>
    </w:p>
    <w:p w14:paraId="3AD454E6" w14:textId="68B5FF3E" w:rsidR="00A00259" w:rsidRDefault="00371282">
      <w:pPr>
        <w:pStyle w:val="P68B1DB1-ListParagraph32"/>
        <w:numPr>
          <w:ilvl w:val="0"/>
          <w:numId w:val="33"/>
        </w:numPr>
        <w:spacing w:before="120" w:after="120" w:line="240" w:lineRule="auto"/>
        <w:rPr>
          <w:noProof/>
        </w:rPr>
      </w:pPr>
      <w:r>
        <w:rPr>
          <w:noProof/>
        </w:rPr>
        <w:t>Inspection primaire de la résistance sismique des bâtiments ou des installations sportives (ID: 16983)</w:t>
      </w:r>
    </w:p>
    <w:tbl>
      <w:tblPr>
        <w:tblStyle w:val="TableGrid"/>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575"/>
        <w:gridCol w:w="1680"/>
        <w:gridCol w:w="1143"/>
        <w:gridCol w:w="1277"/>
        <w:gridCol w:w="1320"/>
        <w:gridCol w:w="1200"/>
        <w:gridCol w:w="960"/>
        <w:gridCol w:w="960"/>
        <w:gridCol w:w="1033"/>
        <w:gridCol w:w="887"/>
        <w:gridCol w:w="4553"/>
      </w:tblGrid>
      <w:tr w:rsidR="00A00259" w14:paraId="5302DFFE" w14:textId="77777777">
        <w:trPr>
          <w:trHeight w:val="612"/>
          <w:tblHeader/>
          <w:jc w:val="center"/>
        </w:trPr>
        <w:tc>
          <w:tcPr>
            <w:tcW w:w="575" w:type="dxa"/>
            <w:vMerge w:val="restart"/>
            <w:shd w:val="clear" w:color="auto" w:fill="BDD7EE"/>
            <w:vAlign w:val="center"/>
            <w:hideMark/>
          </w:tcPr>
          <w:p w14:paraId="7EC9C85A" w14:textId="77777777" w:rsidR="00A00259" w:rsidRDefault="00371282">
            <w:pPr>
              <w:pStyle w:val="P68B1DB1-Normal10"/>
              <w:jc w:val="center"/>
              <w:rPr>
                <w:rFonts w:eastAsia="Times New Roman" w:cs="Times New Roman"/>
                <w:bCs/>
                <w:noProof/>
                <w:szCs w:val="18"/>
              </w:rPr>
            </w:pPr>
            <w:r>
              <w:rPr>
                <w:noProof/>
              </w:rPr>
              <w:t>Seq. Non.</w:t>
            </w:r>
          </w:p>
        </w:tc>
        <w:tc>
          <w:tcPr>
            <w:tcW w:w="1680" w:type="dxa"/>
            <w:vMerge w:val="restart"/>
            <w:shd w:val="clear" w:color="auto" w:fill="BDD7EE"/>
            <w:vAlign w:val="center"/>
            <w:hideMark/>
          </w:tcPr>
          <w:p w14:paraId="1E182BDE" w14:textId="77777777" w:rsidR="00A00259" w:rsidRDefault="00371282">
            <w:pPr>
              <w:pStyle w:val="P68B1DB1-Normal10"/>
              <w:jc w:val="center"/>
              <w:rPr>
                <w:rFonts w:eastAsia="Times New Roman" w:cs="Times New Roman"/>
                <w:bCs/>
                <w:noProof/>
                <w:szCs w:val="18"/>
              </w:rPr>
            </w:pPr>
            <w:r>
              <w:rPr>
                <w:noProof/>
              </w:rPr>
              <w:t>Mesure connexe (réforme ou investissement)</w:t>
            </w:r>
          </w:p>
        </w:tc>
        <w:tc>
          <w:tcPr>
            <w:tcW w:w="1143" w:type="dxa"/>
            <w:vMerge w:val="restart"/>
            <w:shd w:val="clear" w:color="auto" w:fill="BDD7EE"/>
            <w:vAlign w:val="center"/>
            <w:hideMark/>
          </w:tcPr>
          <w:p w14:paraId="2057B134" w14:textId="77777777" w:rsidR="00A00259" w:rsidRDefault="00371282">
            <w:pPr>
              <w:pStyle w:val="P68B1DB1-Normal10"/>
              <w:jc w:val="center"/>
              <w:rPr>
                <w:rFonts w:eastAsia="Times New Roman" w:cs="Times New Roman"/>
                <w:bCs/>
                <w:noProof/>
                <w:szCs w:val="18"/>
              </w:rPr>
            </w:pPr>
            <w:r>
              <w:rPr>
                <w:noProof/>
              </w:rPr>
              <w:t>Étape/cible</w:t>
            </w:r>
          </w:p>
        </w:tc>
        <w:tc>
          <w:tcPr>
            <w:tcW w:w="1277" w:type="dxa"/>
            <w:vMerge w:val="restart"/>
            <w:shd w:val="clear" w:color="auto" w:fill="BDD7EE"/>
            <w:vAlign w:val="center"/>
            <w:hideMark/>
          </w:tcPr>
          <w:p w14:paraId="5F35CB4A" w14:textId="77777777" w:rsidR="00A00259" w:rsidRDefault="00371282">
            <w:pPr>
              <w:pStyle w:val="P68B1DB1-Normal10"/>
              <w:jc w:val="center"/>
              <w:rPr>
                <w:rFonts w:eastAsia="Times New Roman" w:cs="Times New Roman"/>
                <w:bCs/>
                <w:noProof/>
                <w:szCs w:val="18"/>
              </w:rPr>
            </w:pPr>
            <w:r>
              <w:rPr>
                <w:noProof/>
              </w:rPr>
              <w:t>Nom</w:t>
            </w:r>
          </w:p>
        </w:tc>
        <w:tc>
          <w:tcPr>
            <w:tcW w:w="1320" w:type="dxa"/>
            <w:vMerge w:val="restart"/>
            <w:shd w:val="clear" w:color="auto" w:fill="BDD7EE"/>
            <w:vAlign w:val="center"/>
            <w:hideMark/>
          </w:tcPr>
          <w:p w14:paraId="2DC4C6F3" w14:textId="77777777" w:rsidR="00A00259" w:rsidRDefault="00371282">
            <w:pPr>
              <w:pStyle w:val="P68B1DB1-Normal10"/>
              <w:jc w:val="center"/>
              <w:rPr>
                <w:rFonts w:eastAsia="Times New Roman" w:cs="Times New Roman"/>
                <w:bCs/>
                <w:noProof/>
                <w:szCs w:val="18"/>
              </w:rPr>
            </w:pPr>
            <w:r>
              <w:rPr>
                <w:noProof/>
              </w:rPr>
              <w:t>Indicateurs qualitatifs (pour les jalons)</w:t>
            </w:r>
          </w:p>
        </w:tc>
        <w:tc>
          <w:tcPr>
            <w:tcW w:w="3120" w:type="dxa"/>
            <w:gridSpan w:val="3"/>
            <w:shd w:val="clear" w:color="auto" w:fill="BDD7EE"/>
            <w:vAlign w:val="center"/>
            <w:hideMark/>
          </w:tcPr>
          <w:p w14:paraId="711135C9" w14:textId="32016D12" w:rsidR="00A00259" w:rsidRDefault="00371282">
            <w:pPr>
              <w:pStyle w:val="P68B1DB1-Normal18"/>
              <w:jc w:val="center"/>
              <w:rPr>
                <w:rFonts w:ascii="Times New Roman" w:eastAsia="Times New Roman" w:hAnsi="Times New Roman" w:cs="Times New Roman"/>
                <w:bCs/>
                <w:noProof/>
                <w:szCs w:val="18"/>
              </w:rPr>
            </w:pPr>
            <w:r>
              <w:rPr>
                <w:rFonts w:ascii="Times New Roman" w:hAnsi="Times New Roman"/>
                <w:noProof/>
              </w:rPr>
              <w:t xml:space="preserve">Indicateurs quantitatifs </w:t>
            </w:r>
            <w:r>
              <w:rPr>
                <w:rFonts w:ascii="Times New Roman" w:hAnsi="Times New Roman" w:cs="Times New Roman"/>
                <w:noProof/>
                <w:szCs w:val="18"/>
              </w:rPr>
              <w:br/>
            </w:r>
            <w:r>
              <w:rPr>
                <w:rFonts w:ascii="Times New Roman" w:hAnsi="Times New Roman"/>
                <w:noProof/>
              </w:rPr>
              <w:t xml:space="preserve"> (pour les objectifs)</w:t>
            </w:r>
          </w:p>
        </w:tc>
        <w:tc>
          <w:tcPr>
            <w:tcW w:w="1920" w:type="dxa"/>
            <w:gridSpan w:val="2"/>
            <w:shd w:val="clear" w:color="auto" w:fill="BDD7EE"/>
            <w:vAlign w:val="center"/>
            <w:hideMark/>
          </w:tcPr>
          <w:p w14:paraId="3C49543C" w14:textId="77777777" w:rsidR="00A00259" w:rsidRDefault="00371282">
            <w:pPr>
              <w:pStyle w:val="P68B1DB1-Normal10"/>
              <w:jc w:val="center"/>
              <w:rPr>
                <w:rFonts w:eastAsia="Times New Roman" w:cs="Times New Roman"/>
                <w:bCs/>
                <w:noProof/>
                <w:szCs w:val="18"/>
              </w:rPr>
            </w:pPr>
            <w:r>
              <w:rPr>
                <w:noProof/>
              </w:rPr>
              <w:t xml:space="preserve">Calendrier indicatif d'achèvement </w:t>
            </w:r>
          </w:p>
        </w:tc>
        <w:tc>
          <w:tcPr>
            <w:tcW w:w="4553" w:type="dxa"/>
            <w:vMerge w:val="restart"/>
            <w:shd w:val="clear" w:color="auto" w:fill="BDD7EE"/>
            <w:vAlign w:val="center"/>
            <w:hideMark/>
          </w:tcPr>
          <w:p w14:paraId="64315125" w14:textId="77777777" w:rsidR="00A00259" w:rsidRDefault="00371282">
            <w:pPr>
              <w:pStyle w:val="P68B1DB1-Normal10"/>
              <w:jc w:val="center"/>
              <w:rPr>
                <w:rFonts w:eastAsia="Times New Roman" w:cs="Times New Roman"/>
                <w:bCs/>
                <w:noProof/>
                <w:szCs w:val="18"/>
              </w:rPr>
            </w:pPr>
            <w:r>
              <w:rPr>
                <w:noProof/>
              </w:rPr>
              <w:t>Description de chaque jalon et cible</w:t>
            </w:r>
          </w:p>
        </w:tc>
      </w:tr>
      <w:tr w:rsidR="00A00259" w14:paraId="7F542223" w14:textId="77777777" w:rsidTr="00CE3F9A">
        <w:trPr>
          <w:trHeight w:val="540"/>
          <w:tblHeader/>
          <w:jc w:val="center"/>
        </w:trPr>
        <w:tc>
          <w:tcPr>
            <w:tcW w:w="575" w:type="dxa"/>
            <w:vMerge/>
            <w:vAlign w:val="center"/>
            <w:hideMark/>
          </w:tcPr>
          <w:p w14:paraId="3057EE2A" w14:textId="77777777" w:rsidR="00A00259" w:rsidRDefault="00A00259">
            <w:pPr>
              <w:rPr>
                <w:rFonts w:ascii="Times New Roman" w:eastAsia="Times New Roman" w:hAnsi="Times New Roman" w:cs="Times New Roman"/>
                <w:b/>
                <w:bCs/>
                <w:noProof/>
                <w:sz w:val="18"/>
                <w:szCs w:val="18"/>
              </w:rPr>
            </w:pPr>
          </w:p>
        </w:tc>
        <w:tc>
          <w:tcPr>
            <w:tcW w:w="1680" w:type="dxa"/>
            <w:vMerge/>
            <w:vAlign w:val="center"/>
            <w:hideMark/>
          </w:tcPr>
          <w:p w14:paraId="38588166" w14:textId="77777777" w:rsidR="00A00259" w:rsidRDefault="00A00259">
            <w:pPr>
              <w:rPr>
                <w:rFonts w:ascii="Times New Roman" w:eastAsia="Times New Roman" w:hAnsi="Times New Roman" w:cs="Times New Roman"/>
                <w:b/>
                <w:bCs/>
                <w:noProof/>
                <w:sz w:val="18"/>
                <w:szCs w:val="18"/>
              </w:rPr>
            </w:pPr>
          </w:p>
        </w:tc>
        <w:tc>
          <w:tcPr>
            <w:tcW w:w="1143" w:type="dxa"/>
            <w:vMerge/>
            <w:vAlign w:val="center"/>
            <w:hideMark/>
          </w:tcPr>
          <w:p w14:paraId="3668EC1D" w14:textId="77777777" w:rsidR="00A00259" w:rsidRDefault="00A00259">
            <w:pPr>
              <w:rPr>
                <w:rFonts w:ascii="Times New Roman" w:eastAsia="Times New Roman" w:hAnsi="Times New Roman" w:cs="Times New Roman"/>
                <w:b/>
                <w:bCs/>
                <w:noProof/>
                <w:sz w:val="18"/>
                <w:szCs w:val="18"/>
              </w:rPr>
            </w:pPr>
          </w:p>
        </w:tc>
        <w:tc>
          <w:tcPr>
            <w:tcW w:w="1277" w:type="dxa"/>
            <w:vMerge/>
            <w:vAlign w:val="center"/>
            <w:hideMark/>
          </w:tcPr>
          <w:p w14:paraId="7236E801" w14:textId="77777777" w:rsidR="00A00259" w:rsidRDefault="00A00259">
            <w:pPr>
              <w:rPr>
                <w:rFonts w:ascii="Times New Roman" w:eastAsia="Times New Roman" w:hAnsi="Times New Roman" w:cs="Times New Roman"/>
                <w:b/>
                <w:bCs/>
                <w:noProof/>
                <w:sz w:val="18"/>
                <w:szCs w:val="18"/>
              </w:rPr>
            </w:pPr>
          </w:p>
        </w:tc>
        <w:tc>
          <w:tcPr>
            <w:tcW w:w="1320" w:type="dxa"/>
            <w:vMerge/>
            <w:vAlign w:val="center"/>
            <w:hideMark/>
          </w:tcPr>
          <w:p w14:paraId="3F6F558A" w14:textId="77777777" w:rsidR="00A00259" w:rsidRDefault="00A00259">
            <w:pPr>
              <w:rPr>
                <w:rFonts w:ascii="Times New Roman" w:eastAsia="Times New Roman" w:hAnsi="Times New Roman" w:cs="Times New Roman"/>
                <w:b/>
                <w:bCs/>
                <w:noProof/>
                <w:sz w:val="18"/>
                <w:szCs w:val="18"/>
              </w:rPr>
            </w:pPr>
          </w:p>
        </w:tc>
        <w:tc>
          <w:tcPr>
            <w:tcW w:w="1200" w:type="dxa"/>
            <w:shd w:val="clear" w:color="auto" w:fill="BDD7EE"/>
            <w:vAlign w:val="center"/>
            <w:hideMark/>
          </w:tcPr>
          <w:p w14:paraId="2D316D9E" w14:textId="77777777" w:rsidR="00A00259" w:rsidRDefault="00371282">
            <w:pPr>
              <w:pStyle w:val="P68B1DB1-Normal10"/>
              <w:jc w:val="center"/>
              <w:rPr>
                <w:rFonts w:eastAsia="Times New Roman" w:cs="Times New Roman"/>
                <w:bCs/>
                <w:noProof/>
                <w:szCs w:val="18"/>
              </w:rPr>
            </w:pPr>
            <w:r>
              <w:rPr>
                <w:noProof/>
              </w:rPr>
              <w:t>Unité de mesure</w:t>
            </w:r>
          </w:p>
        </w:tc>
        <w:tc>
          <w:tcPr>
            <w:tcW w:w="960" w:type="dxa"/>
            <w:shd w:val="clear" w:color="auto" w:fill="BDD7EE"/>
            <w:vAlign w:val="center"/>
            <w:hideMark/>
          </w:tcPr>
          <w:p w14:paraId="5C47221C" w14:textId="77777777" w:rsidR="00A00259" w:rsidRDefault="00371282">
            <w:pPr>
              <w:pStyle w:val="P68B1DB1-Normal10"/>
              <w:jc w:val="center"/>
              <w:rPr>
                <w:rFonts w:eastAsia="Times New Roman" w:cs="Times New Roman"/>
                <w:bCs/>
                <w:noProof/>
                <w:szCs w:val="18"/>
              </w:rPr>
            </w:pPr>
            <w:r>
              <w:rPr>
                <w:noProof/>
              </w:rPr>
              <w:t xml:space="preserve">Données de référence </w:t>
            </w:r>
          </w:p>
        </w:tc>
        <w:tc>
          <w:tcPr>
            <w:tcW w:w="960" w:type="dxa"/>
            <w:shd w:val="clear" w:color="auto" w:fill="BDD7EE"/>
            <w:vAlign w:val="center"/>
            <w:hideMark/>
          </w:tcPr>
          <w:p w14:paraId="2FF4729A" w14:textId="77777777" w:rsidR="00A00259" w:rsidRDefault="00371282">
            <w:pPr>
              <w:pStyle w:val="P68B1DB1-Normal10"/>
              <w:jc w:val="center"/>
              <w:rPr>
                <w:rFonts w:eastAsia="Times New Roman" w:cs="Times New Roman"/>
                <w:bCs/>
                <w:noProof/>
                <w:szCs w:val="18"/>
              </w:rPr>
            </w:pPr>
            <w:r>
              <w:rPr>
                <w:noProof/>
              </w:rPr>
              <w:t xml:space="preserve">Objectif </w:t>
            </w:r>
          </w:p>
        </w:tc>
        <w:tc>
          <w:tcPr>
            <w:tcW w:w="1033" w:type="dxa"/>
            <w:shd w:val="clear" w:color="auto" w:fill="BDD7EE"/>
            <w:vAlign w:val="center"/>
            <w:hideMark/>
          </w:tcPr>
          <w:p w14:paraId="4FDD3D09" w14:textId="77777777" w:rsidR="00A00259" w:rsidRDefault="00371282">
            <w:pPr>
              <w:pStyle w:val="P68B1DB1-Normal10"/>
              <w:jc w:val="center"/>
              <w:rPr>
                <w:rFonts w:eastAsia="Times New Roman" w:cs="Times New Roman"/>
                <w:bCs/>
                <w:noProof/>
                <w:szCs w:val="18"/>
              </w:rPr>
            </w:pPr>
            <w:r>
              <w:rPr>
                <w:noProof/>
              </w:rPr>
              <w:t>Trimestre</w:t>
            </w:r>
          </w:p>
        </w:tc>
        <w:tc>
          <w:tcPr>
            <w:tcW w:w="887" w:type="dxa"/>
            <w:shd w:val="clear" w:color="auto" w:fill="BDD7EE"/>
            <w:vAlign w:val="center"/>
            <w:hideMark/>
          </w:tcPr>
          <w:p w14:paraId="757B59DC" w14:textId="77777777" w:rsidR="00A00259" w:rsidRDefault="00371282">
            <w:pPr>
              <w:pStyle w:val="P68B1DB1-Normal10"/>
              <w:jc w:val="center"/>
              <w:rPr>
                <w:rFonts w:eastAsia="Times New Roman" w:cs="Times New Roman"/>
                <w:bCs/>
                <w:noProof/>
                <w:szCs w:val="18"/>
              </w:rPr>
            </w:pPr>
            <w:r>
              <w:rPr>
                <w:noProof/>
              </w:rPr>
              <w:t>Année</w:t>
            </w:r>
          </w:p>
        </w:tc>
        <w:tc>
          <w:tcPr>
            <w:tcW w:w="4553" w:type="dxa"/>
            <w:vMerge/>
            <w:vAlign w:val="center"/>
            <w:hideMark/>
          </w:tcPr>
          <w:p w14:paraId="183333BA" w14:textId="77777777" w:rsidR="00A00259" w:rsidRDefault="00A00259">
            <w:pPr>
              <w:rPr>
                <w:rFonts w:ascii="Times New Roman" w:eastAsia="Times New Roman" w:hAnsi="Times New Roman" w:cs="Times New Roman"/>
                <w:b/>
                <w:bCs/>
                <w:noProof/>
                <w:sz w:val="18"/>
                <w:szCs w:val="18"/>
              </w:rPr>
            </w:pPr>
          </w:p>
        </w:tc>
      </w:tr>
      <w:tr w:rsidR="00A00259" w14:paraId="5BFCD9E4" w14:textId="77777777" w:rsidTr="00CE3F9A">
        <w:trPr>
          <w:trHeight w:val="309"/>
          <w:jc w:val="center"/>
        </w:trPr>
        <w:tc>
          <w:tcPr>
            <w:tcW w:w="575" w:type="dxa"/>
            <w:shd w:val="clear" w:color="auto" w:fill="C6EFCE"/>
            <w:noWrap/>
          </w:tcPr>
          <w:p w14:paraId="59AE8210" w14:textId="77777777" w:rsidR="00A00259" w:rsidRDefault="00371282">
            <w:pPr>
              <w:pStyle w:val="P68B1DB1-Normal12"/>
              <w:rPr>
                <w:rFonts w:eastAsia="Times New Roman"/>
                <w:noProof/>
              </w:rPr>
            </w:pPr>
            <w:r>
              <w:rPr>
                <w:noProof/>
              </w:rPr>
              <w:t>77</w:t>
            </w:r>
          </w:p>
        </w:tc>
        <w:tc>
          <w:tcPr>
            <w:tcW w:w="1680" w:type="dxa"/>
            <w:shd w:val="clear" w:color="auto" w:fill="C6EFCE"/>
            <w:noWrap/>
          </w:tcPr>
          <w:p w14:paraId="16C088A4" w14:textId="77777777" w:rsidR="00A00259" w:rsidRDefault="00371282">
            <w:pPr>
              <w:pStyle w:val="P68B1DB1-Normal12"/>
              <w:spacing w:after="0" w:line="240" w:lineRule="auto"/>
              <w:rPr>
                <w:noProof/>
              </w:rPr>
            </w:pPr>
            <w:r>
              <w:rPr>
                <w:noProof/>
              </w:rPr>
              <w:t>4 - 1.4. 16283_ Mise en œuvre de centres régionaux de protection civile (PEKEPP) dans le cadre de partenariats public-privé</w:t>
            </w:r>
          </w:p>
        </w:tc>
        <w:tc>
          <w:tcPr>
            <w:tcW w:w="1143" w:type="dxa"/>
            <w:shd w:val="clear" w:color="auto" w:fill="C6EFCE"/>
            <w:noWrap/>
          </w:tcPr>
          <w:p w14:paraId="7346B379" w14:textId="77777777" w:rsidR="00A00259" w:rsidRDefault="00371282">
            <w:pPr>
              <w:pStyle w:val="P68B1DB1-Normal12"/>
              <w:spacing w:after="0" w:line="240" w:lineRule="auto"/>
              <w:rPr>
                <w:noProof/>
              </w:rPr>
            </w:pPr>
            <w:r>
              <w:rPr>
                <w:noProof/>
              </w:rPr>
              <w:t>Étape</w:t>
            </w:r>
          </w:p>
        </w:tc>
        <w:tc>
          <w:tcPr>
            <w:tcW w:w="1277" w:type="dxa"/>
            <w:shd w:val="clear" w:color="auto" w:fill="C6EFCE"/>
            <w:noWrap/>
          </w:tcPr>
          <w:p w14:paraId="7A601620" w14:textId="50E58F54" w:rsidR="00A00259" w:rsidRDefault="00371282">
            <w:pPr>
              <w:pStyle w:val="P68B1DB1-Normal12"/>
              <w:spacing w:after="0" w:line="240" w:lineRule="auto"/>
              <w:rPr>
                <w:noProof/>
              </w:rPr>
            </w:pPr>
            <w:r>
              <w:rPr>
                <w:noProof/>
              </w:rPr>
              <w:t>Appel d'offres pour 13 centres régionaux</w:t>
            </w:r>
          </w:p>
        </w:tc>
        <w:tc>
          <w:tcPr>
            <w:tcW w:w="1320" w:type="dxa"/>
            <w:shd w:val="clear" w:color="auto" w:fill="C6EFCE"/>
            <w:noWrap/>
          </w:tcPr>
          <w:p w14:paraId="533DBC7D" w14:textId="77777777" w:rsidR="00A00259" w:rsidRDefault="00371282">
            <w:pPr>
              <w:pStyle w:val="P68B1DB1-Normal12"/>
              <w:spacing w:after="0" w:line="240" w:lineRule="auto"/>
              <w:rPr>
                <w:noProof/>
              </w:rPr>
            </w:pPr>
            <w:r>
              <w:rPr>
                <w:noProof/>
              </w:rPr>
              <w:t>Publication de l'avis d'appel d'offres</w:t>
            </w:r>
          </w:p>
        </w:tc>
        <w:tc>
          <w:tcPr>
            <w:tcW w:w="1200" w:type="dxa"/>
            <w:shd w:val="clear" w:color="auto" w:fill="C6EFCE"/>
            <w:noWrap/>
          </w:tcPr>
          <w:p w14:paraId="0274F2C9" w14:textId="77777777" w:rsidR="00A00259" w:rsidRDefault="00A00259">
            <w:pPr>
              <w:rPr>
                <w:rFonts w:ascii="Times New Roman" w:eastAsia="Times New Roman" w:hAnsi="Times New Roman" w:cs="Times New Roman"/>
                <w:noProof/>
                <w:color w:val="006100"/>
                <w:sz w:val="18"/>
                <w:szCs w:val="18"/>
              </w:rPr>
            </w:pPr>
          </w:p>
        </w:tc>
        <w:tc>
          <w:tcPr>
            <w:tcW w:w="960" w:type="dxa"/>
            <w:shd w:val="clear" w:color="auto" w:fill="C6EFCE"/>
            <w:noWrap/>
          </w:tcPr>
          <w:p w14:paraId="5B92C7A9" w14:textId="77777777" w:rsidR="00A00259" w:rsidRDefault="00A00259">
            <w:pPr>
              <w:rPr>
                <w:rFonts w:ascii="Times New Roman" w:eastAsia="Times New Roman" w:hAnsi="Times New Roman" w:cs="Times New Roman"/>
                <w:noProof/>
                <w:color w:val="006100"/>
                <w:sz w:val="18"/>
                <w:szCs w:val="18"/>
              </w:rPr>
            </w:pPr>
          </w:p>
        </w:tc>
        <w:tc>
          <w:tcPr>
            <w:tcW w:w="960" w:type="dxa"/>
            <w:shd w:val="clear" w:color="auto" w:fill="C6EFCE"/>
            <w:noWrap/>
          </w:tcPr>
          <w:p w14:paraId="2902728B" w14:textId="77777777" w:rsidR="00A00259" w:rsidRDefault="00A00259">
            <w:pPr>
              <w:rPr>
                <w:rFonts w:ascii="Times New Roman" w:eastAsia="Times New Roman" w:hAnsi="Times New Roman" w:cs="Times New Roman"/>
                <w:noProof/>
                <w:color w:val="006100"/>
                <w:sz w:val="18"/>
                <w:szCs w:val="18"/>
              </w:rPr>
            </w:pPr>
          </w:p>
        </w:tc>
        <w:tc>
          <w:tcPr>
            <w:tcW w:w="1033" w:type="dxa"/>
            <w:shd w:val="clear" w:color="auto" w:fill="C6EFCE"/>
            <w:noWrap/>
          </w:tcPr>
          <w:p w14:paraId="5DF1084D" w14:textId="77777777" w:rsidR="00A00259" w:rsidRDefault="00371282">
            <w:pPr>
              <w:pStyle w:val="P68B1DB1-Normal12"/>
              <w:rPr>
                <w:rFonts w:eastAsia="Times New Roman"/>
                <w:noProof/>
              </w:rPr>
            </w:pPr>
            <w:r>
              <w:rPr>
                <w:noProof/>
              </w:rPr>
              <w:t>T3</w:t>
            </w:r>
          </w:p>
        </w:tc>
        <w:tc>
          <w:tcPr>
            <w:tcW w:w="887" w:type="dxa"/>
            <w:shd w:val="clear" w:color="auto" w:fill="C6EFCE"/>
            <w:noWrap/>
          </w:tcPr>
          <w:p w14:paraId="02D84898" w14:textId="77777777" w:rsidR="00A00259" w:rsidRDefault="00371282">
            <w:pPr>
              <w:pStyle w:val="P68B1DB1-Normal12"/>
              <w:rPr>
                <w:rFonts w:eastAsia="Times New Roman"/>
                <w:noProof/>
              </w:rPr>
            </w:pPr>
            <w:r>
              <w:rPr>
                <w:noProof/>
              </w:rPr>
              <w:t>2021</w:t>
            </w:r>
          </w:p>
        </w:tc>
        <w:tc>
          <w:tcPr>
            <w:tcW w:w="4553" w:type="dxa"/>
            <w:shd w:val="clear" w:color="auto" w:fill="C6EFCE"/>
            <w:noWrap/>
          </w:tcPr>
          <w:p w14:paraId="3E65A1CC" w14:textId="3A780FBD" w:rsidR="00A00259" w:rsidRDefault="00371282">
            <w:pPr>
              <w:pStyle w:val="P68B1DB1-Normal12"/>
              <w:rPr>
                <w:rFonts w:eastAsia="Times New Roman"/>
                <w:noProof/>
              </w:rPr>
            </w:pPr>
            <w:r>
              <w:rPr>
                <w:noProof/>
              </w:rPr>
              <w:t>Publication de l'avis d'appel d'offres pour la construction de 13 centres régionaux de protection civile.</w:t>
            </w:r>
          </w:p>
        </w:tc>
      </w:tr>
      <w:tr w:rsidR="00A00259" w14:paraId="523EE8FA" w14:textId="77777777" w:rsidTr="00CE3F9A">
        <w:trPr>
          <w:trHeight w:val="309"/>
          <w:jc w:val="center"/>
        </w:trPr>
        <w:tc>
          <w:tcPr>
            <w:tcW w:w="575" w:type="dxa"/>
            <w:shd w:val="clear" w:color="auto" w:fill="C6EFCE"/>
            <w:noWrap/>
          </w:tcPr>
          <w:p w14:paraId="0E3FD4F3" w14:textId="77777777" w:rsidR="00A00259" w:rsidRDefault="00371282">
            <w:pPr>
              <w:pStyle w:val="P68B1DB1-Normal12"/>
              <w:rPr>
                <w:rFonts w:eastAsia="Times New Roman"/>
                <w:noProof/>
              </w:rPr>
            </w:pPr>
            <w:r>
              <w:rPr>
                <w:noProof/>
              </w:rPr>
              <w:t>78</w:t>
            </w:r>
          </w:p>
        </w:tc>
        <w:tc>
          <w:tcPr>
            <w:tcW w:w="1680" w:type="dxa"/>
            <w:shd w:val="clear" w:color="auto" w:fill="C6EFCE"/>
            <w:noWrap/>
          </w:tcPr>
          <w:p w14:paraId="41D92EF1" w14:textId="77777777" w:rsidR="00A00259" w:rsidRDefault="00371282">
            <w:pPr>
              <w:pStyle w:val="P68B1DB1-Normal12"/>
              <w:spacing w:after="0" w:line="240" w:lineRule="auto"/>
              <w:rPr>
                <w:noProof/>
              </w:rPr>
            </w:pPr>
            <w:r>
              <w:rPr>
                <w:noProof/>
              </w:rPr>
              <w:t>4 - 1.4. Utilisation durable des ressources, résilience au changement climatique et protection de l'environnement - 16910_Système de suivi et de gestion</w:t>
            </w:r>
          </w:p>
        </w:tc>
        <w:tc>
          <w:tcPr>
            <w:tcW w:w="1143" w:type="dxa"/>
            <w:shd w:val="clear" w:color="auto" w:fill="C6EFCE"/>
            <w:noWrap/>
          </w:tcPr>
          <w:p w14:paraId="43EAA406" w14:textId="77777777" w:rsidR="00A00259" w:rsidRDefault="00371282">
            <w:pPr>
              <w:pStyle w:val="P68B1DB1-Normal12"/>
              <w:spacing w:after="0" w:line="240" w:lineRule="auto"/>
              <w:rPr>
                <w:noProof/>
              </w:rPr>
            </w:pPr>
            <w:r>
              <w:rPr>
                <w:noProof/>
              </w:rPr>
              <w:t>Étape</w:t>
            </w:r>
          </w:p>
        </w:tc>
        <w:tc>
          <w:tcPr>
            <w:tcW w:w="1277" w:type="dxa"/>
            <w:shd w:val="clear" w:color="auto" w:fill="C6EFCE"/>
            <w:noWrap/>
          </w:tcPr>
          <w:p w14:paraId="1BA3572B" w14:textId="77777777" w:rsidR="00A00259" w:rsidRDefault="00371282">
            <w:pPr>
              <w:pStyle w:val="P68B1DB1-Normal12"/>
              <w:spacing w:after="0" w:line="240" w:lineRule="auto"/>
              <w:rPr>
                <w:noProof/>
              </w:rPr>
            </w:pPr>
            <w:r>
              <w:rPr>
                <w:noProof/>
              </w:rPr>
              <w:t>Contrat pour GPS</w:t>
            </w:r>
          </w:p>
        </w:tc>
        <w:tc>
          <w:tcPr>
            <w:tcW w:w="1320" w:type="dxa"/>
            <w:shd w:val="clear" w:color="auto" w:fill="C6EFCE"/>
            <w:noWrap/>
          </w:tcPr>
          <w:p w14:paraId="6453D00E" w14:textId="77777777" w:rsidR="00A00259" w:rsidRDefault="00371282">
            <w:pPr>
              <w:pStyle w:val="P68B1DB1-Normal12"/>
              <w:spacing w:after="0" w:line="240" w:lineRule="auto"/>
              <w:rPr>
                <w:noProof/>
              </w:rPr>
            </w:pPr>
            <w:r>
              <w:rPr>
                <w:noProof/>
              </w:rPr>
              <w:t xml:space="preserve">Notification de l'attribution des marchés </w:t>
            </w:r>
          </w:p>
        </w:tc>
        <w:tc>
          <w:tcPr>
            <w:tcW w:w="1200" w:type="dxa"/>
            <w:shd w:val="clear" w:color="auto" w:fill="C6EFCE"/>
            <w:noWrap/>
          </w:tcPr>
          <w:p w14:paraId="7E619534" w14:textId="77777777" w:rsidR="00A00259" w:rsidRDefault="00A00259">
            <w:pPr>
              <w:rPr>
                <w:rFonts w:ascii="Times New Roman" w:eastAsia="Times New Roman" w:hAnsi="Times New Roman" w:cs="Times New Roman"/>
                <w:noProof/>
                <w:color w:val="006100"/>
                <w:sz w:val="18"/>
                <w:szCs w:val="18"/>
              </w:rPr>
            </w:pPr>
          </w:p>
        </w:tc>
        <w:tc>
          <w:tcPr>
            <w:tcW w:w="960" w:type="dxa"/>
            <w:shd w:val="clear" w:color="auto" w:fill="C6EFCE"/>
            <w:noWrap/>
          </w:tcPr>
          <w:p w14:paraId="00A5F038" w14:textId="77777777" w:rsidR="00A00259" w:rsidRDefault="00A00259">
            <w:pPr>
              <w:rPr>
                <w:rFonts w:ascii="Times New Roman" w:eastAsia="Times New Roman" w:hAnsi="Times New Roman" w:cs="Times New Roman"/>
                <w:noProof/>
                <w:color w:val="006100"/>
                <w:sz w:val="18"/>
                <w:szCs w:val="18"/>
              </w:rPr>
            </w:pPr>
          </w:p>
        </w:tc>
        <w:tc>
          <w:tcPr>
            <w:tcW w:w="960" w:type="dxa"/>
            <w:shd w:val="clear" w:color="auto" w:fill="C6EFCE"/>
            <w:noWrap/>
          </w:tcPr>
          <w:p w14:paraId="78FD3F6D" w14:textId="77777777" w:rsidR="00A00259" w:rsidRDefault="00A00259">
            <w:pPr>
              <w:rPr>
                <w:rFonts w:ascii="Times New Roman" w:eastAsia="Times New Roman" w:hAnsi="Times New Roman" w:cs="Times New Roman"/>
                <w:noProof/>
                <w:color w:val="006100"/>
                <w:sz w:val="18"/>
                <w:szCs w:val="18"/>
              </w:rPr>
            </w:pPr>
          </w:p>
        </w:tc>
        <w:tc>
          <w:tcPr>
            <w:tcW w:w="1033" w:type="dxa"/>
            <w:shd w:val="clear" w:color="auto" w:fill="C6EFCE"/>
            <w:noWrap/>
          </w:tcPr>
          <w:p w14:paraId="26772373" w14:textId="77777777" w:rsidR="00A00259" w:rsidRDefault="00371282">
            <w:pPr>
              <w:pStyle w:val="P68B1DB1-Normal12"/>
              <w:rPr>
                <w:rFonts w:eastAsia="Times New Roman"/>
                <w:noProof/>
              </w:rPr>
            </w:pPr>
            <w:r>
              <w:rPr>
                <w:noProof/>
              </w:rPr>
              <w:t>T4</w:t>
            </w:r>
          </w:p>
        </w:tc>
        <w:tc>
          <w:tcPr>
            <w:tcW w:w="887" w:type="dxa"/>
            <w:shd w:val="clear" w:color="auto" w:fill="C6EFCE"/>
            <w:noWrap/>
          </w:tcPr>
          <w:p w14:paraId="4397B28B" w14:textId="77777777" w:rsidR="00A00259" w:rsidRDefault="00371282">
            <w:pPr>
              <w:pStyle w:val="P68B1DB1-Normal12"/>
              <w:rPr>
                <w:rFonts w:eastAsia="Times New Roman"/>
                <w:noProof/>
              </w:rPr>
            </w:pPr>
            <w:r>
              <w:rPr>
                <w:noProof/>
              </w:rPr>
              <w:t>2022</w:t>
            </w:r>
          </w:p>
        </w:tc>
        <w:tc>
          <w:tcPr>
            <w:tcW w:w="4553" w:type="dxa"/>
            <w:shd w:val="clear" w:color="auto" w:fill="C6EFCE"/>
            <w:noWrap/>
          </w:tcPr>
          <w:p w14:paraId="2DA94814" w14:textId="77777777" w:rsidR="00A00259" w:rsidRDefault="00371282">
            <w:pPr>
              <w:pStyle w:val="P68B1DB1-Normal12"/>
              <w:rPr>
                <w:rFonts w:eastAsia="Times New Roman"/>
                <w:noProof/>
              </w:rPr>
            </w:pPr>
            <w:r>
              <w:rPr>
                <w:noProof/>
              </w:rPr>
              <w:t xml:space="preserve">Notification de l'attribution du marché pour le système de surveillance GPS et le système d'alerte précoce. </w:t>
            </w:r>
          </w:p>
        </w:tc>
      </w:tr>
      <w:tr w:rsidR="00A00259" w14:paraId="17EC3DDF" w14:textId="77777777" w:rsidTr="00CE3F9A">
        <w:trPr>
          <w:trHeight w:val="1312"/>
          <w:jc w:val="center"/>
        </w:trPr>
        <w:tc>
          <w:tcPr>
            <w:tcW w:w="575" w:type="dxa"/>
            <w:shd w:val="clear" w:color="auto" w:fill="C6EFCE"/>
            <w:noWrap/>
          </w:tcPr>
          <w:p w14:paraId="527CA41F" w14:textId="77777777" w:rsidR="00A00259" w:rsidRDefault="00371282">
            <w:pPr>
              <w:pStyle w:val="P68B1DB1-Normal12"/>
              <w:rPr>
                <w:rFonts w:eastAsia="Times New Roman"/>
                <w:noProof/>
              </w:rPr>
            </w:pPr>
            <w:r>
              <w:rPr>
                <w:noProof/>
              </w:rPr>
              <w:t>79</w:t>
            </w:r>
          </w:p>
        </w:tc>
        <w:tc>
          <w:tcPr>
            <w:tcW w:w="1680" w:type="dxa"/>
            <w:shd w:val="clear" w:color="auto" w:fill="C6EFCE"/>
            <w:noWrap/>
          </w:tcPr>
          <w:p w14:paraId="12B12948" w14:textId="77777777" w:rsidR="00A00259" w:rsidRDefault="00371282">
            <w:pPr>
              <w:pStyle w:val="P68B1DB1-Normal12"/>
              <w:spacing w:after="0" w:line="240" w:lineRule="auto"/>
              <w:rPr>
                <w:noProof/>
              </w:rPr>
            </w:pPr>
            <w:r>
              <w:rPr>
                <w:noProof/>
              </w:rPr>
              <w:t>4 - 1.4. Utilisation durable des ressources, résilience au changement climatique et protection de l'environnement - 16911_Moyens aériens pour la gestion des crises</w:t>
            </w:r>
          </w:p>
        </w:tc>
        <w:tc>
          <w:tcPr>
            <w:tcW w:w="1143" w:type="dxa"/>
            <w:shd w:val="clear" w:color="auto" w:fill="C6EFCE"/>
            <w:noWrap/>
          </w:tcPr>
          <w:p w14:paraId="318977D7" w14:textId="77777777" w:rsidR="00A00259" w:rsidRDefault="00371282">
            <w:pPr>
              <w:pStyle w:val="P68B1DB1-Normal12"/>
              <w:spacing w:after="0" w:line="240" w:lineRule="auto"/>
              <w:rPr>
                <w:noProof/>
              </w:rPr>
            </w:pPr>
            <w:r>
              <w:rPr>
                <w:noProof/>
              </w:rPr>
              <w:t>Étape</w:t>
            </w:r>
          </w:p>
        </w:tc>
        <w:tc>
          <w:tcPr>
            <w:tcW w:w="1277" w:type="dxa"/>
            <w:shd w:val="clear" w:color="auto" w:fill="C6EFCE"/>
            <w:noWrap/>
          </w:tcPr>
          <w:p w14:paraId="01C72DEE" w14:textId="77777777" w:rsidR="00A00259" w:rsidRDefault="00371282">
            <w:pPr>
              <w:pStyle w:val="P68B1DB1-Normal12"/>
              <w:spacing w:after="0" w:line="240" w:lineRule="auto"/>
              <w:rPr>
                <w:noProof/>
              </w:rPr>
            </w:pPr>
            <w:r>
              <w:rPr>
                <w:noProof/>
              </w:rPr>
              <w:t>Achat de deux hélicoptères de lutte contre les incendies de taille moyenne</w:t>
            </w:r>
          </w:p>
        </w:tc>
        <w:tc>
          <w:tcPr>
            <w:tcW w:w="1320" w:type="dxa"/>
            <w:shd w:val="clear" w:color="auto" w:fill="C6EFCE"/>
            <w:noWrap/>
          </w:tcPr>
          <w:p w14:paraId="5139A720" w14:textId="77777777" w:rsidR="00A00259" w:rsidRDefault="00371282">
            <w:pPr>
              <w:pStyle w:val="P68B1DB1-Normal12"/>
              <w:spacing w:after="0" w:line="240" w:lineRule="auto"/>
              <w:rPr>
                <w:noProof/>
              </w:rPr>
            </w:pPr>
            <w:r>
              <w:rPr>
                <w:noProof/>
              </w:rPr>
              <w:t xml:space="preserve">Notification de l'attribution des marchés </w:t>
            </w:r>
          </w:p>
        </w:tc>
        <w:tc>
          <w:tcPr>
            <w:tcW w:w="1200" w:type="dxa"/>
            <w:shd w:val="clear" w:color="auto" w:fill="C6EFCE"/>
            <w:noWrap/>
          </w:tcPr>
          <w:p w14:paraId="2BCD6227" w14:textId="77777777" w:rsidR="00A00259" w:rsidRDefault="00A00259">
            <w:pPr>
              <w:rPr>
                <w:rFonts w:ascii="Times New Roman" w:eastAsia="Times New Roman" w:hAnsi="Times New Roman" w:cs="Times New Roman"/>
                <w:noProof/>
                <w:color w:val="006100"/>
                <w:sz w:val="18"/>
                <w:szCs w:val="18"/>
              </w:rPr>
            </w:pPr>
          </w:p>
        </w:tc>
        <w:tc>
          <w:tcPr>
            <w:tcW w:w="960" w:type="dxa"/>
            <w:shd w:val="clear" w:color="auto" w:fill="C6EFCE"/>
            <w:noWrap/>
          </w:tcPr>
          <w:p w14:paraId="013B2F63" w14:textId="77777777" w:rsidR="00A00259" w:rsidRDefault="00A00259">
            <w:pPr>
              <w:rPr>
                <w:rFonts w:ascii="Times New Roman" w:eastAsia="Times New Roman" w:hAnsi="Times New Roman" w:cs="Times New Roman"/>
                <w:noProof/>
                <w:color w:val="006100"/>
                <w:sz w:val="18"/>
                <w:szCs w:val="18"/>
              </w:rPr>
            </w:pPr>
          </w:p>
        </w:tc>
        <w:tc>
          <w:tcPr>
            <w:tcW w:w="960" w:type="dxa"/>
            <w:shd w:val="clear" w:color="auto" w:fill="C6EFCE"/>
            <w:noWrap/>
          </w:tcPr>
          <w:p w14:paraId="5695ABCD" w14:textId="77777777" w:rsidR="00A00259" w:rsidRDefault="00A00259">
            <w:pPr>
              <w:rPr>
                <w:rFonts w:ascii="Times New Roman" w:eastAsia="Times New Roman" w:hAnsi="Times New Roman" w:cs="Times New Roman"/>
                <w:noProof/>
                <w:color w:val="006100"/>
                <w:sz w:val="18"/>
                <w:szCs w:val="18"/>
              </w:rPr>
            </w:pPr>
          </w:p>
        </w:tc>
        <w:tc>
          <w:tcPr>
            <w:tcW w:w="1033" w:type="dxa"/>
            <w:shd w:val="clear" w:color="auto" w:fill="C6EFCE"/>
            <w:noWrap/>
          </w:tcPr>
          <w:p w14:paraId="46ECB236" w14:textId="77777777" w:rsidR="00A00259" w:rsidRDefault="00371282">
            <w:pPr>
              <w:pStyle w:val="P68B1DB1-Normal12"/>
              <w:rPr>
                <w:rFonts w:eastAsia="Times New Roman"/>
                <w:noProof/>
              </w:rPr>
            </w:pPr>
            <w:r>
              <w:rPr>
                <w:noProof/>
              </w:rPr>
              <w:t>T4</w:t>
            </w:r>
          </w:p>
        </w:tc>
        <w:tc>
          <w:tcPr>
            <w:tcW w:w="887" w:type="dxa"/>
            <w:shd w:val="clear" w:color="auto" w:fill="C6EFCE"/>
            <w:noWrap/>
          </w:tcPr>
          <w:p w14:paraId="017DA5A7" w14:textId="77777777" w:rsidR="00A00259" w:rsidRDefault="00371282">
            <w:pPr>
              <w:pStyle w:val="P68B1DB1-Normal12"/>
              <w:rPr>
                <w:rFonts w:eastAsia="Times New Roman"/>
                <w:noProof/>
              </w:rPr>
            </w:pPr>
            <w:r>
              <w:rPr>
                <w:noProof/>
              </w:rPr>
              <w:t>2023</w:t>
            </w:r>
          </w:p>
        </w:tc>
        <w:tc>
          <w:tcPr>
            <w:tcW w:w="4553" w:type="dxa"/>
            <w:shd w:val="clear" w:color="auto" w:fill="C6EFCE"/>
            <w:noWrap/>
          </w:tcPr>
          <w:p w14:paraId="4C489796" w14:textId="77777777" w:rsidR="00A00259" w:rsidRDefault="00371282">
            <w:pPr>
              <w:pStyle w:val="P68B1DB1-Normal12"/>
              <w:rPr>
                <w:rFonts w:eastAsia="Times New Roman"/>
                <w:noProof/>
              </w:rPr>
            </w:pPr>
            <w:r>
              <w:rPr>
                <w:noProof/>
              </w:rPr>
              <w:t>Notification de l’attribution du marché pour l’achat de deux hélicoptères de lutte contre l’incendie de taille moyenne destinés à la protection civile et à la lutte contre l’incendie.</w:t>
            </w:r>
          </w:p>
        </w:tc>
      </w:tr>
      <w:tr w:rsidR="00A00259" w14:paraId="2C465C67" w14:textId="77777777" w:rsidTr="00CE3F9A">
        <w:trPr>
          <w:trHeight w:val="309"/>
          <w:jc w:val="center"/>
        </w:trPr>
        <w:tc>
          <w:tcPr>
            <w:tcW w:w="575" w:type="dxa"/>
            <w:shd w:val="clear" w:color="auto" w:fill="C6EFCE"/>
            <w:noWrap/>
          </w:tcPr>
          <w:p w14:paraId="5D0E53ED" w14:textId="77777777" w:rsidR="00A00259" w:rsidRDefault="00371282">
            <w:pPr>
              <w:pStyle w:val="P68B1DB1-Normal12"/>
              <w:rPr>
                <w:rFonts w:eastAsia="Times New Roman"/>
                <w:noProof/>
              </w:rPr>
            </w:pPr>
            <w:r>
              <w:rPr>
                <w:noProof/>
              </w:rPr>
              <w:t>81</w:t>
            </w:r>
          </w:p>
        </w:tc>
        <w:tc>
          <w:tcPr>
            <w:tcW w:w="1680" w:type="dxa"/>
            <w:shd w:val="clear" w:color="auto" w:fill="C6EFCE"/>
            <w:noWrap/>
          </w:tcPr>
          <w:p w14:paraId="09B6829E" w14:textId="5E5257C0" w:rsidR="00A00259" w:rsidRDefault="00371282">
            <w:pPr>
              <w:pStyle w:val="P68B1DB1-Normal12"/>
              <w:spacing w:after="0" w:line="240" w:lineRule="auto"/>
              <w:rPr>
                <w:noProof/>
              </w:rPr>
            </w:pPr>
            <w:r>
              <w:rPr>
                <w:noProof/>
              </w:rPr>
              <w:t xml:space="preserve">4 - 1.4. Utilisation durable des ressources, résilience au changement climatique et protection de l'environnement - 16910_ Gestion et suivi de la protection civile </w:t>
            </w:r>
          </w:p>
        </w:tc>
        <w:tc>
          <w:tcPr>
            <w:tcW w:w="1143" w:type="dxa"/>
            <w:shd w:val="clear" w:color="auto" w:fill="C6EFCE"/>
            <w:noWrap/>
          </w:tcPr>
          <w:p w14:paraId="39BDA0DF" w14:textId="77777777" w:rsidR="00A00259" w:rsidRDefault="00371282">
            <w:pPr>
              <w:pStyle w:val="P68B1DB1-Normal12"/>
              <w:spacing w:after="0" w:line="240" w:lineRule="auto"/>
              <w:rPr>
                <w:noProof/>
              </w:rPr>
            </w:pPr>
            <w:r>
              <w:rPr>
                <w:noProof/>
              </w:rPr>
              <w:t>Étape</w:t>
            </w:r>
          </w:p>
        </w:tc>
        <w:tc>
          <w:tcPr>
            <w:tcW w:w="1277" w:type="dxa"/>
            <w:shd w:val="clear" w:color="auto" w:fill="C6EFCE"/>
            <w:noWrap/>
          </w:tcPr>
          <w:p w14:paraId="3AD14AB4" w14:textId="152F5836" w:rsidR="00A00259" w:rsidRDefault="00371282">
            <w:pPr>
              <w:pStyle w:val="P68B1DB1-Normal12"/>
              <w:spacing w:after="0" w:line="240" w:lineRule="auto"/>
              <w:rPr>
                <w:noProof/>
              </w:rPr>
            </w:pPr>
            <w:r>
              <w:rPr>
                <w:noProof/>
              </w:rPr>
              <w:t>Livraison d'équipements et travaux de construction et de rénovation dans des bâtiments prédéfinis</w:t>
            </w:r>
          </w:p>
        </w:tc>
        <w:tc>
          <w:tcPr>
            <w:tcW w:w="1320" w:type="dxa"/>
            <w:shd w:val="clear" w:color="auto" w:fill="C6EFCE"/>
            <w:noWrap/>
          </w:tcPr>
          <w:p w14:paraId="0A2B9E01" w14:textId="5457D9B8" w:rsidR="00A00259" w:rsidRDefault="00371282">
            <w:pPr>
              <w:pStyle w:val="P68B1DB1-Normal12"/>
              <w:spacing w:after="0" w:line="240" w:lineRule="auto"/>
              <w:rPr>
                <w:noProof/>
              </w:rPr>
            </w:pPr>
            <w:r>
              <w:rPr>
                <w:noProof/>
              </w:rPr>
              <w:t>Livraison d'équipements et travaux de construction et de rénovation dans des bâtiments prédéfinis</w:t>
            </w:r>
          </w:p>
        </w:tc>
        <w:tc>
          <w:tcPr>
            <w:tcW w:w="1200" w:type="dxa"/>
            <w:shd w:val="clear" w:color="auto" w:fill="C6EFCE"/>
            <w:noWrap/>
          </w:tcPr>
          <w:p w14:paraId="46595232" w14:textId="77777777" w:rsidR="00A00259" w:rsidRDefault="00A00259">
            <w:pPr>
              <w:rPr>
                <w:rFonts w:ascii="Times New Roman" w:eastAsia="Times New Roman" w:hAnsi="Times New Roman" w:cs="Times New Roman"/>
                <w:noProof/>
                <w:color w:val="006100"/>
                <w:sz w:val="18"/>
                <w:szCs w:val="18"/>
              </w:rPr>
            </w:pPr>
          </w:p>
        </w:tc>
        <w:tc>
          <w:tcPr>
            <w:tcW w:w="960" w:type="dxa"/>
            <w:shd w:val="clear" w:color="auto" w:fill="C6EFCE"/>
            <w:noWrap/>
          </w:tcPr>
          <w:p w14:paraId="6BB32D17" w14:textId="77777777" w:rsidR="00A00259" w:rsidRDefault="00A00259">
            <w:pPr>
              <w:rPr>
                <w:rFonts w:ascii="Times New Roman" w:eastAsia="Times New Roman" w:hAnsi="Times New Roman" w:cs="Times New Roman"/>
                <w:noProof/>
                <w:color w:val="006100"/>
                <w:sz w:val="18"/>
                <w:szCs w:val="18"/>
              </w:rPr>
            </w:pPr>
          </w:p>
        </w:tc>
        <w:tc>
          <w:tcPr>
            <w:tcW w:w="960" w:type="dxa"/>
            <w:shd w:val="clear" w:color="auto" w:fill="C6EFCE"/>
            <w:noWrap/>
          </w:tcPr>
          <w:p w14:paraId="53D5BEE5" w14:textId="77777777" w:rsidR="00A00259" w:rsidRDefault="00A00259">
            <w:pPr>
              <w:rPr>
                <w:rFonts w:ascii="Times New Roman" w:eastAsia="Times New Roman" w:hAnsi="Times New Roman" w:cs="Times New Roman"/>
                <w:noProof/>
                <w:color w:val="006100"/>
                <w:sz w:val="18"/>
                <w:szCs w:val="18"/>
              </w:rPr>
            </w:pPr>
          </w:p>
        </w:tc>
        <w:tc>
          <w:tcPr>
            <w:tcW w:w="1033" w:type="dxa"/>
            <w:shd w:val="clear" w:color="auto" w:fill="C6EFCE"/>
            <w:noWrap/>
          </w:tcPr>
          <w:p w14:paraId="4A0934A0" w14:textId="77777777" w:rsidR="00A00259" w:rsidRDefault="00371282">
            <w:pPr>
              <w:pStyle w:val="P68B1DB1-Normal12"/>
              <w:rPr>
                <w:rFonts w:eastAsia="Times New Roman"/>
                <w:noProof/>
              </w:rPr>
            </w:pPr>
            <w:r>
              <w:rPr>
                <w:noProof/>
              </w:rPr>
              <w:t>T4</w:t>
            </w:r>
          </w:p>
        </w:tc>
        <w:tc>
          <w:tcPr>
            <w:tcW w:w="887" w:type="dxa"/>
            <w:shd w:val="clear" w:color="auto" w:fill="C6EFCE"/>
            <w:noWrap/>
          </w:tcPr>
          <w:p w14:paraId="5E34CB5E" w14:textId="77777777" w:rsidR="00A00259" w:rsidRDefault="00371282">
            <w:pPr>
              <w:pStyle w:val="P68B1DB1-Normal12"/>
              <w:rPr>
                <w:rFonts w:eastAsia="Times New Roman"/>
                <w:noProof/>
              </w:rPr>
            </w:pPr>
            <w:r>
              <w:rPr>
                <w:noProof/>
              </w:rPr>
              <w:t>2025</w:t>
            </w:r>
          </w:p>
        </w:tc>
        <w:tc>
          <w:tcPr>
            <w:tcW w:w="4553" w:type="dxa"/>
            <w:shd w:val="clear" w:color="auto" w:fill="C6EFCE"/>
            <w:noWrap/>
          </w:tcPr>
          <w:p w14:paraId="2A6ACEE9" w14:textId="77777777" w:rsidR="00A00259" w:rsidRDefault="00371282">
            <w:pPr>
              <w:pStyle w:val="P68B1DB1-Normal12"/>
              <w:numPr>
                <w:ilvl w:val="0"/>
                <w:numId w:val="34"/>
              </w:numPr>
              <w:spacing w:before="120" w:after="0" w:line="259" w:lineRule="auto"/>
              <w:contextualSpacing/>
              <w:jc w:val="both"/>
              <w:rPr>
                <w:rFonts w:eastAsia="Times New Roman"/>
                <w:noProof/>
              </w:rPr>
            </w:pPr>
            <w:r>
              <w:rPr>
                <w:noProof/>
              </w:rPr>
              <w:t>Livraison du système de gestion de flotte GPS pour les véhicules des services d'incendie, les véhicules de protection civile des régions et des municipalités. mise à niveau du système d’information «engage»;</w:t>
            </w:r>
          </w:p>
          <w:p w14:paraId="5E907A7D" w14:textId="1E0B5215" w:rsidR="00A00259" w:rsidRDefault="00371282">
            <w:pPr>
              <w:pStyle w:val="P68B1DB1-Normal12"/>
              <w:numPr>
                <w:ilvl w:val="0"/>
                <w:numId w:val="34"/>
              </w:numPr>
              <w:spacing w:before="120" w:after="0" w:line="259" w:lineRule="auto"/>
              <w:contextualSpacing/>
              <w:jc w:val="both"/>
              <w:rPr>
                <w:rFonts w:eastAsia="Times New Roman"/>
                <w:noProof/>
              </w:rPr>
            </w:pPr>
            <w:r>
              <w:rPr>
                <w:noProof/>
              </w:rPr>
              <w:t>Mise en place de stations météorologiques d ' alerte rapide en cas de catastrophe naturelle;</w:t>
            </w:r>
          </w:p>
          <w:p w14:paraId="67B7EFF0" w14:textId="77777777" w:rsidR="00A00259" w:rsidRDefault="00371282">
            <w:pPr>
              <w:pStyle w:val="P68B1DB1-Normal12"/>
              <w:numPr>
                <w:ilvl w:val="0"/>
                <w:numId w:val="34"/>
              </w:numPr>
              <w:spacing w:before="120" w:after="0" w:line="259" w:lineRule="auto"/>
              <w:contextualSpacing/>
              <w:jc w:val="both"/>
              <w:rPr>
                <w:rFonts w:eastAsia="Times New Roman"/>
                <w:noProof/>
              </w:rPr>
            </w:pPr>
            <w:r>
              <w:rPr>
                <w:noProof/>
              </w:rPr>
              <w:t>Fourniture de stations de communication d'urgence et fourniture de données climatiques sur les zones d'intérêt (radars);</w:t>
            </w:r>
          </w:p>
          <w:p w14:paraId="167CC4EC" w14:textId="64A660FE" w:rsidR="00A00259" w:rsidRDefault="00371282">
            <w:pPr>
              <w:pStyle w:val="P68B1DB1-Normal23"/>
              <w:numPr>
                <w:ilvl w:val="0"/>
                <w:numId w:val="34"/>
              </w:numPr>
              <w:spacing w:before="120" w:after="0" w:line="259" w:lineRule="auto"/>
              <w:contextualSpacing/>
              <w:jc w:val="both"/>
              <w:rPr>
                <w:noProof/>
              </w:rPr>
            </w:pPr>
            <w:r>
              <w:rPr>
                <w:noProof/>
              </w:rPr>
              <w:t>Construction et rénovation des bâtiments situés au 37-39, avenue Kifissias, Maroussi. Livraison d'équipements dans les mêmes bâtiments. Services fournis pour le fonctionnement de centres de vaccination à grande échelle en Attique et à Thessalonique;</w:t>
            </w:r>
          </w:p>
          <w:p w14:paraId="4B9B5971" w14:textId="6AA041A7" w:rsidR="00A00259" w:rsidRDefault="00371282">
            <w:pPr>
              <w:pStyle w:val="P68B1DB1-Normal23"/>
              <w:numPr>
                <w:ilvl w:val="0"/>
                <w:numId w:val="34"/>
              </w:numPr>
              <w:spacing w:before="120" w:after="0" w:line="259" w:lineRule="auto"/>
              <w:contextualSpacing/>
              <w:jc w:val="both"/>
              <w:rPr>
                <w:noProof/>
              </w:rPr>
            </w:pPr>
            <w:r>
              <w:rPr>
                <w:noProof/>
              </w:rPr>
              <w:t>Rénovation des bâtiments de l'Académie de protection civile (Villia) et de l'École des pompiers de Tsotyli. Livraison d'équipements, de simulateurs et d'émulateurs;</w:t>
            </w:r>
          </w:p>
          <w:p w14:paraId="546470C0" w14:textId="04B31884" w:rsidR="00A00259" w:rsidRDefault="00371282">
            <w:pPr>
              <w:pStyle w:val="P68B1DB1-Normal23"/>
              <w:numPr>
                <w:ilvl w:val="0"/>
                <w:numId w:val="34"/>
              </w:numPr>
              <w:spacing w:before="120" w:after="0" w:line="259" w:lineRule="auto"/>
              <w:contextualSpacing/>
              <w:jc w:val="both"/>
              <w:rPr>
                <w:noProof/>
              </w:rPr>
            </w:pPr>
            <w:r>
              <w:rPr>
                <w:noProof/>
              </w:rPr>
              <w:t xml:space="preserve">Livraison de trois avions en tant que centres de contrôle et de gestion de la surveillance aérienne. </w:t>
            </w:r>
          </w:p>
        </w:tc>
      </w:tr>
      <w:tr w:rsidR="00A00259" w14:paraId="136D358F" w14:textId="77777777" w:rsidTr="00CE3F9A">
        <w:trPr>
          <w:trHeight w:val="309"/>
          <w:jc w:val="center"/>
        </w:trPr>
        <w:tc>
          <w:tcPr>
            <w:tcW w:w="575" w:type="dxa"/>
            <w:shd w:val="clear" w:color="auto" w:fill="C6EFCE"/>
            <w:noWrap/>
          </w:tcPr>
          <w:p w14:paraId="2253AF6A" w14:textId="77777777" w:rsidR="00A00259" w:rsidRDefault="00371282">
            <w:pPr>
              <w:pStyle w:val="P68B1DB1-Normal12"/>
              <w:rPr>
                <w:rFonts w:eastAsia="Times New Roman"/>
                <w:noProof/>
              </w:rPr>
            </w:pPr>
            <w:r>
              <w:rPr>
                <w:noProof/>
              </w:rPr>
              <w:t>82</w:t>
            </w:r>
          </w:p>
        </w:tc>
        <w:tc>
          <w:tcPr>
            <w:tcW w:w="1680" w:type="dxa"/>
            <w:shd w:val="clear" w:color="auto" w:fill="C6EFCE"/>
            <w:noWrap/>
          </w:tcPr>
          <w:p w14:paraId="7F7D40BB" w14:textId="77777777" w:rsidR="00A00259" w:rsidRDefault="00371282">
            <w:pPr>
              <w:pStyle w:val="P68B1DB1-Normal12"/>
              <w:spacing w:after="0" w:line="240" w:lineRule="auto"/>
              <w:rPr>
                <w:noProof/>
              </w:rPr>
            </w:pPr>
            <w:r>
              <w:rPr>
                <w:noProof/>
              </w:rPr>
              <w:t>4 - 1.4. Utilisation durable des ressources, résilience au changement climatique et protection de l'environnement - 16911_Moyens aériens pour la gestion des crises</w:t>
            </w:r>
          </w:p>
        </w:tc>
        <w:tc>
          <w:tcPr>
            <w:tcW w:w="1143" w:type="dxa"/>
            <w:shd w:val="clear" w:color="auto" w:fill="C6EFCE"/>
            <w:noWrap/>
          </w:tcPr>
          <w:p w14:paraId="0329543A" w14:textId="77777777" w:rsidR="00A00259" w:rsidRDefault="00371282">
            <w:pPr>
              <w:pStyle w:val="P68B1DB1-Normal12"/>
              <w:spacing w:after="0" w:line="240" w:lineRule="auto"/>
              <w:rPr>
                <w:noProof/>
              </w:rPr>
            </w:pPr>
            <w:r>
              <w:rPr>
                <w:noProof/>
              </w:rPr>
              <w:t>Étape</w:t>
            </w:r>
          </w:p>
        </w:tc>
        <w:tc>
          <w:tcPr>
            <w:tcW w:w="1277" w:type="dxa"/>
            <w:shd w:val="clear" w:color="auto" w:fill="C6EFCE"/>
            <w:noWrap/>
          </w:tcPr>
          <w:p w14:paraId="6390E626" w14:textId="77777777" w:rsidR="00A00259" w:rsidRDefault="00371282">
            <w:pPr>
              <w:pStyle w:val="P68B1DB1-Normal12"/>
              <w:spacing w:after="0" w:line="240" w:lineRule="auto"/>
              <w:rPr>
                <w:noProof/>
              </w:rPr>
            </w:pPr>
            <w:r>
              <w:rPr>
                <w:noProof/>
              </w:rPr>
              <w:t>Achèvement du projet de moyens aériens pour la gestion des crises</w:t>
            </w:r>
          </w:p>
        </w:tc>
        <w:tc>
          <w:tcPr>
            <w:tcW w:w="1320" w:type="dxa"/>
            <w:shd w:val="clear" w:color="auto" w:fill="C6EFCE"/>
            <w:noWrap/>
          </w:tcPr>
          <w:p w14:paraId="48DA18AC" w14:textId="77777777" w:rsidR="00A00259" w:rsidRDefault="00371282">
            <w:pPr>
              <w:pStyle w:val="P68B1DB1-Normal12"/>
              <w:spacing w:after="0" w:line="240" w:lineRule="auto"/>
              <w:rPr>
                <w:noProof/>
              </w:rPr>
            </w:pPr>
            <w:r>
              <w:rPr>
                <w:noProof/>
              </w:rPr>
              <w:t>Fourniture de moyens aériens pour la gestion des crises</w:t>
            </w:r>
          </w:p>
        </w:tc>
        <w:tc>
          <w:tcPr>
            <w:tcW w:w="1200" w:type="dxa"/>
            <w:shd w:val="clear" w:color="auto" w:fill="C6EFCE"/>
            <w:noWrap/>
          </w:tcPr>
          <w:p w14:paraId="71F1594B" w14:textId="77777777" w:rsidR="00A00259" w:rsidRDefault="00A00259">
            <w:pPr>
              <w:rPr>
                <w:rFonts w:ascii="Times New Roman" w:eastAsia="Times New Roman" w:hAnsi="Times New Roman" w:cs="Times New Roman"/>
                <w:noProof/>
                <w:color w:val="006100"/>
                <w:sz w:val="18"/>
                <w:szCs w:val="18"/>
              </w:rPr>
            </w:pPr>
          </w:p>
        </w:tc>
        <w:tc>
          <w:tcPr>
            <w:tcW w:w="960" w:type="dxa"/>
            <w:shd w:val="clear" w:color="auto" w:fill="C6EFCE"/>
            <w:noWrap/>
          </w:tcPr>
          <w:p w14:paraId="52FB9824" w14:textId="77777777" w:rsidR="00A00259" w:rsidRDefault="00A00259">
            <w:pPr>
              <w:rPr>
                <w:rFonts w:ascii="Times New Roman" w:eastAsia="Times New Roman" w:hAnsi="Times New Roman" w:cs="Times New Roman"/>
                <w:noProof/>
                <w:color w:val="006100"/>
                <w:sz w:val="18"/>
                <w:szCs w:val="18"/>
              </w:rPr>
            </w:pPr>
          </w:p>
        </w:tc>
        <w:tc>
          <w:tcPr>
            <w:tcW w:w="960" w:type="dxa"/>
            <w:shd w:val="clear" w:color="auto" w:fill="C6EFCE"/>
            <w:noWrap/>
          </w:tcPr>
          <w:p w14:paraId="19088DB3" w14:textId="77777777" w:rsidR="00A00259" w:rsidRDefault="00A00259">
            <w:pPr>
              <w:rPr>
                <w:rFonts w:ascii="Times New Roman" w:eastAsia="Times New Roman" w:hAnsi="Times New Roman" w:cs="Times New Roman"/>
                <w:noProof/>
                <w:color w:val="006100"/>
                <w:sz w:val="18"/>
                <w:szCs w:val="18"/>
              </w:rPr>
            </w:pPr>
          </w:p>
        </w:tc>
        <w:tc>
          <w:tcPr>
            <w:tcW w:w="1033" w:type="dxa"/>
            <w:shd w:val="clear" w:color="auto" w:fill="C6EFCE"/>
            <w:noWrap/>
          </w:tcPr>
          <w:p w14:paraId="7830BFBA" w14:textId="77777777" w:rsidR="00A00259" w:rsidRDefault="00371282">
            <w:pPr>
              <w:pStyle w:val="P68B1DB1-Normal12"/>
              <w:rPr>
                <w:rFonts w:eastAsia="Times New Roman"/>
                <w:noProof/>
              </w:rPr>
            </w:pPr>
            <w:r>
              <w:rPr>
                <w:noProof/>
              </w:rPr>
              <w:t>T4</w:t>
            </w:r>
          </w:p>
        </w:tc>
        <w:tc>
          <w:tcPr>
            <w:tcW w:w="887" w:type="dxa"/>
            <w:shd w:val="clear" w:color="auto" w:fill="C6EFCE"/>
            <w:noWrap/>
          </w:tcPr>
          <w:p w14:paraId="01382927" w14:textId="77777777" w:rsidR="00A00259" w:rsidRDefault="00371282">
            <w:pPr>
              <w:pStyle w:val="P68B1DB1-Normal12"/>
              <w:rPr>
                <w:rFonts w:eastAsia="Times New Roman"/>
                <w:noProof/>
              </w:rPr>
            </w:pPr>
            <w:r>
              <w:rPr>
                <w:noProof/>
              </w:rPr>
              <w:t>2025</w:t>
            </w:r>
          </w:p>
        </w:tc>
        <w:tc>
          <w:tcPr>
            <w:tcW w:w="4553" w:type="dxa"/>
            <w:shd w:val="clear" w:color="auto" w:fill="C6EFCE"/>
            <w:noWrap/>
          </w:tcPr>
          <w:p w14:paraId="628F63E7" w14:textId="77777777" w:rsidR="00A00259" w:rsidRDefault="00371282">
            <w:pPr>
              <w:pStyle w:val="P68B1DB1-Normal23"/>
              <w:tabs>
                <w:tab w:val="center" w:pos="2168"/>
              </w:tabs>
              <w:rPr>
                <w:noProof/>
              </w:rPr>
            </w:pPr>
            <w:r>
              <w:rPr>
                <w:noProof/>
              </w:rPr>
              <w:t>Livraison de:</w:t>
            </w:r>
            <w:r>
              <w:rPr>
                <w:noProof/>
              </w:rPr>
              <w:tab/>
            </w:r>
          </w:p>
          <w:p w14:paraId="31F8919A" w14:textId="77777777" w:rsidR="00A00259" w:rsidRDefault="00371282">
            <w:pPr>
              <w:pStyle w:val="P68B1DB1-Normal12"/>
              <w:numPr>
                <w:ilvl w:val="0"/>
                <w:numId w:val="35"/>
              </w:numPr>
              <w:spacing w:before="120" w:after="0" w:line="259" w:lineRule="auto"/>
              <w:contextualSpacing/>
              <w:jc w:val="both"/>
              <w:rPr>
                <w:rFonts w:eastAsia="Times New Roman"/>
                <w:noProof/>
              </w:rPr>
            </w:pPr>
            <w:r>
              <w:rPr>
                <w:noProof/>
              </w:rPr>
              <w:t>2 hélicoptères utilitaires de taille moyenne à usage médical;</w:t>
            </w:r>
          </w:p>
          <w:p w14:paraId="27F6897A" w14:textId="53039A0D" w:rsidR="00A00259" w:rsidRDefault="00371282">
            <w:pPr>
              <w:pStyle w:val="P68B1DB1-Normal12"/>
              <w:numPr>
                <w:ilvl w:val="0"/>
                <w:numId w:val="35"/>
              </w:numPr>
              <w:spacing w:before="120" w:after="0" w:line="259" w:lineRule="auto"/>
              <w:contextualSpacing/>
              <w:jc w:val="both"/>
              <w:rPr>
                <w:rFonts w:eastAsia="Times New Roman"/>
                <w:noProof/>
              </w:rPr>
            </w:pPr>
            <w:r>
              <w:rPr>
                <w:noProof/>
              </w:rPr>
              <w:t>2 hélicoptères de lutte contre l’incendie de taille moyenne à l’issue des essais au sol;</w:t>
            </w:r>
          </w:p>
          <w:p w14:paraId="3804E091" w14:textId="77777777" w:rsidR="00A00259" w:rsidRDefault="00371282">
            <w:pPr>
              <w:pStyle w:val="P68B1DB1-Normal12"/>
              <w:numPr>
                <w:ilvl w:val="0"/>
                <w:numId w:val="35"/>
              </w:numPr>
              <w:spacing w:before="120" w:after="0" w:line="259" w:lineRule="auto"/>
              <w:contextualSpacing/>
              <w:jc w:val="both"/>
              <w:rPr>
                <w:rFonts w:eastAsia="Times New Roman"/>
                <w:noProof/>
              </w:rPr>
            </w:pPr>
            <w:r>
              <w:rPr>
                <w:noProof/>
              </w:rPr>
              <w:t>1 hélicoptère pour le transport de l’équipe de gestion des incidents du GSCP.</w:t>
            </w:r>
          </w:p>
          <w:p w14:paraId="2E27ECF3" w14:textId="77777777" w:rsidR="00A00259" w:rsidRDefault="00A00259">
            <w:pPr>
              <w:spacing w:before="120" w:after="0" w:line="259" w:lineRule="auto"/>
              <w:contextualSpacing/>
              <w:jc w:val="both"/>
              <w:rPr>
                <w:rFonts w:ascii="Times New Roman" w:eastAsia="Times New Roman" w:hAnsi="Times New Roman" w:cs="Times New Roman"/>
                <w:noProof/>
                <w:color w:val="006100"/>
                <w:sz w:val="18"/>
                <w:szCs w:val="18"/>
              </w:rPr>
            </w:pPr>
          </w:p>
          <w:p w14:paraId="4CB9EAB0" w14:textId="77777777" w:rsidR="00A00259" w:rsidRDefault="00371282">
            <w:pPr>
              <w:pStyle w:val="P68B1DB1-Normal23"/>
              <w:spacing w:before="120" w:after="0" w:line="259" w:lineRule="auto"/>
              <w:contextualSpacing/>
              <w:jc w:val="both"/>
              <w:rPr>
                <w:noProof/>
              </w:rPr>
            </w:pPr>
            <w:r>
              <w:rPr>
                <w:noProof/>
              </w:rPr>
              <w:t>Tous les aéronefs à usage spécial doivent représenter les meilleures performances environnementales disponibles dans leur catégorie.</w:t>
            </w:r>
          </w:p>
        </w:tc>
      </w:tr>
      <w:tr w:rsidR="00A00259" w14:paraId="0EAA6D69" w14:textId="77777777" w:rsidTr="00CE3F9A">
        <w:trPr>
          <w:trHeight w:val="309"/>
          <w:jc w:val="center"/>
        </w:trPr>
        <w:tc>
          <w:tcPr>
            <w:tcW w:w="575" w:type="dxa"/>
            <w:shd w:val="clear" w:color="auto" w:fill="C6EFCE"/>
            <w:noWrap/>
          </w:tcPr>
          <w:p w14:paraId="5FAC7DB2" w14:textId="77777777" w:rsidR="00A00259" w:rsidRDefault="00371282">
            <w:pPr>
              <w:pStyle w:val="P68B1DB1-Normal12"/>
              <w:rPr>
                <w:rFonts w:eastAsia="Times New Roman"/>
                <w:noProof/>
              </w:rPr>
            </w:pPr>
            <w:r>
              <w:rPr>
                <w:noProof/>
              </w:rPr>
              <w:t>83</w:t>
            </w:r>
          </w:p>
        </w:tc>
        <w:tc>
          <w:tcPr>
            <w:tcW w:w="1680" w:type="dxa"/>
            <w:shd w:val="clear" w:color="auto" w:fill="C6EFCE"/>
            <w:noWrap/>
          </w:tcPr>
          <w:p w14:paraId="775F1231" w14:textId="77777777" w:rsidR="00A00259" w:rsidRDefault="00371282">
            <w:pPr>
              <w:pStyle w:val="P68B1DB1-Normal12"/>
              <w:spacing w:after="0" w:line="240" w:lineRule="auto"/>
              <w:rPr>
                <w:noProof/>
              </w:rPr>
            </w:pPr>
            <w:r>
              <w:rPr>
                <w:noProof/>
              </w:rPr>
              <w:t>4 - 1.4. Utilisation durable des ressources, résilience au changement climatique et protection de l'environnement - 16912_Équipements forestiers de lutte contre les incendies, de prévention et d'intervention</w:t>
            </w:r>
          </w:p>
        </w:tc>
        <w:tc>
          <w:tcPr>
            <w:tcW w:w="1143" w:type="dxa"/>
            <w:shd w:val="clear" w:color="auto" w:fill="C6EFCE"/>
            <w:noWrap/>
          </w:tcPr>
          <w:p w14:paraId="1549DDA9" w14:textId="77777777" w:rsidR="00A00259" w:rsidRDefault="00371282">
            <w:pPr>
              <w:pStyle w:val="P68B1DB1-Normal12"/>
              <w:spacing w:after="0" w:line="240" w:lineRule="auto"/>
              <w:rPr>
                <w:noProof/>
              </w:rPr>
            </w:pPr>
            <w:r>
              <w:rPr>
                <w:noProof/>
              </w:rPr>
              <w:t>Étape</w:t>
            </w:r>
          </w:p>
        </w:tc>
        <w:tc>
          <w:tcPr>
            <w:tcW w:w="1277" w:type="dxa"/>
            <w:shd w:val="clear" w:color="auto" w:fill="C6EFCE"/>
            <w:noWrap/>
          </w:tcPr>
          <w:p w14:paraId="4DC9599C" w14:textId="77777777" w:rsidR="00A00259" w:rsidRDefault="00371282">
            <w:pPr>
              <w:pStyle w:val="P68B1DB1-Normal12"/>
              <w:spacing w:after="0" w:line="240" w:lineRule="auto"/>
              <w:rPr>
                <w:noProof/>
              </w:rPr>
            </w:pPr>
            <w:r>
              <w:rPr>
                <w:noProof/>
              </w:rPr>
              <w:t>Achèvement du matériel de lutte contre les forêts</w:t>
            </w:r>
          </w:p>
        </w:tc>
        <w:tc>
          <w:tcPr>
            <w:tcW w:w="1320" w:type="dxa"/>
            <w:shd w:val="clear" w:color="auto" w:fill="C6EFCE"/>
            <w:noWrap/>
          </w:tcPr>
          <w:p w14:paraId="407F9EDF" w14:textId="77777777" w:rsidR="00A00259" w:rsidRDefault="00371282">
            <w:pPr>
              <w:pStyle w:val="P68B1DB1-Normal12"/>
              <w:spacing w:after="0" w:line="240" w:lineRule="auto"/>
              <w:rPr>
                <w:noProof/>
              </w:rPr>
            </w:pPr>
            <w:r>
              <w:rPr>
                <w:noProof/>
              </w:rPr>
              <w:t>Livraison de matériel de lutte contre l'incendie et d'intervention</w:t>
            </w:r>
          </w:p>
        </w:tc>
        <w:tc>
          <w:tcPr>
            <w:tcW w:w="1200" w:type="dxa"/>
            <w:shd w:val="clear" w:color="auto" w:fill="C6EFCE"/>
            <w:noWrap/>
          </w:tcPr>
          <w:p w14:paraId="7AFEABBF" w14:textId="77777777" w:rsidR="00A00259" w:rsidRDefault="00A00259">
            <w:pPr>
              <w:rPr>
                <w:rFonts w:ascii="Times New Roman" w:eastAsia="Times New Roman" w:hAnsi="Times New Roman" w:cs="Times New Roman"/>
                <w:noProof/>
                <w:color w:val="006100"/>
                <w:sz w:val="18"/>
                <w:szCs w:val="18"/>
              </w:rPr>
            </w:pPr>
          </w:p>
        </w:tc>
        <w:tc>
          <w:tcPr>
            <w:tcW w:w="960" w:type="dxa"/>
            <w:shd w:val="clear" w:color="auto" w:fill="C6EFCE"/>
            <w:noWrap/>
          </w:tcPr>
          <w:p w14:paraId="170FBD51" w14:textId="77777777" w:rsidR="00A00259" w:rsidRDefault="00A00259">
            <w:pPr>
              <w:rPr>
                <w:rFonts w:ascii="Times New Roman" w:eastAsia="Times New Roman" w:hAnsi="Times New Roman" w:cs="Times New Roman"/>
                <w:noProof/>
                <w:color w:val="006100"/>
                <w:sz w:val="18"/>
                <w:szCs w:val="18"/>
              </w:rPr>
            </w:pPr>
          </w:p>
        </w:tc>
        <w:tc>
          <w:tcPr>
            <w:tcW w:w="960" w:type="dxa"/>
            <w:shd w:val="clear" w:color="auto" w:fill="C6EFCE"/>
            <w:noWrap/>
          </w:tcPr>
          <w:p w14:paraId="51DE9AE0" w14:textId="77777777" w:rsidR="00A00259" w:rsidRDefault="00A00259">
            <w:pPr>
              <w:rPr>
                <w:rFonts w:ascii="Times New Roman" w:eastAsia="Times New Roman" w:hAnsi="Times New Roman" w:cs="Times New Roman"/>
                <w:noProof/>
                <w:color w:val="006100"/>
                <w:sz w:val="18"/>
                <w:szCs w:val="18"/>
              </w:rPr>
            </w:pPr>
          </w:p>
        </w:tc>
        <w:tc>
          <w:tcPr>
            <w:tcW w:w="1033" w:type="dxa"/>
            <w:shd w:val="clear" w:color="auto" w:fill="C6EFCE"/>
            <w:noWrap/>
          </w:tcPr>
          <w:p w14:paraId="63E86408" w14:textId="77777777" w:rsidR="00A00259" w:rsidRDefault="00371282">
            <w:pPr>
              <w:pStyle w:val="P68B1DB1-Normal12"/>
              <w:rPr>
                <w:rFonts w:eastAsia="Times New Roman"/>
                <w:noProof/>
              </w:rPr>
            </w:pPr>
            <w:r>
              <w:rPr>
                <w:noProof/>
              </w:rPr>
              <w:t>T4</w:t>
            </w:r>
          </w:p>
        </w:tc>
        <w:tc>
          <w:tcPr>
            <w:tcW w:w="887" w:type="dxa"/>
            <w:shd w:val="clear" w:color="auto" w:fill="C6EFCE"/>
            <w:noWrap/>
          </w:tcPr>
          <w:p w14:paraId="65526CE2" w14:textId="77777777" w:rsidR="00A00259" w:rsidRDefault="00371282">
            <w:pPr>
              <w:pStyle w:val="P68B1DB1-Normal12"/>
              <w:rPr>
                <w:rFonts w:eastAsia="Times New Roman"/>
                <w:noProof/>
              </w:rPr>
            </w:pPr>
            <w:r>
              <w:rPr>
                <w:noProof/>
              </w:rPr>
              <w:t>2025</w:t>
            </w:r>
          </w:p>
        </w:tc>
        <w:tc>
          <w:tcPr>
            <w:tcW w:w="4553" w:type="dxa"/>
            <w:shd w:val="clear" w:color="auto" w:fill="C6EFCE"/>
            <w:noWrap/>
          </w:tcPr>
          <w:p w14:paraId="2627FC1C" w14:textId="77777777" w:rsidR="00A00259" w:rsidRDefault="00371282">
            <w:pPr>
              <w:pStyle w:val="P68B1DB1-Normal23"/>
              <w:rPr>
                <w:noProof/>
              </w:rPr>
            </w:pPr>
            <w:r>
              <w:rPr>
                <w:noProof/>
              </w:rPr>
              <w:t>Livraison de:</w:t>
            </w:r>
          </w:p>
          <w:p w14:paraId="66FF8820" w14:textId="77777777" w:rsidR="00A00259" w:rsidRDefault="00371282">
            <w:pPr>
              <w:pStyle w:val="P68B1DB1-Normal12"/>
              <w:numPr>
                <w:ilvl w:val="0"/>
                <w:numId w:val="36"/>
              </w:numPr>
              <w:spacing w:before="120" w:after="0" w:line="259" w:lineRule="auto"/>
              <w:contextualSpacing/>
              <w:jc w:val="both"/>
              <w:rPr>
                <w:rFonts w:eastAsia="Times New Roman"/>
                <w:noProof/>
              </w:rPr>
            </w:pPr>
            <w:r>
              <w:rPr>
                <w:noProof/>
              </w:rPr>
              <w:t>les moteurs d'incendie et autres véhicules d'intervention, ainsi que les équipements;</w:t>
            </w:r>
          </w:p>
          <w:p w14:paraId="7416182D" w14:textId="77777777" w:rsidR="00A00259" w:rsidRDefault="00371282">
            <w:pPr>
              <w:pStyle w:val="P68B1DB1-Normal12"/>
              <w:numPr>
                <w:ilvl w:val="0"/>
                <w:numId w:val="36"/>
              </w:numPr>
              <w:spacing w:before="120" w:after="0" w:line="259" w:lineRule="auto"/>
              <w:contextualSpacing/>
              <w:jc w:val="both"/>
              <w:rPr>
                <w:rFonts w:eastAsia="Times New Roman"/>
                <w:noProof/>
              </w:rPr>
            </w:pPr>
            <w:r>
              <w:rPr>
                <w:noProof/>
              </w:rPr>
              <w:t xml:space="preserve">ponts transportables pliables. </w:t>
            </w:r>
          </w:p>
        </w:tc>
      </w:tr>
      <w:tr w:rsidR="00A00259" w14:paraId="55BE7B3A" w14:textId="77777777" w:rsidTr="00CE3F9A">
        <w:trPr>
          <w:trHeight w:val="309"/>
          <w:jc w:val="center"/>
        </w:trPr>
        <w:tc>
          <w:tcPr>
            <w:tcW w:w="575" w:type="dxa"/>
            <w:shd w:val="clear" w:color="auto" w:fill="C6EFCE"/>
            <w:noWrap/>
          </w:tcPr>
          <w:p w14:paraId="3B3420BF" w14:textId="77777777" w:rsidR="00A00259" w:rsidRDefault="00371282">
            <w:pPr>
              <w:pStyle w:val="P68B1DB1-Normal12"/>
              <w:rPr>
                <w:rFonts w:eastAsia="Times New Roman"/>
                <w:noProof/>
              </w:rPr>
            </w:pPr>
            <w:r>
              <w:rPr>
                <w:noProof/>
              </w:rPr>
              <w:t>332</w:t>
            </w:r>
          </w:p>
        </w:tc>
        <w:tc>
          <w:tcPr>
            <w:tcW w:w="1680" w:type="dxa"/>
            <w:shd w:val="clear" w:color="auto" w:fill="C6EFCE"/>
            <w:noWrap/>
          </w:tcPr>
          <w:p w14:paraId="59D923CA" w14:textId="2B51EC99" w:rsidR="00A00259" w:rsidRDefault="00371282">
            <w:pPr>
              <w:pStyle w:val="P68B1DB1-Normal12"/>
              <w:spacing w:after="0" w:line="240" w:lineRule="auto"/>
              <w:rPr>
                <w:noProof/>
              </w:rPr>
            </w:pPr>
            <w:r>
              <w:rPr>
                <w:noProof/>
              </w:rPr>
              <w:t>4 - 1.4. «Utilisation durable des ressources, résilience au changement climatique et protection de l’environnement» – 16983_Inspection primaire de la résistance sismique des bâtiments ou des installations sportives</w:t>
            </w:r>
          </w:p>
        </w:tc>
        <w:tc>
          <w:tcPr>
            <w:tcW w:w="1143" w:type="dxa"/>
            <w:shd w:val="clear" w:color="auto" w:fill="C6EFCE"/>
            <w:noWrap/>
          </w:tcPr>
          <w:p w14:paraId="7A3EE581" w14:textId="77777777" w:rsidR="00A00259" w:rsidRDefault="00371282">
            <w:pPr>
              <w:pStyle w:val="P68B1DB1-Normal12"/>
              <w:spacing w:after="0" w:line="240" w:lineRule="auto"/>
              <w:rPr>
                <w:noProof/>
              </w:rPr>
            </w:pPr>
            <w:r>
              <w:rPr>
                <w:noProof/>
              </w:rPr>
              <w:t>Étape</w:t>
            </w:r>
          </w:p>
        </w:tc>
        <w:tc>
          <w:tcPr>
            <w:tcW w:w="1277" w:type="dxa"/>
            <w:shd w:val="clear" w:color="auto" w:fill="C6EFCE"/>
            <w:noWrap/>
          </w:tcPr>
          <w:p w14:paraId="59F77FFF" w14:textId="00EE72CB" w:rsidR="00A00259" w:rsidRDefault="00371282">
            <w:pPr>
              <w:pStyle w:val="P68B1DB1-Normal12"/>
              <w:spacing w:after="0" w:line="240" w:lineRule="auto"/>
              <w:rPr>
                <w:noProof/>
              </w:rPr>
            </w:pPr>
            <w:r>
              <w:rPr>
                <w:noProof/>
              </w:rPr>
              <w:t>Achèvement des inspections sismiques primaires</w:t>
            </w:r>
          </w:p>
        </w:tc>
        <w:tc>
          <w:tcPr>
            <w:tcW w:w="1320" w:type="dxa"/>
            <w:shd w:val="clear" w:color="auto" w:fill="C6EFCE"/>
            <w:noWrap/>
          </w:tcPr>
          <w:p w14:paraId="06F6367A" w14:textId="3758AB29" w:rsidR="00A00259" w:rsidRDefault="00371282">
            <w:pPr>
              <w:pStyle w:val="P68B1DB1-Normal12"/>
              <w:spacing w:after="0" w:line="240" w:lineRule="auto"/>
              <w:rPr>
                <w:noProof/>
              </w:rPr>
            </w:pPr>
            <w:r>
              <w:rPr>
                <w:noProof/>
              </w:rPr>
              <w:t>Certificats d'inspection primaire délivrés pour des bâtiments ou des installations sportives</w:t>
            </w:r>
          </w:p>
        </w:tc>
        <w:tc>
          <w:tcPr>
            <w:tcW w:w="1200" w:type="dxa"/>
            <w:shd w:val="clear" w:color="auto" w:fill="C6EFCE"/>
            <w:noWrap/>
          </w:tcPr>
          <w:p w14:paraId="2E949BD2" w14:textId="77777777" w:rsidR="00A00259" w:rsidRDefault="00A00259">
            <w:pPr>
              <w:rPr>
                <w:rFonts w:ascii="Times New Roman" w:eastAsia="Times New Roman" w:hAnsi="Times New Roman" w:cs="Times New Roman"/>
                <w:noProof/>
                <w:color w:val="006100"/>
                <w:sz w:val="18"/>
                <w:szCs w:val="18"/>
              </w:rPr>
            </w:pPr>
          </w:p>
        </w:tc>
        <w:tc>
          <w:tcPr>
            <w:tcW w:w="960" w:type="dxa"/>
            <w:shd w:val="clear" w:color="auto" w:fill="C6EFCE"/>
            <w:noWrap/>
          </w:tcPr>
          <w:p w14:paraId="162A954B" w14:textId="77777777" w:rsidR="00A00259" w:rsidRDefault="00A00259">
            <w:pPr>
              <w:rPr>
                <w:rFonts w:ascii="Times New Roman" w:eastAsia="Times New Roman" w:hAnsi="Times New Roman" w:cs="Times New Roman"/>
                <w:noProof/>
                <w:color w:val="006100"/>
                <w:sz w:val="18"/>
                <w:szCs w:val="18"/>
              </w:rPr>
            </w:pPr>
          </w:p>
        </w:tc>
        <w:tc>
          <w:tcPr>
            <w:tcW w:w="960" w:type="dxa"/>
            <w:shd w:val="clear" w:color="auto" w:fill="C6EFCE"/>
            <w:noWrap/>
          </w:tcPr>
          <w:p w14:paraId="7AAE1517" w14:textId="77777777" w:rsidR="00A00259" w:rsidRDefault="00A00259">
            <w:pPr>
              <w:rPr>
                <w:rFonts w:ascii="Times New Roman" w:eastAsia="Times New Roman" w:hAnsi="Times New Roman" w:cs="Times New Roman"/>
                <w:noProof/>
                <w:color w:val="006100"/>
                <w:sz w:val="18"/>
                <w:szCs w:val="18"/>
              </w:rPr>
            </w:pPr>
          </w:p>
        </w:tc>
        <w:tc>
          <w:tcPr>
            <w:tcW w:w="1033" w:type="dxa"/>
            <w:shd w:val="clear" w:color="auto" w:fill="C6EFCE"/>
            <w:noWrap/>
          </w:tcPr>
          <w:p w14:paraId="036C1210" w14:textId="77777777" w:rsidR="00A00259" w:rsidRDefault="00371282">
            <w:pPr>
              <w:pStyle w:val="P68B1DB1-Normal12"/>
              <w:rPr>
                <w:rFonts w:eastAsia="Times New Roman"/>
                <w:noProof/>
              </w:rPr>
            </w:pPr>
            <w:r>
              <w:rPr>
                <w:noProof/>
              </w:rPr>
              <w:t>T1</w:t>
            </w:r>
          </w:p>
        </w:tc>
        <w:tc>
          <w:tcPr>
            <w:tcW w:w="887" w:type="dxa"/>
            <w:shd w:val="clear" w:color="auto" w:fill="C6EFCE"/>
            <w:noWrap/>
          </w:tcPr>
          <w:p w14:paraId="63FDA948" w14:textId="77777777" w:rsidR="00A00259" w:rsidRDefault="00371282">
            <w:pPr>
              <w:pStyle w:val="P68B1DB1-Normal12"/>
              <w:rPr>
                <w:rFonts w:eastAsia="Times New Roman"/>
                <w:noProof/>
              </w:rPr>
            </w:pPr>
            <w:r>
              <w:rPr>
                <w:noProof/>
              </w:rPr>
              <w:t>2025</w:t>
            </w:r>
          </w:p>
        </w:tc>
        <w:tc>
          <w:tcPr>
            <w:tcW w:w="4553" w:type="dxa"/>
            <w:shd w:val="clear" w:color="auto" w:fill="C6EFCE"/>
            <w:noWrap/>
          </w:tcPr>
          <w:p w14:paraId="15541536" w14:textId="1B3C80B8" w:rsidR="00A00259" w:rsidRDefault="00371282">
            <w:pPr>
              <w:pStyle w:val="P68B1DB1-Normal12"/>
              <w:rPr>
                <w:noProof/>
              </w:rPr>
            </w:pPr>
            <w:r>
              <w:rPr>
                <w:noProof/>
              </w:rPr>
              <w:t>43 365 certificats d'inspection primaire de bâtiments ou d'installations sportives délivrés</w:t>
            </w:r>
          </w:p>
        </w:tc>
      </w:tr>
      <w:tr w:rsidR="00A00259" w14:paraId="2F33DFA1" w14:textId="77777777" w:rsidTr="00CE3F9A">
        <w:trPr>
          <w:trHeight w:val="309"/>
          <w:jc w:val="center"/>
        </w:trPr>
        <w:tc>
          <w:tcPr>
            <w:tcW w:w="575" w:type="dxa"/>
            <w:shd w:val="clear" w:color="auto" w:fill="C6EFCE"/>
            <w:noWrap/>
          </w:tcPr>
          <w:p w14:paraId="078A4C45" w14:textId="77777777" w:rsidR="00A00259" w:rsidRDefault="00371282">
            <w:pPr>
              <w:pStyle w:val="P68B1DB1-Normal12"/>
              <w:rPr>
                <w:noProof/>
              </w:rPr>
            </w:pPr>
            <w:r>
              <w:rPr>
                <w:noProof/>
              </w:rPr>
              <w:t>385</w:t>
            </w:r>
          </w:p>
        </w:tc>
        <w:tc>
          <w:tcPr>
            <w:tcW w:w="1680" w:type="dxa"/>
            <w:shd w:val="clear" w:color="auto" w:fill="C6EFCE"/>
            <w:noWrap/>
          </w:tcPr>
          <w:p w14:paraId="5F9CB1A1" w14:textId="77777777" w:rsidR="00A00259" w:rsidRDefault="00371282">
            <w:pPr>
              <w:pStyle w:val="P68B1DB1-Normal12"/>
              <w:spacing w:after="0" w:line="240" w:lineRule="auto"/>
              <w:rPr>
                <w:noProof/>
              </w:rPr>
            </w:pPr>
            <w:r>
              <w:rPr>
                <w:noProof/>
              </w:rPr>
              <w:t>4 - 1.4. Utilisation durable des ressources, résilience au changement climatique et protection de l’environnement – 16404_ Programme de développement des collectivités locales «Antonis Tritsis»</w:t>
            </w:r>
          </w:p>
        </w:tc>
        <w:tc>
          <w:tcPr>
            <w:tcW w:w="1143" w:type="dxa"/>
            <w:shd w:val="clear" w:color="auto" w:fill="C6EFCE"/>
            <w:noWrap/>
          </w:tcPr>
          <w:p w14:paraId="19576108" w14:textId="77777777" w:rsidR="00A00259" w:rsidRDefault="00371282">
            <w:pPr>
              <w:pStyle w:val="P68B1DB1-Normal12"/>
              <w:rPr>
                <w:noProof/>
              </w:rPr>
            </w:pPr>
            <w:r>
              <w:rPr>
                <w:noProof/>
              </w:rPr>
              <w:t>Étape</w:t>
            </w:r>
          </w:p>
        </w:tc>
        <w:tc>
          <w:tcPr>
            <w:tcW w:w="1277" w:type="dxa"/>
            <w:shd w:val="clear" w:color="auto" w:fill="C6EFCE"/>
            <w:noWrap/>
          </w:tcPr>
          <w:p w14:paraId="483226D4" w14:textId="77777777" w:rsidR="00A00259" w:rsidRDefault="00371282">
            <w:pPr>
              <w:pStyle w:val="P68B1DB1-Normal12"/>
              <w:spacing w:after="0" w:line="240" w:lineRule="auto"/>
              <w:rPr>
                <w:noProof/>
              </w:rPr>
            </w:pPr>
            <w:r>
              <w:rPr>
                <w:noProof/>
              </w:rPr>
              <w:t>Programme de développement des collectivités locales «Antonis Tritsis»</w:t>
            </w:r>
          </w:p>
        </w:tc>
        <w:tc>
          <w:tcPr>
            <w:tcW w:w="1320" w:type="dxa"/>
            <w:shd w:val="clear" w:color="auto" w:fill="C6EFCE"/>
            <w:noWrap/>
          </w:tcPr>
          <w:p w14:paraId="47087253" w14:textId="6A46E60A" w:rsidR="00A00259" w:rsidRDefault="00371282">
            <w:pPr>
              <w:pStyle w:val="P68B1DB1-Normal12"/>
              <w:spacing w:after="0" w:line="240" w:lineRule="auto"/>
              <w:rPr>
                <w:noProof/>
              </w:rPr>
            </w:pPr>
            <w:r>
              <w:rPr>
                <w:noProof/>
              </w:rPr>
              <w:t>Réalisation de 83 projets dans le cadre du programme Antonis Tritsis</w:t>
            </w:r>
          </w:p>
        </w:tc>
        <w:tc>
          <w:tcPr>
            <w:tcW w:w="1200" w:type="dxa"/>
            <w:shd w:val="clear" w:color="auto" w:fill="C6EFCE"/>
            <w:noWrap/>
          </w:tcPr>
          <w:p w14:paraId="2A16B5CB" w14:textId="77777777" w:rsidR="00A00259" w:rsidRDefault="00A00259">
            <w:pPr>
              <w:rPr>
                <w:rFonts w:ascii="Times New Roman" w:eastAsia="Times New Roman" w:hAnsi="Times New Roman" w:cs="Times New Roman"/>
                <w:noProof/>
                <w:color w:val="006100"/>
                <w:sz w:val="18"/>
                <w:szCs w:val="18"/>
              </w:rPr>
            </w:pPr>
          </w:p>
        </w:tc>
        <w:tc>
          <w:tcPr>
            <w:tcW w:w="960" w:type="dxa"/>
            <w:shd w:val="clear" w:color="auto" w:fill="C6EFCE"/>
            <w:noWrap/>
          </w:tcPr>
          <w:p w14:paraId="4448E5D7" w14:textId="77777777" w:rsidR="00A00259" w:rsidRDefault="00A00259">
            <w:pPr>
              <w:rPr>
                <w:rFonts w:ascii="Times New Roman" w:eastAsia="Times New Roman" w:hAnsi="Times New Roman" w:cs="Times New Roman"/>
                <w:noProof/>
                <w:color w:val="006100"/>
                <w:sz w:val="18"/>
                <w:szCs w:val="18"/>
              </w:rPr>
            </w:pPr>
          </w:p>
        </w:tc>
        <w:tc>
          <w:tcPr>
            <w:tcW w:w="960" w:type="dxa"/>
            <w:shd w:val="clear" w:color="auto" w:fill="C6EFCE"/>
            <w:noWrap/>
          </w:tcPr>
          <w:p w14:paraId="3BA652AE" w14:textId="77777777" w:rsidR="00A00259" w:rsidRDefault="00A00259">
            <w:pPr>
              <w:rPr>
                <w:rFonts w:ascii="Times New Roman" w:eastAsia="Times New Roman" w:hAnsi="Times New Roman" w:cs="Times New Roman"/>
                <w:noProof/>
                <w:color w:val="006100"/>
                <w:sz w:val="18"/>
                <w:szCs w:val="18"/>
              </w:rPr>
            </w:pPr>
          </w:p>
        </w:tc>
        <w:tc>
          <w:tcPr>
            <w:tcW w:w="1033" w:type="dxa"/>
            <w:shd w:val="clear" w:color="auto" w:fill="C6EFCE"/>
            <w:noWrap/>
          </w:tcPr>
          <w:p w14:paraId="76BEB46D" w14:textId="77777777" w:rsidR="00A00259" w:rsidRDefault="00371282">
            <w:pPr>
              <w:pStyle w:val="P68B1DB1-Normal12"/>
              <w:rPr>
                <w:noProof/>
              </w:rPr>
            </w:pPr>
            <w:r>
              <w:rPr>
                <w:noProof/>
              </w:rPr>
              <w:t>T2</w:t>
            </w:r>
          </w:p>
        </w:tc>
        <w:tc>
          <w:tcPr>
            <w:tcW w:w="887" w:type="dxa"/>
            <w:shd w:val="clear" w:color="auto" w:fill="C6EFCE"/>
            <w:noWrap/>
          </w:tcPr>
          <w:p w14:paraId="0D1CA3ED" w14:textId="77777777" w:rsidR="00A00259" w:rsidRDefault="00371282">
            <w:pPr>
              <w:pStyle w:val="P68B1DB1-Normal12"/>
              <w:rPr>
                <w:noProof/>
              </w:rPr>
            </w:pPr>
            <w:r>
              <w:rPr>
                <w:noProof/>
              </w:rPr>
              <w:t>2025</w:t>
            </w:r>
          </w:p>
        </w:tc>
        <w:tc>
          <w:tcPr>
            <w:tcW w:w="4553" w:type="dxa"/>
            <w:shd w:val="clear" w:color="auto" w:fill="C6EFCE"/>
            <w:noWrap/>
          </w:tcPr>
          <w:p w14:paraId="1EC964FC" w14:textId="3F2DE001" w:rsidR="00A00259" w:rsidRDefault="00371282">
            <w:pPr>
              <w:pStyle w:val="P68B1DB1-Normal12"/>
              <w:rPr>
                <w:rStyle w:val="FootnoteReference"/>
                <w:noProof/>
              </w:rPr>
            </w:pPr>
            <w:r>
              <w:rPr>
                <w:noProof/>
              </w:rPr>
              <w:t>Réalisation de 83 projets dans le cadre du programme Antonis Tritsis. Dans le cas de la construction de systèmes frontaux de traitement des eaux usées, la mesure doit avoir une consommation d’énergie nette nulle et, dans le cas du renouvellement des systèmes frontaux de traitement des eaux usées, la mesure doit entraîner une diminution de la consommation d’énergie moyenne d’au moins 10 % (uniquement par des mesures d’efficacité énergétique et non par des modifications matérielles ou des changements de charge).</w:t>
            </w:r>
          </w:p>
        </w:tc>
      </w:tr>
    </w:tbl>
    <w:p w14:paraId="295C674E" w14:textId="77777777" w:rsidR="00A00259" w:rsidRDefault="00371282">
      <w:pPr>
        <w:spacing w:before="120" w:after="120" w:line="240" w:lineRule="auto"/>
        <w:rPr>
          <w:rFonts w:ascii="Times New Roman" w:hAnsi="Times New Roman" w:cs="Times New Roman"/>
          <w:noProof/>
          <w:sz w:val="2"/>
          <w:szCs w:val="2"/>
        </w:rPr>
        <w:sectPr w:rsidR="00A00259">
          <w:headerReference w:type="even" r:id="rId114"/>
          <w:headerReference w:type="default" r:id="rId115"/>
          <w:footerReference w:type="even" r:id="rId116"/>
          <w:footerReference w:type="default" r:id="rId117"/>
          <w:headerReference w:type="first" r:id="rId118"/>
          <w:footerReference w:type="first" r:id="rId119"/>
          <w:pgSz w:w="16839" w:h="11907" w:orient="landscape"/>
          <w:pgMar w:top="1134" w:right="1134" w:bottom="1134" w:left="1134" w:header="567" w:footer="567" w:gutter="0"/>
          <w:cols w:space="720"/>
          <w:docGrid w:linePitch="360"/>
        </w:sectPr>
      </w:pPr>
      <w:r>
        <w:rPr>
          <w:noProof/>
        </w:rPr>
        <w:tab/>
      </w:r>
    </w:p>
    <w:p w14:paraId="58F3DAE0" w14:textId="77777777" w:rsidR="00A00259" w:rsidRDefault="00371282">
      <w:pPr>
        <w:pStyle w:val="P68B1DB1-ListParagraph3"/>
        <w:numPr>
          <w:ilvl w:val="0"/>
          <w:numId w:val="37"/>
        </w:numPr>
        <w:spacing w:before="120" w:after="120" w:line="240" w:lineRule="auto"/>
        <w:jc w:val="both"/>
        <w:outlineLvl w:val="3"/>
        <w:rPr>
          <w:rFonts w:cs="Times New Roman"/>
          <w:bCs/>
          <w:noProof/>
        </w:rPr>
      </w:pPr>
      <w:r>
        <w:rPr>
          <w:noProof/>
        </w:rPr>
        <w:t>ÉLÉMENT 2.1: CONNECT</w:t>
      </w:r>
    </w:p>
    <w:p w14:paraId="1E209E6A" w14:textId="77777777" w:rsidR="00A00259" w:rsidRDefault="00371282">
      <w:pPr>
        <w:pStyle w:val="P68B1DB1-Normal5"/>
        <w:spacing w:before="120" w:after="120" w:line="240" w:lineRule="auto"/>
        <w:jc w:val="both"/>
        <w:rPr>
          <w:rFonts w:cs="Times New Roman"/>
          <w:noProof/>
        </w:rPr>
      </w:pPr>
      <w:r>
        <w:rPr>
          <w:noProof/>
        </w:rPr>
        <w:t xml:space="preserve">Ce volet </w:t>
      </w:r>
      <w:r>
        <w:rPr>
          <w:noProof/>
          <w:color w:val="000000"/>
        </w:rPr>
        <w:t>du plan grec pour la reprise et la résilience</w:t>
      </w:r>
      <w:r>
        <w:rPr>
          <w:noProof/>
        </w:rPr>
        <w:t xml:space="preserve"> contient des mesures visant à favoriser et à faciliter le déploiement généralisé de réseaux à très haute capacité, y compris la 5G et la fibre optique, conformément aux objectifs de l’UE en matière de connectivité 5G et gigabit pour 2025, ainsi que le développement d’une constellation de petits satellites. Les investissements inclus dans ce volet concernent l’installation d’infrastructures en fibre optique dans les bâtiments et l’utilisation de technologies et d’applications spatiales par le développement d’une constellation de petits satellites qui soutiendront des services de connectivité sécurisés couplés à des applications polyvalentes pour l’observation de la Terre. Les réformes incluses dans ce volet établissent un cadre visant à faciliter le passage à des connexions à haut débit rapides et la transition vers la technologie 5G.</w:t>
      </w:r>
    </w:p>
    <w:p w14:paraId="646A1695" w14:textId="77777777" w:rsidR="00A00259" w:rsidRDefault="00371282">
      <w:pPr>
        <w:pStyle w:val="P68B1DB1-Normal5"/>
        <w:spacing w:before="120" w:after="120" w:line="240" w:lineRule="auto"/>
        <w:jc w:val="both"/>
        <w:rPr>
          <w:rFonts w:cs="Times New Roman"/>
          <w:noProof/>
          <w:szCs w:val="24"/>
        </w:rPr>
      </w:pPr>
      <w:r>
        <w:rPr>
          <w:noProof/>
        </w:rPr>
        <w:t xml:space="preserve">Tous les investissements et réformes proposés répondent aux défis résultant du besoin croissant de connectivité et d’observation et de surveillance de la Terre. Les mesures soutiennent la mise en œuvre de la </w:t>
      </w:r>
      <w:r>
        <w:rPr>
          <w:i/>
          <w:noProof/>
          <w:color w:val="000000" w:themeColor="text1"/>
        </w:rPr>
        <w:t xml:space="preserve">recommandation par pays </w:t>
      </w:r>
      <w:r>
        <w:rPr>
          <w:noProof/>
        </w:rPr>
        <w:t>sur les investissements publics et privés (recommandation</w:t>
      </w:r>
      <w:r>
        <w:rPr>
          <w:i/>
          <w:noProof/>
          <w:color w:val="000000" w:themeColor="text1"/>
        </w:rPr>
        <w:t xml:space="preserve"> par pays no </w:t>
      </w:r>
      <w:r>
        <w:rPr>
          <w:noProof/>
        </w:rPr>
        <w:t>3 de 2020), qui invite la Grèce à concentrer les investissements sur la transition numérique et en particulier sur les infrastructures numériques à très haute capacité. Ils répondent également efficacement à la transition numérique et/ou aux défis qui en découlent, étant donné qu’ils devraient contribuer de manière significative à améliorer la connectivité à très haut débit en Grèce. 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54F1364F" w14:textId="77777777" w:rsidR="00A00259" w:rsidRDefault="00371282">
      <w:pPr>
        <w:pStyle w:val="P68B1DB1-Normal6"/>
        <w:spacing w:before="120" w:after="120" w:line="240" w:lineRule="auto"/>
        <w:jc w:val="both"/>
        <w:rPr>
          <w:rFonts w:cs="Times New Roman"/>
          <w:i/>
          <w:noProof/>
          <w:color w:val="4F81BD"/>
        </w:rPr>
      </w:pPr>
      <w:r>
        <w:rPr>
          <w:noProof/>
        </w:rPr>
        <w:t>E.1. Description des réformes et des investissements pour le soutien financier non remboursable</w:t>
      </w:r>
    </w:p>
    <w:p w14:paraId="44BD48EB"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Petits satellites (ID de mesure: 16855)</w:t>
      </w:r>
    </w:p>
    <w:p w14:paraId="13A1A25A" w14:textId="77777777" w:rsidR="00A00259" w:rsidRDefault="00371282">
      <w:pPr>
        <w:pStyle w:val="P68B1DB1-Normal7"/>
        <w:spacing w:before="120" w:after="120" w:line="240" w:lineRule="auto"/>
        <w:jc w:val="both"/>
        <w:rPr>
          <w:noProof/>
        </w:rPr>
      </w:pPr>
      <w:r>
        <w:rPr>
          <w:noProof/>
        </w:rPr>
        <w:t xml:space="preserve">L'objectif de cet investissement est le lancement et la mise en orbite d'une constellation de petits satellites. L’investissement consiste en une constellation de petits satellites destinés à soutenir les services de connectivité, ainsi que les applications d’observation de la Terre pour la cartographie, le transport maritime, l’agriculture de précision, l’aménagement du territoire, etc. </w:t>
      </w:r>
    </w:p>
    <w:p w14:paraId="52E20491" w14:textId="1FA2D5E2" w:rsidR="00A00259" w:rsidRDefault="00371282">
      <w:pPr>
        <w:pStyle w:val="P68B1DB1-Normal7"/>
        <w:spacing w:before="120" w:after="120" w:line="240" w:lineRule="auto"/>
        <w:jc w:val="both"/>
        <w:rPr>
          <w:noProof/>
        </w:rPr>
      </w:pPr>
      <w:r>
        <w:rPr>
          <w:noProof/>
        </w:rPr>
        <w:t>La mesure comprend également i) la signature d’une modification de l’arrangement relatif au projet d’assistance de l’Agence spatiale européenne (ESA) à la gestion et à la mise en œuvre du projet spatial national grec par satellite entre l’ESA et le ministère de la gouvernance numérique, et ii) un transfert de fonds de 350 000 000 EUR à l’ESA pour soutenir les activités de la phase II prévues dans l’arrangement relatif au projet.</w:t>
      </w:r>
    </w:p>
    <w:p w14:paraId="0DC8136E" w14:textId="77777777" w:rsidR="00A00259" w:rsidRDefault="00371282">
      <w:pPr>
        <w:pStyle w:val="P68B1DB1-Normal5"/>
        <w:spacing w:before="120" w:after="120" w:line="240" w:lineRule="auto"/>
        <w:jc w:val="both"/>
        <w:rPr>
          <w:rFonts w:cs="Times New Roman"/>
          <w:noProof/>
          <w:szCs w:val="24"/>
        </w:rPr>
      </w:pPr>
      <w:r>
        <w:rPr>
          <w:b/>
          <w:noProof/>
        </w:rPr>
        <w:t>Réforme:</w:t>
      </w:r>
      <w:r>
        <w:rPr>
          <w:noProof/>
        </w:rPr>
        <w:t xml:space="preserve"> Transition vers la technologie 5G, facilitant le développement de services à distance innovants (mesure ID: 16844)</w:t>
      </w:r>
    </w:p>
    <w:p w14:paraId="4F9E1516" w14:textId="30C8AF49" w:rsidR="00A00259" w:rsidRDefault="00371282">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L'objectif de cette réforme est d'établir une base pour la transition vers la technologie 5G. Les réformes comprennent l’entrée en vigueur d’un nouveau cadre réglementaire et législatif</w:t>
      </w:r>
      <w:r>
        <w:rPr>
          <w:noProof/>
        </w:rPr>
        <w:t xml:space="preserve"> </w:t>
      </w:r>
      <w:r>
        <w:rPr>
          <w:rFonts w:ascii="Times New Roman" w:hAnsi="Times New Roman"/>
          <w:noProof/>
          <w:sz w:val="24"/>
          <w:szCs w:val="24"/>
        </w:rPr>
        <w:t>pour la transition vers la 5G.</w:t>
      </w:r>
    </w:p>
    <w:p w14:paraId="7E9BDAAF" w14:textId="77777777" w:rsidR="00A00259" w:rsidRDefault="00371282">
      <w:pPr>
        <w:pStyle w:val="P68B1DB1-Normal7"/>
        <w:spacing w:before="120" w:after="120" w:line="240" w:lineRule="auto"/>
        <w:jc w:val="both"/>
        <w:rPr>
          <w:rFonts w:cs="Times New Roman"/>
          <w:noProof/>
        </w:rPr>
      </w:pPr>
      <w:r>
        <w:rPr>
          <w:b/>
          <w:noProof/>
        </w:rPr>
        <w:t xml:space="preserve">Réforme: </w:t>
      </w:r>
      <w:r>
        <w:rPr>
          <w:noProof/>
        </w:rPr>
        <w:t>Passage aux connexions à haut débit gigabit – Transition vers les connexions à haut débit gigabit et renforcement de la demande de haut débit gigabit (mesure ID: 16857)</w:t>
      </w:r>
    </w:p>
    <w:p w14:paraId="3C2168C8" w14:textId="77777777" w:rsidR="00A00259" w:rsidRDefault="00371282">
      <w:pPr>
        <w:pStyle w:val="P68B1DB1-Normal7"/>
        <w:spacing w:before="120" w:after="120" w:line="240" w:lineRule="auto"/>
        <w:jc w:val="both"/>
        <w:rPr>
          <w:noProof/>
        </w:rPr>
      </w:pPr>
      <w:r>
        <w:rPr>
          <w:noProof/>
        </w:rPr>
        <w:t>Cette réforme consiste en l’entrée en vigueur d’un cadre juridique pour la transition vers les connexions au réseau à très haute capacité VHCN grâce à l’installation de fibres optiques et des équipements qui les accompagnent dans les bâtiments, ainsi que de câbles sous-marins dans le cas des îles grecques, permettant une plus grande couverture des connexions à haut débit gigabit. Le cadre juridique définit les spécifications techniques et les règles et procédures pertinentes pour le déploiement d’infrastructures à haut débit internes capables de fournir une connectivité gigabit aux utilisateurs finaux. La mise en œuvre de la réforme est achevée au plus tard le 30 juin 2024.</w:t>
      </w:r>
    </w:p>
    <w:p w14:paraId="68BD8836"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Infrastructures à fibre optique dans les bâtiments (mesure ID: 16818)</w:t>
      </w:r>
    </w:p>
    <w:p w14:paraId="4A1F6B5D" w14:textId="77777777" w:rsidR="00A00259" w:rsidRDefault="00371282">
      <w:pPr>
        <w:pStyle w:val="P68B1DB1-Normal5"/>
        <w:spacing w:before="120" w:after="120" w:line="240" w:lineRule="auto"/>
        <w:jc w:val="both"/>
        <w:rPr>
          <w:rFonts w:cs="Times New Roman"/>
          <w:noProof/>
        </w:rPr>
      </w:pPr>
      <w:r>
        <w:rPr>
          <w:noProof/>
        </w:rPr>
        <w:t xml:space="preserve">L’objectif de cet investissement est de promouvoir l’installation de l’infrastructure de fibre optique dans les bâtiments résidentiels et commerciaux et les logements, ainsi que la connexion des utilisateurs finaux aux réseaux à très haute capacité (VHCN). L’investissement comprend des régimes de subvention de la demande (bons) qui subventionnent a) les coûts du câblage interne et b) les frais de connexion (frais de configuration ponctuels des services à haut débit). </w:t>
      </w:r>
    </w:p>
    <w:p w14:paraId="3A0A682C" w14:textId="7B9E6F9E" w:rsidR="00A00259" w:rsidRDefault="00A00259">
      <w:pPr>
        <w:spacing w:before="120" w:after="120" w:line="240" w:lineRule="auto"/>
        <w:jc w:val="both"/>
        <w:rPr>
          <w:rFonts w:ascii="Times New Roman" w:hAnsi="Times New Roman" w:cs="Times New Roman"/>
          <w:noProof/>
          <w:sz w:val="24"/>
        </w:rPr>
      </w:pPr>
    </w:p>
    <w:p w14:paraId="125B4359" w14:textId="77777777" w:rsidR="00A00259" w:rsidRDefault="00A00259">
      <w:pPr>
        <w:spacing w:before="120" w:after="120" w:line="240" w:lineRule="auto"/>
        <w:jc w:val="both"/>
        <w:rPr>
          <w:rFonts w:ascii="Times New Roman" w:hAnsi="Times New Roman" w:cs="Times New Roman"/>
          <w:noProof/>
          <w:sz w:val="24"/>
        </w:rPr>
        <w:sectPr w:rsidR="00A00259">
          <w:headerReference w:type="even" r:id="rId120"/>
          <w:headerReference w:type="default" r:id="rId121"/>
          <w:footerReference w:type="even" r:id="rId122"/>
          <w:footerReference w:type="default" r:id="rId123"/>
          <w:headerReference w:type="first" r:id="rId124"/>
          <w:footerReference w:type="first" r:id="rId125"/>
          <w:pgSz w:w="11906" w:h="16838"/>
          <w:pgMar w:top="1134" w:right="1134" w:bottom="1134" w:left="1134" w:header="567" w:footer="567" w:gutter="0"/>
          <w:cols w:space="708"/>
          <w:docGrid w:linePitch="360"/>
        </w:sectPr>
      </w:pPr>
    </w:p>
    <w:p w14:paraId="52337B68" w14:textId="77777777" w:rsidR="00A00259" w:rsidRDefault="00371282">
      <w:pPr>
        <w:pStyle w:val="P68B1DB1-Normal6"/>
        <w:spacing w:before="120" w:after="120" w:line="240" w:lineRule="auto"/>
        <w:jc w:val="both"/>
        <w:rPr>
          <w:rFonts w:cs="Times New Roman"/>
          <w:bCs/>
          <w:noProof/>
        </w:rPr>
      </w:pPr>
      <w:r>
        <w:rPr>
          <w:noProof/>
        </w:rPr>
        <w:t>E.2. Étapes, cibles, indicateurs et calendrier pour le suivi et la mise en œuvre du soutien financier non remboursable</w:t>
      </w:r>
    </w:p>
    <w:p w14:paraId="1C1228F7" w14:textId="77777777" w:rsidR="00A00259" w:rsidRDefault="00371282">
      <w:pPr>
        <w:pStyle w:val="P68B1DB1-Normal9"/>
        <w:keepNext/>
        <w:keepLines/>
        <w:spacing w:before="40" w:after="0" w:line="240" w:lineRule="auto"/>
        <w:jc w:val="both"/>
        <w:outlineLvl w:val="4"/>
        <w:rPr>
          <w:rFonts w:eastAsia="Times New Roman"/>
          <w:noProof/>
        </w:rPr>
      </w:pPr>
      <w:r>
        <w:rPr>
          <w:noProof/>
        </w:rPr>
        <w:t>Groupe 8: Connectivité</w:t>
      </w:r>
    </w:p>
    <w:p w14:paraId="7FBA3995" w14:textId="77777777" w:rsidR="00A00259" w:rsidRDefault="00371282">
      <w:pPr>
        <w:pStyle w:val="P68B1DB1-Normal5"/>
        <w:spacing w:before="120" w:after="120" w:line="240" w:lineRule="auto"/>
        <w:jc w:val="both"/>
        <w:rPr>
          <w:rFonts w:cs="Times New Roman"/>
          <w:noProof/>
          <w:szCs w:val="24"/>
        </w:rPr>
      </w:pPr>
      <w:r>
        <w:rPr>
          <w:noProof/>
        </w:rPr>
        <w:t>Les mesures incluses dans ce groupe sont les suivantes:</w:t>
      </w:r>
    </w:p>
    <w:p w14:paraId="26400FA1" w14:textId="77777777" w:rsidR="00A00259" w:rsidRDefault="00371282">
      <w:pPr>
        <w:spacing w:before="120" w:after="120" w:line="240" w:lineRule="auto"/>
        <w:jc w:val="both"/>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Transition vers la technologie 5G, facilitant le développement de services à distance innovants. (ID : 16844)</w:t>
      </w:r>
    </w:p>
    <w:p w14:paraId="02A448C4" w14:textId="77777777" w:rsidR="00A00259" w:rsidRDefault="00371282">
      <w:pPr>
        <w:spacing w:before="120" w:after="120" w:line="240" w:lineRule="auto"/>
        <w:jc w:val="both"/>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Passage aux connexions à haut débit gigabit – Transition vers les connexions à haut débit gigabit et renforcement de la demande de haut débit gigabit (ID: 16857)</w:t>
      </w:r>
    </w:p>
    <w:p w14:paraId="7388404C" w14:textId="77777777" w:rsidR="00A00259" w:rsidRDefault="00371282">
      <w:pPr>
        <w:spacing w:before="120" w:after="120" w:line="240" w:lineRule="auto"/>
        <w:jc w:val="both"/>
        <w:rPr>
          <w:rFonts w:ascii="Times New Roman" w:hAnsi="Times New Roman" w:cs="Times New Roman"/>
          <w:noProof/>
          <w:sz w:val="24"/>
          <w:szCs w:val="24"/>
        </w:rPr>
      </w:pPr>
      <w:r>
        <w:rPr>
          <w:rFonts w:ascii="Times New Roman" w:hAnsi="Times New Roman"/>
          <w:noProof/>
          <w:sz w:val="24"/>
        </w:rPr>
        <w:t>●</w:t>
      </w:r>
      <w:r>
        <w:rPr>
          <w:noProof/>
        </w:rPr>
        <w:t xml:space="preserve"> </w:t>
      </w:r>
      <w:r>
        <w:rPr>
          <w:rFonts w:ascii="Times New Roman" w:hAnsi="Times New Roman"/>
          <w:noProof/>
          <w:sz w:val="24"/>
        </w:rPr>
        <w:t>Infrastructures à fibre optique dans les bâtiments (ID: 16818)</w:t>
      </w:r>
    </w:p>
    <w:p w14:paraId="4D178D2F" w14:textId="77777777" w:rsidR="00A00259" w:rsidRDefault="00371282">
      <w:pPr>
        <w:spacing w:before="120" w:after="120" w:line="240" w:lineRule="auto"/>
        <w:jc w:val="both"/>
        <w:rPr>
          <w:noProof/>
        </w:rPr>
      </w:pPr>
      <w:r>
        <w:rPr>
          <w:rFonts w:ascii="Times New Roman" w:hAnsi="Times New Roman"/>
          <w:noProof/>
          <w:sz w:val="24"/>
        </w:rPr>
        <w:t>●</w:t>
      </w:r>
      <w:r>
        <w:rPr>
          <w:noProof/>
        </w:rPr>
        <w:t xml:space="preserve"> </w:t>
      </w:r>
      <w:r>
        <w:rPr>
          <w:rFonts w:ascii="Times New Roman" w:hAnsi="Times New Roman"/>
          <w:noProof/>
          <w:sz w:val="24"/>
        </w:rPr>
        <w:t>Petits satellites (ID: 16855)</w:t>
      </w:r>
      <w:r>
        <w:rPr>
          <w:noProof/>
        </w:rPr>
        <w:tab/>
      </w:r>
    </w:p>
    <w:tbl>
      <w:tblPr>
        <w:tblW w:w="15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680"/>
        <w:gridCol w:w="1155"/>
        <w:gridCol w:w="1560"/>
        <w:gridCol w:w="2268"/>
        <w:gridCol w:w="1417"/>
        <w:gridCol w:w="992"/>
        <w:gridCol w:w="851"/>
        <w:gridCol w:w="992"/>
        <w:gridCol w:w="842"/>
        <w:gridCol w:w="3402"/>
      </w:tblGrid>
      <w:tr w:rsidR="00A00259" w14:paraId="7BF92D98" w14:textId="77777777">
        <w:trPr>
          <w:trHeight w:val="585"/>
          <w:tblHeader/>
          <w:jc w:val="center"/>
        </w:trPr>
        <w:tc>
          <w:tcPr>
            <w:tcW w:w="588" w:type="dxa"/>
            <w:vMerge w:val="restart"/>
            <w:shd w:val="clear" w:color="auto" w:fill="BDD7EE"/>
            <w:vAlign w:val="center"/>
            <w:hideMark/>
          </w:tcPr>
          <w:p w14:paraId="1B90324C"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Seq. </w:t>
            </w:r>
            <w:r>
              <w:rPr>
                <w:noProof/>
              </w:rPr>
              <w:br/>
              <w:t>Non.</w:t>
            </w:r>
          </w:p>
        </w:tc>
        <w:tc>
          <w:tcPr>
            <w:tcW w:w="1680" w:type="dxa"/>
            <w:vMerge w:val="restart"/>
            <w:shd w:val="clear" w:color="auto" w:fill="BDD7EE"/>
            <w:vAlign w:val="center"/>
            <w:hideMark/>
          </w:tcPr>
          <w:p w14:paraId="05E64882"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155" w:type="dxa"/>
            <w:vMerge w:val="restart"/>
            <w:shd w:val="clear" w:color="auto" w:fill="BDD7EE"/>
            <w:vAlign w:val="center"/>
            <w:hideMark/>
          </w:tcPr>
          <w:p w14:paraId="6E784DDC"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560" w:type="dxa"/>
            <w:vMerge w:val="restart"/>
            <w:shd w:val="clear" w:color="auto" w:fill="BDD7EE"/>
            <w:vAlign w:val="center"/>
            <w:hideMark/>
          </w:tcPr>
          <w:p w14:paraId="184FD853"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2268" w:type="dxa"/>
            <w:vMerge w:val="restart"/>
            <w:shd w:val="clear" w:color="auto" w:fill="BDD7EE"/>
            <w:vAlign w:val="center"/>
            <w:hideMark/>
          </w:tcPr>
          <w:p w14:paraId="4A2AB51A"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3260" w:type="dxa"/>
            <w:gridSpan w:val="3"/>
            <w:shd w:val="clear" w:color="auto" w:fill="BDD7EE"/>
            <w:vAlign w:val="center"/>
            <w:hideMark/>
          </w:tcPr>
          <w:p w14:paraId="63729530" w14:textId="305B82CD" w:rsidR="00A00259" w:rsidRDefault="00371282">
            <w:pPr>
              <w:pStyle w:val="P68B1DB1-Normal18"/>
              <w:spacing w:after="0" w:line="240" w:lineRule="auto"/>
              <w:jc w:val="center"/>
              <w:rPr>
                <w:rFonts w:ascii="Times New Roman" w:eastAsia="Times New Roman" w:hAnsi="Times New Roman" w:cs="Times New Roman"/>
                <w:bCs/>
                <w:noProof/>
                <w:szCs w:val="18"/>
              </w:rPr>
            </w:pPr>
            <w:r>
              <w:rPr>
                <w:rFonts w:ascii="Times New Roman" w:hAnsi="Times New Roman"/>
                <w:noProof/>
              </w:rPr>
              <w:t xml:space="preserve">Indicateurs quantitatifs </w:t>
            </w:r>
            <w:r>
              <w:rPr>
                <w:rFonts w:ascii="Times New Roman" w:hAnsi="Times New Roman" w:cs="Times New Roman"/>
                <w:noProof/>
                <w:szCs w:val="18"/>
              </w:rPr>
              <w:br/>
            </w:r>
            <w:r>
              <w:rPr>
                <w:rFonts w:ascii="Times New Roman" w:hAnsi="Times New Roman"/>
                <w:noProof/>
              </w:rPr>
              <w:t xml:space="preserve"> (pour les objectifs)</w:t>
            </w:r>
          </w:p>
        </w:tc>
        <w:tc>
          <w:tcPr>
            <w:tcW w:w="1834" w:type="dxa"/>
            <w:gridSpan w:val="2"/>
            <w:shd w:val="clear" w:color="auto" w:fill="BDD7EE"/>
            <w:vAlign w:val="center"/>
            <w:hideMark/>
          </w:tcPr>
          <w:p w14:paraId="3DD23E1C"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3402" w:type="dxa"/>
            <w:vMerge w:val="restart"/>
            <w:shd w:val="clear" w:color="auto" w:fill="BDD7EE"/>
            <w:vAlign w:val="center"/>
            <w:hideMark/>
          </w:tcPr>
          <w:p w14:paraId="45A592AF"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38C407AA" w14:textId="77777777" w:rsidTr="00CE3F9A">
        <w:trPr>
          <w:trHeight w:val="372"/>
          <w:tblHeader/>
          <w:jc w:val="center"/>
        </w:trPr>
        <w:tc>
          <w:tcPr>
            <w:tcW w:w="588" w:type="dxa"/>
            <w:vMerge/>
            <w:vAlign w:val="center"/>
            <w:hideMark/>
          </w:tcPr>
          <w:p w14:paraId="2157213F" w14:textId="77777777" w:rsidR="00A00259" w:rsidRDefault="00A00259">
            <w:pPr>
              <w:spacing w:after="0" w:line="240" w:lineRule="auto"/>
              <w:rPr>
                <w:rFonts w:ascii="Times New Roman" w:eastAsia="Times New Roman" w:hAnsi="Times New Roman" w:cs="Times New Roman"/>
                <w:b/>
                <w:bCs/>
                <w:noProof/>
                <w:sz w:val="18"/>
                <w:szCs w:val="18"/>
              </w:rPr>
            </w:pPr>
          </w:p>
        </w:tc>
        <w:tc>
          <w:tcPr>
            <w:tcW w:w="1680" w:type="dxa"/>
            <w:vMerge/>
            <w:vAlign w:val="center"/>
            <w:hideMark/>
          </w:tcPr>
          <w:p w14:paraId="26A33FA3" w14:textId="77777777" w:rsidR="00A00259" w:rsidRDefault="00A00259">
            <w:pPr>
              <w:spacing w:after="0" w:line="240" w:lineRule="auto"/>
              <w:rPr>
                <w:rFonts w:ascii="Times New Roman" w:eastAsia="Times New Roman" w:hAnsi="Times New Roman" w:cs="Times New Roman"/>
                <w:b/>
                <w:bCs/>
                <w:noProof/>
                <w:sz w:val="18"/>
                <w:szCs w:val="18"/>
              </w:rPr>
            </w:pPr>
          </w:p>
        </w:tc>
        <w:tc>
          <w:tcPr>
            <w:tcW w:w="1155" w:type="dxa"/>
            <w:vMerge/>
            <w:vAlign w:val="center"/>
            <w:hideMark/>
          </w:tcPr>
          <w:p w14:paraId="5FCD0A35" w14:textId="77777777" w:rsidR="00A00259" w:rsidRDefault="00A00259">
            <w:pPr>
              <w:spacing w:after="0" w:line="240" w:lineRule="auto"/>
              <w:rPr>
                <w:rFonts w:ascii="Times New Roman" w:eastAsia="Times New Roman" w:hAnsi="Times New Roman" w:cs="Times New Roman"/>
                <w:b/>
                <w:bCs/>
                <w:noProof/>
                <w:sz w:val="18"/>
                <w:szCs w:val="18"/>
              </w:rPr>
            </w:pPr>
          </w:p>
        </w:tc>
        <w:tc>
          <w:tcPr>
            <w:tcW w:w="1560" w:type="dxa"/>
            <w:vMerge/>
            <w:vAlign w:val="center"/>
            <w:hideMark/>
          </w:tcPr>
          <w:p w14:paraId="580D83B8" w14:textId="77777777" w:rsidR="00A00259" w:rsidRDefault="00A00259">
            <w:pPr>
              <w:spacing w:after="0" w:line="240" w:lineRule="auto"/>
              <w:rPr>
                <w:rFonts w:ascii="Times New Roman" w:eastAsia="Times New Roman" w:hAnsi="Times New Roman" w:cs="Times New Roman"/>
                <w:b/>
                <w:bCs/>
                <w:noProof/>
                <w:sz w:val="18"/>
                <w:szCs w:val="18"/>
              </w:rPr>
            </w:pPr>
          </w:p>
        </w:tc>
        <w:tc>
          <w:tcPr>
            <w:tcW w:w="2268" w:type="dxa"/>
            <w:vMerge/>
            <w:vAlign w:val="center"/>
            <w:hideMark/>
          </w:tcPr>
          <w:p w14:paraId="19831C56" w14:textId="77777777" w:rsidR="00A00259" w:rsidRDefault="00A00259">
            <w:pPr>
              <w:spacing w:after="0" w:line="240" w:lineRule="auto"/>
              <w:rPr>
                <w:rFonts w:ascii="Times New Roman" w:eastAsia="Times New Roman" w:hAnsi="Times New Roman" w:cs="Times New Roman"/>
                <w:b/>
                <w:bCs/>
                <w:noProof/>
                <w:sz w:val="18"/>
                <w:szCs w:val="18"/>
              </w:rPr>
            </w:pPr>
          </w:p>
        </w:tc>
        <w:tc>
          <w:tcPr>
            <w:tcW w:w="1417" w:type="dxa"/>
            <w:shd w:val="clear" w:color="auto" w:fill="BDD7EE"/>
            <w:vAlign w:val="center"/>
            <w:hideMark/>
          </w:tcPr>
          <w:p w14:paraId="55E2D7B2"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992" w:type="dxa"/>
            <w:shd w:val="clear" w:color="auto" w:fill="BDD7EE"/>
            <w:vAlign w:val="center"/>
            <w:hideMark/>
          </w:tcPr>
          <w:p w14:paraId="7A79BA4D"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851" w:type="dxa"/>
            <w:shd w:val="clear" w:color="auto" w:fill="BDD7EE"/>
            <w:vAlign w:val="center"/>
            <w:hideMark/>
          </w:tcPr>
          <w:p w14:paraId="2AED18BB"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992" w:type="dxa"/>
            <w:shd w:val="clear" w:color="auto" w:fill="BDD7EE"/>
            <w:vAlign w:val="center"/>
            <w:hideMark/>
          </w:tcPr>
          <w:p w14:paraId="64DA820B"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842" w:type="dxa"/>
            <w:shd w:val="clear" w:color="auto" w:fill="BDD7EE"/>
            <w:vAlign w:val="center"/>
            <w:hideMark/>
          </w:tcPr>
          <w:p w14:paraId="2DBBBE1C"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3402" w:type="dxa"/>
            <w:vMerge/>
            <w:vAlign w:val="center"/>
            <w:hideMark/>
          </w:tcPr>
          <w:p w14:paraId="1678F10C"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0E505255" w14:textId="77777777" w:rsidTr="00CE3F9A">
        <w:trPr>
          <w:trHeight w:val="309"/>
          <w:jc w:val="center"/>
        </w:trPr>
        <w:tc>
          <w:tcPr>
            <w:tcW w:w="588" w:type="dxa"/>
            <w:shd w:val="clear" w:color="auto" w:fill="C6EFCE"/>
            <w:noWrap/>
          </w:tcPr>
          <w:p w14:paraId="5366E856" w14:textId="77777777" w:rsidR="00A00259" w:rsidRDefault="00371282">
            <w:pPr>
              <w:pStyle w:val="P68B1DB1-Normal12"/>
              <w:spacing w:after="0" w:line="240" w:lineRule="auto"/>
              <w:rPr>
                <w:rFonts w:eastAsia="Times New Roman"/>
                <w:noProof/>
              </w:rPr>
            </w:pPr>
            <w:r>
              <w:rPr>
                <w:noProof/>
              </w:rPr>
              <w:t>85</w:t>
            </w:r>
          </w:p>
        </w:tc>
        <w:tc>
          <w:tcPr>
            <w:tcW w:w="1680" w:type="dxa"/>
            <w:shd w:val="clear" w:color="auto" w:fill="C6EFCE"/>
            <w:noWrap/>
          </w:tcPr>
          <w:p w14:paraId="2DEC1471" w14:textId="77777777" w:rsidR="00A00259" w:rsidRDefault="00371282">
            <w:pPr>
              <w:pStyle w:val="P68B1DB1-Normal12"/>
              <w:spacing w:after="0" w:line="240" w:lineRule="auto"/>
              <w:rPr>
                <w:rFonts w:eastAsia="Times New Roman"/>
                <w:noProof/>
              </w:rPr>
            </w:pPr>
            <w:r>
              <w:rPr>
                <w:noProof/>
              </w:rPr>
              <w:t>5 - 2.1. Connect - 16818_Infrastructure à fibre optique dans les bâtiments</w:t>
            </w:r>
          </w:p>
        </w:tc>
        <w:tc>
          <w:tcPr>
            <w:tcW w:w="1155" w:type="dxa"/>
            <w:shd w:val="clear" w:color="auto" w:fill="C6EFCE"/>
            <w:noWrap/>
          </w:tcPr>
          <w:p w14:paraId="54D90DCA" w14:textId="77777777" w:rsidR="00A00259" w:rsidRDefault="00371282">
            <w:pPr>
              <w:pStyle w:val="P68B1DB1-Normal12"/>
              <w:spacing w:after="0" w:line="240" w:lineRule="auto"/>
              <w:rPr>
                <w:rFonts w:eastAsia="Times New Roman"/>
                <w:noProof/>
              </w:rPr>
            </w:pPr>
            <w:r>
              <w:rPr>
                <w:noProof/>
              </w:rPr>
              <w:t>Étape</w:t>
            </w:r>
          </w:p>
        </w:tc>
        <w:tc>
          <w:tcPr>
            <w:tcW w:w="1560" w:type="dxa"/>
            <w:shd w:val="clear" w:color="auto" w:fill="C6EFCE"/>
            <w:noWrap/>
          </w:tcPr>
          <w:p w14:paraId="25F2D6F3" w14:textId="77777777" w:rsidR="00A00259" w:rsidRDefault="00371282">
            <w:pPr>
              <w:pStyle w:val="P68B1DB1-Normal12"/>
              <w:spacing w:after="0" w:line="240" w:lineRule="auto"/>
              <w:rPr>
                <w:rFonts w:eastAsia="Times New Roman"/>
                <w:noProof/>
              </w:rPr>
            </w:pPr>
            <w:r>
              <w:rPr>
                <w:noProof/>
              </w:rPr>
              <w:t>Attribution du ou des marchés pour le projet «Infrastructures à fibres optiques dans les bâtiments»</w:t>
            </w:r>
          </w:p>
        </w:tc>
        <w:tc>
          <w:tcPr>
            <w:tcW w:w="2268" w:type="dxa"/>
            <w:shd w:val="clear" w:color="auto" w:fill="C6EFCE"/>
            <w:noWrap/>
          </w:tcPr>
          <w:p w14:paraId="702CF693" w14:textId="77777777" w:rsidR="00A00259" w:rsidRDefault="00371282">
            <w:pPr>
              <w:pStyle w:val="P68B1DB1-Normal12"/>
              <w:spacing w:after="0" w:line="240" w:lineRule="auto"/>
              <w:rPr>
                <w:rFonts w:eastAsia="Times New Roman"/>
                <w:strike/>
                <w:noProof/>
              </w:rPr>
            </w:pPr>
            <w:r>
              <w:rPr>
                <w:noProof/>
              </w:rPr>
              <w:t xml:space="preserve">Notification de l'attribution du ou des marchés </w:t>
            </w:r>
          </w:p>
        </w:tc>
        <w:tc>
          <w:tcPr>
            <w:tcW w:w="1417" w:type="dxa"/>
            <w:shd w:val="clear" w:color="auto" w:fill="C6EFCE"/>
            <w:noWrap/>
          </w:tcPr>
          <w:p w14:paraId="07FC5E7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77C1A94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5B8776F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76EB8C83" w14:textId="77777777" w:rsidR="00A00259" w:rsidRDefault="00371282">
            <w:pPr>
              <w:pStyle w:val="P68B1DB1-Normal12"/>
              <w:spacing w:after="0" w:line="240" w:lineRule="auto"/>
              <w:rPr>
                <w:rFonts w:eastAsia="Times New Roman"/>
                <w:noProof/>
              </w:rPr>
            </w:pPr>
            <w:r>
              <w:rPr>
                <w:noProof/>
              </w:rPr>
              <w:t>T3</w:t>
            </w:r>
          </w:p>
        </w:tc>
        <w:tc>
          <w:tcPr>
            <w:tcW w:w="842" w:type="dxa"/>
            <w:shd w:val="clear" w:color="auto" w:fill="C6EFCE"/>
            <w:noWrap/>
          </w:tcPr>
          <w:p w14:paraId="457A72ED" w14:textId="77777777" w:rsidR="00A00259" w:rsidRDefault="00371282">
            <w:pPr>
              <w:pStyle w:val="P68B1DB1-Normal12"/>
              <w:spacing w:after="0" w:line="240" w:lineRule="auto"/>
              <w:rPr>
                <w:rFonts w:eastAsia="Times New Roman"/>
                <w:noProof/>
              </w:rPr>
            </w:pPr>
            <w:r>
              <w:rPr>
                <w:noProof/>
              </w:rPr>
              <w:t>2022</w:t>
            </w:r>
          </w:p>
        </w:tc>
        <w:tc>
          <w:tcPr>
            <w:tcW w:w="3402" w:type="dxa"/>
            <w:shd w:val="clear" w:color="auto" w:fill="C6EFCE"/>
            <w:noWrap/>
          </w:tcPr>
          <w:p w14:paraId="0597D953" w14:textId="77777777" w:rsidR="00A00259" w:rsidRDefault="00371282">
            <w:pPr>
              <w:pStyle w:val="P68B1DB1-Normal12"/>
              <w:spacing w:after="0" w:line="240" w:lineRule="auto"/>
              <w:rPr>
                <w:rFonts w:eastAsia="Times New Roman"/>
                <w:noProof/>
              </w:rPr>
            </w:pPr>
            <w:r>
              <w:rPr>
                <w:noProof/>
              </w:rPr>
              <w:t>Attribution du ou des marchés à l’issue de la procédure d’appel d’offres pour le projet «Infrastructures à fibres optiques dans les bâtiments».</w:t>
            </w:r>
          </w:p>
          <w:p w14:paraId="2D78F5DB" w14:textId="77777777" w:rsidR="00A00259" w:rsidRDefault="00A00259">
            <w:pPr>
              <w:spacing w:after="0" w:line="240" w:lineRule="auto"/>
              <w:rPr>
                <w:rFonts w:ascii="Times New Roman" w:eastAsia="Times New Roman" w:hAnsi="Times New Roman" w:cs="Times New Roman"/>
                <w:noProof/>
                <w:color w:val="006100"/>
                <w:sz w:val="18"/>
                <w:szCs w:val="18"/>
              </w:rPr>
            </w:pPr>
          </w:p>
          <w:p w14:paraId="147CAEF3" w14:textId="77777777" w:rsidR="00A00259" w:rsidRDefault="00371282">
            <w:pPr>
              <w:pStyle w:val="P68B1DB1-Normal12"/>
              <w:spacing w:after="0" w:line="240" w:lineRule="auto"/>
              <w:rPr>
                <w:rFonts w:eastAsia="Times New Roman"/>
                <w:noProof/>
              </w:rPr>
            </w:pPr>
            <w:r>
              <w:rPr>
                <w:noProof/>
              </w:rPr>
              <w:t>La société de l’information SA/ministère de la gouvernance numérique veille à ce que toutes les demandes soumises soient examinées afin de confirmer si les demandes répondent correctement aux demandes de l’appel. Lors de la sélection du contractant approprié, la société de l’information S.A./ministère de la gouvernance numérique procède à l’attribution du marché, qui définit les obligations, les rôles et les responsabilités des parties contractantes.</w:t>
            </w:r>
          </w:p>
        </w:tc>
      </w:tr>
      <w:tr w:rsidR="00A00259" w14:paraId="71120599" w14:textId="77777777" w:rsidTr="00CE3F9A">
        <w:trPr>
          <w:trHeight w:val="309"/>
          <w:jc w:val="center"/>
        </w:trPr>
        <w:tc>
          <w:tcPr>
            <w:tcW w:w="588" w:type="dxa"/>
            <w:shd w:val="clear" w:color="auto" w:fill="C6EFCE"/>
            <w:noWrap/>
          </w:tcPr>
          <w:p w14:paraId="3A73473E" w14:textId="77777777" w:rsidR="00A00259" w:rsidRDefault="00371282">
            <w:pPr>
              <w:pStyle w:val="P68B1DB1-Normal12"/>
              <w:spacing w:after="0" w:line="240" w:lineRule="auto"/>
              <w:rPr>
                <w:rFonts w:eastAsia="Times New Roman"/>
                <w:noProof/>
              </w:rPr>
            </w:pPr>
            <w:r>
              <w:rPr>
                <w:noProof/>
              </w:rPr>
              <w:t>87</w:t>
            </w:r>
          </w:p>
        </w:tc>
        <w:tc>
          <w:tcPr>
            <w:tcW w:w="1680" w:type="dxa"/>
            <w:shd w:val="clear" w:color="auto" w:fill="C6EFCE"/>
            <w:noWrap/>
          </w:tcPr>
          <w:p w14:paraId="7380F07C" w14:textId="77777777" w:rsidR="00A00259" w:rsidRDefault="00371282">
            <w:pPr>
              <w:pStyle w:val="P68B1DB1-Normal12"/>
              <w:spacing w:after="0" w:line="240" w:lineRule="auto"/>
              <w:rPr>
                <w:rFonts w:eastAsia="Times New Roman"/>
                <w:noProof/>
              </w:rPr>
            </w:pPr>
            <w:r>
              <w:rPr>
                <w:noProof/>
              </w:rPr>
              <w:t>5 - 2.1. Connect - 16855_Small-satellites</w:t>
            </w:r>
          </w:p>
        </w:tc>
        <w:tc>
          <w:tcPr>
            <w:tcW w:w="1155" w:type="dxa"/>
            <w:shd w:val="clear" w:color="auto" w:fill="C6EFCE"/>
            <w:noWrap/>
          </w:tcPr>
          <w:p w14:paraId="3496B285" w14:textId="77777777" w:rsidR="00A00259" w:rsidRDefault="00371282">
            <w:pPr>
              <w:pStyle w:val="P68B1DB1-Normal12"/>
              <w:spacing w:after="0" w:line="240" w:lineRule="auto"/>
              <w:rPr>
                <w:rFonts w:eastAsia="Times New Roman"/>
                <w:noProof/>
              </w:rPr>
            </w:pPr>
            <w:r>
              <w:rPr>
                <w:noProof/>
              </w:rPr>
              <w:t>Étape</w:t>
            </w:r>
          </w:p>
        </w:tc>
        <w:tc>
          <w:tcPr>
            <w:tcW w:w="1560" w:type="dxa"/>
            <w:shd w:val="clear" w:color="auto" w:fill="C6EFCE"/>
            <w:noWrap/>
          </w:tcPr>
          <w:p w14:paraId="144B5A55" w14:textId="77777777" w:rsidR="00A00259" w:rsidRDefault="00371282">
            <w:pPr>
              <w:pStyle w:val="P68B1DB1-Normal12"/>
              <w:spacing w:after="0" w:line="240" w:lineRule="auto"/>
              <w:rPr>
                <w:rFonts w:eastAsia="Times New Roman"/>
                <w:noProof/>
              </w:rPr>
            </w:pPr>
            <w:r>
              <w:rPr>
                <w:noProof/>
              </w:rPr>
              <w:t>Attribution du ou des marchés pour le projet «Petits satellites»</w:t>
            </w:r>
          </w:p>
        </w:tc>
        <w:tc>
          <w:tcPr>
            <w:tcW w:w="2268" w:type="dxa"/>
            <w:shd w:val="clear" w:color="auto" w:fill="C6EFCE"/>
            <w:noWrap/>
          </w:tcPr>
          <w:p w14:paraId="29D52355" w14:textId="77777777" w:rsidR="00A00259" w:rsidRDefault="00371282">
            <w:pPr>
              <w:pStyle w:val="P68B1DB1-Normal12"/>
              <w:spacing w:after="0" w:line="240" w:lineRule="auto"/>
              <w:rPr>
                <w:rFonts w:eastAsia="Times New Roman"/>
                <w:noProof/>
              </w:rPr>
            </w:pPr>
            <w:r>
              <w:rPr>
                <w:noProof/>
              </w:rPr>
              <w:t xml:space="preserve">Notification de l'attribution du ou des marchés </w:t>
            </w:r>
          </w:p>
        </w:tc>
        <w:tc>
          <w:tcPr>
            <w:tcW w:w="1417" w:type="dxa"/>
            <w:shd w:val="clear" w:color="auto" w:fill="C6EFCE"/>
            <w:noWrap/>
          </w:tcPr>
          <w:p w14:paraId="70B92D0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0B0215E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6A0F122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5F38A787" w14:textId="77777777" w:rsidR="00A00259" w:rsidRDefault="00371282">
            <w:pPr>
              <w:pStyle w:val="P68B1DB1-Normal12"/>
              <w:spacing w:after="0" w:line="240" w:lineRule="auto"/>
              <w:rPr>
                <w:rFonts w:eastAsia="Times New Roman"/>
                <w:noProof/>
              </w:rPr>
            </w:pPr>
            <w:r>
              <w:rPr>
                <w:noProof/>
              </w:rPr>
              <w:t>T2</w:t>
            </w:r>
          </w:p>
        </w:tc>
        <w:tc>
          <w:tcPr>
            <w:tcW w:w="842" w:type="dxa"/>
            <w:shd w:val="clear" w:color="auto" w:fill="C6EFCE"/>
            <w:noWrap/>
          </w:tcPr>
          <w:p w14:paraId="1B7FD0D1" w14:textId="77777777" w:rsidR="00A00259" w:rsidRDefault="00371282">
            <w:pPr>
              <w:pStyle w:val="P68B1DB1-Normal12"/>
              <w:spacing w:after="0" w:line="240" w:lineRule="auto"/>
              <w:rPr>
                <w:rFonts w:eastAsia="Times New Roman"/>
                <w:noProof/>
              </w:rPr>
            </w:pPr>
            <w:r>
              <w:rPr>
                <w:noProof/>
              </w:rPr>
              <w:t>2023</w:t>
            </w:r>
          </w:p>
        </w:tc>
        <w:tc>
          <w:tcPr>
            <w:tcW w:w="3402" w:type="dxa"/>
            <w:shd w:val="clear" w:color="auto" w:fill="C6EFCE"/>
            <w:noWrap/>
          </w:tcPr>
          <w:p w14:paraId="117AB58D" w14:textId="77777777" w:rsidR="00A00259" w:rsidRDefault="00371282">
            <w:pPr>
              <w:pStyle w:val="P68B1DB1-Normal12"/>
              <w:spacing w:after="0" w:line="240" w:lineRule="auto"/>
              <w:rPr>
                <w:rFonts w:eastAsia="Times New Roman"/>
                <w:noProof/>
              </w:rPr>
            </w:pPr>
            <w:r>
              <w:rPr>
                <w:noProof/>
              </w:rPr>
              <w:t>Attribution du ou des marchés à l’issue de la procédure d’appel d’offres pour le projet «Petits satellites».</w:t>
            </w:r>
          </w:p>
          <w:p w14:paraId="2B938A9C" w14:textId="77777777" w:rsidR="00A00259" w:rsidRDefault="00A00259">
            <w:pPr>
              <w:spacing w:after="0" w:line="240" w:lineRule="auto"/>
              <w:rPr>
                <w:rFonts w:ascii="Times New Roman" w:hAnsi="Times New Roman" w:cs="Times New Roman"/>
                <w:noProof/>
                <w:color w:val="006100"/>
                <w:sz w:val="18"/>
                <w:szCs w:val="18"/>
              </w:rPr>
            </w:pPr>
          </w:p>
          <w:p w14:paraId="563958D7" w14:textId="77777777" w:rsidR="00A00259" w:rsidRDefault="00371282">
            <w:pPr>
              <w:pStyle w:val="P68B1DB1-Normal23"/>
              <w:spacing w:after="0" w:line="240" w:lineRule="auto"/>
              <w:rPr>
                <w:noProof/>
              </w:rPr>
            </w:pPr>
            <w:bookmarkStart w:id="2" w:name="_Hlk208835858"/>
            <w:r>
              <w:rPr>
                <w:noProof/>
              </w:rPr>
              <w:t>L’investissement concerne le développement d’une constellation de petits satellites pour soutenir les services de connectivité, ainsi que les applications d’observation de la Terre dans les domaines de la cartographie, du transport maritime, de l’agriculture de précision, de l’aménagement du territoire, etc.</w:t>
            </w:r>
            <w:bookmarkEnd w:id="2"/>
          </w:p>
        </w:tc>
      </w:tr>
      <w:tr w:rsidR="00A00259" w14:paraId="1F89DD2F" w14:textId="77777777" w:rsidTr="00CE3F9A">
        <w:trPr>
          <w:trHeight w:val="309"/>
          <w:jc w:val="center"/>
        </w:trPr>
        <w:tc>
          <w:tcPr>
            <w:tcW w:w="588" w:type="dxa"/>
            <w:shd w:val="clear" w:color="auto" w:fill="C6EFCE"/>
            <w:noWrap/>
          </w:tcPr>
          <w:p w14:paraId="5B6DA216" w14:textId="77777777" w:rsidR="00A00259" w:rsidRDefault="00371282">
            <w:pPr>
              <w:pStyle w:val="P68B1DB1-Normal12"/>
              <w:spacing w:after="0" w:line="240" w:lineRule="auto"/>
              <w:rPr>
                <w:rFonts w:eastAsia="Times New Roman"/>
                <w:noProof/>
              </w:rPr>
            </w:pPr>
            <w:r>
              <w:rPr>
                <w:noProof/>
              </w:rPr>
              <w:t>90</w:t>
            </w:r>
          </w:p>
        </w:tc>
        <w:tc>
          <w:tcPr>
            <w:tcW w:w="1680" w:type="dxa"/>
            <w:shd w:val="clear" w:color="auto" w:fill="C6EFCE"/>
            <w:noWrap/>
          </w:tcPr>
          <w:p w14:paraId="17F0083A" w14:textId="77777777" w:rsidR="00A00259" w:rsidRDefault="00371282">
            <w:pPr>
              <w:pStyle w:val="P68B1DB1-Normal12"/>
              <w:spacing w:after="0" w:line="240" w:lineRule="auto"/>
              <w:rPr>
                <w:rFonts w:eastAsia="Times New Roman"/>
                <w:noProof/>
              </w:rPr>
            </w:pPr>
            <w:r>
              <w:rPr>
                <w:noProof/>
              </w:rPr>
              <w:t>5 - 2.1. Connect - 16818_Infrastructure à fibre optique dans les bâtiments</w:t>
            </w:r>
          </w:p>
        </w:tc>
        <w:tc>
          <w:tcPr>
            <w:tcW w:w="1155" w:type="dxa"/>
            <w:shd w:val="clear" w:color="auto" w:fill="C6EFCE"/>
            <w:noWrap/>
          </w:tcPr>
          <w:p w14:paraId="6E785190" w14:textId="77777777" w:rsidR="00A00259" w:rsidRDefault="00371282">
            <w:pPr>
              <w:pStyle w:val="P68B1DB1-Normal12"/>
              <w:spacing w:after="0" w:line="240" w:lineRule="auto"/>
              <w:rPr>
                <w:rFonts w:eastAsia="Times New Roman"/>
                <w:noProof/>
              </w:rPr>
            </w:pPr>
            <w:r>
              <w:rPr>
                <w:noProof/>
              </w:rPr>
              <w:t>Objectif</w:t>
            </w:r>
          </w:p>
        </w:tc>
        <w:tc>
          <w:tcPr>
            <w:tcW w:w="1560" w:type="dxa"/>
            <w:shd w:val="clear" w:color="auto" w:fill="C6EFCE"/>
            <w:noWrap/>
          </w:tcPr>
          <w:p w14:paraId="18DDFFDE" w14:textId="77777777" w:rsidR="00A00259" w:rsidRDefault="00371282">
            <w:pPr>
              <w:pStyle w:val="P68B1DB1-Normal12"/>
              <w:spacing w:after="0" w:line="240" w:lineRule="auto"/>
              <w:rPr>
                <w:rFonts w:eastAsia="Times New Roman"/>
                <w:noProof/>
              </w:rPr>
            </w:pPr>
            <w:r>
              <w:rPr>
                <w:noProof/>
              </w:rPr>
              <w:t>Exécution du projet « Infrastructure fibre optique dans les bâtiments »</w:t>
            </w:r>
          </w:p>
        </w:tc>
        <w:tc>
          <w:tcPr>
            <w:tcW w:w="2268" w:type="dxa"/>
            <w:shd w:val="clear" w:color="auto" w:fill="C6EFCE"/>
            <w:noWrap/>
          </w:tcPr>
          <w:p w14:paraId="17ADB98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417" w:type="dxa"/>
            <w:shd w:val="clear" w:color="auto" w:fill="C6EFCE"/>
            <w:noWrap/>
          </w:tcPr>
          <w:p w14:paraId="7EB3F7C9" w14:textId="77777777" w:rsidR="00A00259" w:rsidRDefault="00371282">
            <w:pPr>
              <w:pStyle w:val="P68B1DB1-Normal12"/>
              <w:spacing w:after="0" w:line="240" w:lineRule="auto"/>
              <w:rPr>
                <w:rFonts w:eastAsia="Times New Roman"/>
                <w:noProof/>
              </w:rPr>
            </w:pPr>
            <w:r>
              <w:rPr>
                <w:noProof/>
              </w:rPr>
              <w:t>Nombre de bons</w:t>
            </w:r>
          </w:p>
        </w:tc>
        <w:tc>
          <w:tcPr>
            <w:tcW w:w="992" w:type="dxa"/>
            <w:shd w:val="clear" w:color="auto" w:fill="C6EFCE"/>
            <w:noWrap/>
          </w:tcPr>
          <w:p w14:paraId="5935E89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042975A1" w14:textId="77777777" w:rsidR="00A00259" w:rsidRDefault="00371282">
            <w:pPr>
              <w:pStyle w:val="P68B1DB1-Normal12"/>
              <w:spacing w:after="0" w:line="240" w:lineRule="auto"/>
              <w:rPr>
                <w:rFonts w:eastAsia="Times New Roman"/>
                <w:noProof/>
              </w:rPr>
            </w:pPr>
            <w:r>
              <w:rPr>
                <w:noProof/>
              </w:rPr>
              <w:t>300 255</w:t>
            </w:r>
          </w:p>
        </w:tc>
        <w:tc>
          <w:tcPr>
            <w:tcW w:w="992" w:type="dxa"/>
            <w:shd w:val="clear" w:color="auto" w:fill="C6EFCE"/>
            <w:noWrap/>
          </w:tcPr>
          <w:p w14:paraId="45924381" w14:textId="77777777" w:rsidR="00A00259" w:rsidRDefault="00371282">
            <w:pPr>
              <w:pStyle w:val="P68B1DB1-Normal12"/>
              <w:spacing w:after="0" w:line="240" w:lineRule="auto"/>
              <w:rPr>
                <w:rFonts w:eastAsia="Times New Roman"/>
                <w:noProof/>
              </w:rPr>
            </w:pPr>
            <w:r>
              <w:rPr>
                <w:noProof/>
              </w:rPr>
              <w:t>T4</w:t>
            </w:r>
          </w:p>
        </w:tc>
        <w:tc>
          <w:tcPr>
            <w:tcW w:w="842" w:type="dxa"/>
            <w:shd w:val="clear" w:color="auto" w:fill="C6EFCE"/>
            <w:noWrap/>
          </w:tcPr>
          <w:p w14:paraId="1734978A" w14:textId="77777777" w:rsidR="00A00259" w:rsidRDefault="00371282">
            <w:pPr>
              <w:pStyle w:val="P68B1DB1-Normal12"/>
              <w:spacing w:after="0" w:line="240" w:lineRule="auto"/>
              <w:rPr>
                <w:rFonts w:eastAsia="Times New Roman"/>
                <w:noProof/>
              </w:rPr>
            </w:pPr>
            <w:r>
              <w:rPr>
                <w:noProof/>
              </w:rPr>
              <w:t>2025</w:t>
            </w:r>
          </w:p>
        </w:tc>
        <w:tc>
          <w:tcPr>
            <w:tcW w:w="3402" w:type="dxa"/>
            <w:shd w:val="clear" w:color="auto" w:fill="C6EFCE"/>
            <w:noWrap/>
          </w:tcPr>
          <w:p w14:paraId="57A63D48" w14:textId="6453623A" w:rsidR="00A00259" w:rsidRDefault="00371282">
            <w:pPr>
              <w:pStyle w:val="P68B1DB1-Normal16"/>
              <w:spacing w:after="0" w:line="240" w:lineRule="auto"/>
              <w:rPr>
                <w:rFonts w:eastAsia="Times New Roman"/>
                <w:noProof/>
                <w:color w:val="006100"/>
              </w:rPr>
            </w:pPr>
            <w:r>
              <w:rPr>
                <w:noProof/>
                <w:color w:val="006100"/>
              </w:rPr>
              <w:t>300 255 bons échangés contre des logements reliés à l'infrastructure et au service de fibre optique FTTH.</w:t>
            </w:r>
            <w:r>
              <w:rPr>
                <w:noProof/>
              </w:rPr>
              <w:t xml:space="preserve"> </w:t>
            </w:r>
          </w:p>
        </w:tc>
      </w:tr>
      <w:tr w:rsidR="00A00259" w14:paraId="10649370" w14:textId="77777777" w:rsidTr="00CE3F9A">
        <w:trPr>
          <w:trHeight w:val="309"/>
          <w:jc w:val="center"/>
        </w:trPr>
        <w:tc>
          <w:tcPr>
            <w:tcW w:w="588" w:type="dxa"/>
            <w:shd w:val="clear" w:color="auto" w:fill="C6EFCE"/>
            <w:noWrap/>
          </w:tcPr>
          <w:p w14:paraId="06F70861" w14:textId="77777777" w:rsidR="00A00259" w:rsidRDefault="00371282">
            <w:pPr>
              <w:pStyle w:val="P68B1DB1-Normal12"/>
              <w:spacing w:after="0" w:line="240" w:lineRule="auto"/>
              <w:rPr>
                <w:rFonts w:eastAsia="Times New Roman"/>
                <w:noProof/>
              </w:rPr>
            </w:pPr>
            <w:r>
              <w:rPr>
                <w:noProof/>
              </w:rPr>
              <w:t>92</w:t>
            </w:r>
          </w:p>
        </w:tc>
        <w:tc>
          <w:tcPr>
            <w:tcW w:w="1680" w:type="dxa"/>
            <w:shd w:val="clear" w:color="auto" w:fill="C6EFCE"/>
            <w:noWrap/>
          </w:tcPr>
          <w:p w14:paraId="4E091C79" w14:textId="1E28CE74" w:rsidR="00A00259" w:rsidRDefault="00371282">
            <w:pPr>
              <w:pStyle w:val="P68B1DB1-Normal12"/>
              <w:spacing w:after="0" w:line="240" w:lineRule="auto"/>
              <w:rPr>
                <w:rFonts w:eastAsia="Times New Roman"/>
                <w:noProof/>
              </w:rPr>
            </w:pPr>
            <w:r>
              <w:rPr>
                <w:noProof/>
              </w:rPr>
              <w:t>5 - 2.1. Connect - 16855_Small-satellites</w:t>
            </w:r>
          </w:p>
        </w:tc>
        <w:tc>
          <w:tcPr>
            <w:tcW w:w="1155" w:type="dxa"/>
            <w:shd w:val="clear" w:color="auto" w:fill="C6EFCE"/>
            <w:noWrap/>
          </w:tcPr>
          <w:p w14:paraId="4E962061" w14:textId="77777777" w:rsidR="00A00259" w:rsidRDefault="00371282">
            <w:pPr>
              <w:pStyle w:val="P68B1DB1-Normal12"/>
              <w:spacing w:after="0" w:line="240" w:lineRule="auto"/>
              <w:rPr>
                <w:rFonts w:eastAsia="Times New Roman"/>
                <w:noProof/>
              </w:rPr>
            </w:pPr>
            <w:r>
              <w:rPr>
                <w:noProof/>
              </w:rPr>
              <w:t>Étape</w:t>
            </w:r>
          </w:p>
        </w:tc>
        <w:tc>
          <w:tcPr>
            <w:tcW w:w="1560" w:type="dxa"/>
            <w:shd w:val="clear" w:color="auto" w:fill="C6EFCE"/>
            <w:noWrap/>
          </w:tcPr>
          <w:p w14:paraId="7064FB95" w14:textId="77777777" w:rsidR="00A00259" w:rsidRDefault="00371282">
            <w:pPr>
              <w:pStyle w:val="P68B1DB1-Normal12"/>
              <w:spacing w:after="0" w:line="240" w:lineRule="auto"/>
              <w:rPr>
                <w:rFonts w:eastAsia="Times New Roman"/>
                <w:noProof/>
              </w:rPr>
            </w:pPr>
            <w:r>
              <w:rPr>
                <w:noProof/>
              </w:rPr>
              <w:t>Exécution du projet « Petits satellites »</w:t>
            </w:r>
          </w:p>
        </w:tc>
        <w:tc>
          <w:tcPr>
            <w:tcW w:w="2268" w:type="dxa"/>
            <w:shd w:val="clear" w:color="auto" w:fill="C6EFCE"/>
            <w:noWrap/>
          </w:tcPr>
          <w:p w14:paraId="6D1474DE" w14:textId="77777777" w:rsidR="00A00259" w:rsidRDefault="00371282">
            <w:pPr>
              <w:pStyle w:val="P68B1DB1-Normal12"/>
              <w:spacing w:after="0" w:line="240" w:lineRule="auto"/>
              <w:rPr>
                <w:rFonts w:eastAsia="Times New Roman"/>
                <w:noProof/>
              </w:rPr>
            </w:pPr>
            <w:r>
              <w:rPr>
                <w:noProof/>
              </w:rPr>
              <w:t xml:space="preserve">Rapports de mise en service en orbite à la suite du lancement des petits satellites </w:t>
            </w:r>
          </w:p>
        </w:tc>
        <w:tc>
          <w:tcPr>
            <w:tcW w:w="1417" w:type="dxa"/>
            <w:shd w:val="clear" w:color="auto" w:fill="C6EFCE"/>
            <w:noWrap/>
          </w:tcPr>
          <w:p w14:paraId="44D45EA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2240568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194470C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71A7662B" w14:textId="77777777" w:rsidR="00A00259" w:rsidRDefault="00371282">
            <w:pPr>
              <w:pStyle w:val="P68B1DB1-Normal12"/>
              <w:spacing w:after="0" w:line="240" w:lineRule="auto"/>
              <w:rPr>
                <w:rFonts w:eastAsia="Times New Roman"/>
                <w:noProof/>
              </w:rPr>
            </w:pPr>
            <w:r>
              <w:rPr>
                <w:noProof/>
              </w:rPr>
              <w:t>T4</w:t>
            </w:r>
          </w:p>
        </w:tc>
        <w:tc>
          <w:tcPr>
            <w:tcW w:w="842" w:type="dxa"/>
            <w:shd w:val="clear" w:color="auto" w:fill="C6EFCE"/>
            <w:noWrap/>
          </w:tcPr>
          <w:p w14:paraId="3E0784B2" w14:textId="77777777" w:rsidR="00A00259" w:rsidRDefault="00371282">
            <w:pPr>
              <w:pStyle w:val="P68B1DB1-Normal12"/>
              <w:spacing w:after="0" w:line="240" w:lineRule="auto"/>
              <w:rPr>
                <w:rFonts w:eastAsia="Times New Roman"/>
                <w:noProof/>
              </w:rPr>
            </w:pPr>
            <w:r>
              <w:rPr>
                <w:noProof/>
              </w:rPr>
              <w:t>2025</w:t>
            </w:r>
          </w:p>
        </w:tc>
        <w:tc>
          <w:tcPr>
            <w:tcW w:w="3402" w:type="dxa"/>
            <w:shd w:val="clear" w:color="auto" w:fill="C6EFCE"/>
            <w:noWrap/>
          </w:tcPr>
          <w:p w14:paraId="417A6AEB" w14:textId="77777777" w:rsidR="00A00259" w:rsidRDefault="00371282">
            <w:pPr>
              <w:pStyle w:val="P68B1DB1-Normal12"/>
              <w:spacing w:after="0" w:line="240" w:lineRule="auto"/>
              <w:rPr>
                <w:rFonts w:eastAsia="Times New Roman"/>
                <w:noProof/>
              </w:rPr>
            </w:pPr>
            <w:r>
              <w:rPr>
                <w:noProof/>
              </w:rPr>
              <w:t>Le projet pilote démarre et la constellation de petits satellites destinée à soutenir les services de connectivité, ainsi que les applications d'observation de la Terre pour la cartographie, le transport maritime, l'agriculture de précision, l'aménagement du territoire et autres, est lancée et mise en orbite.</w:t>
            </w:r>
          </w:p>
        </w:tc>
      </w:tr>
      <w:tr w:rsidR="00A00259" w14:paraId="5B81A800" w14:textId="77777777" w:rsidTr="00CE3F9A">
        <w:trPr>
          <w:trHeight w:val="309"/>
          <w:jc w:val="center"/>
        </w:trPr>
        <w:tc>
          <w:tcPr>
            <w:tcW w:w="588" w:type="dxa"/>
            <w:shd w:val="clear" w:color="auto" w:fill="C6EFCE"/>
            <w:noWrap/>
          </w:tcPr>
          <w:p w14:paraId="3118D05F" w14:textId="5FCA2A11" w:rsidR="00A00259" w:rsidRDefault="00371282">
            <w:pPr>
              <w:pStyle w:val="P68B1DB1-Normal12"/>
              <w:spacing w:after="0" w:line="240" w:lineRule="auto"/>
              <w:rPr>
                <w:noProof/>
              </w:rPr>
            </w:pPr>
            <w:r>
              <w:rPr>
                <w:noProof/>
              </w:rPr>
              <w:t>92 bis</w:t>
            </w:r>
          </w:p>
        </w:tc>
        <w:tc>
          <w:tcPr>
            <w:tcW w:w="1680" w:type="dxa"/>
            <w:shd w:val="clear" w:color="auto" w:fill="C6EFCE"/>
            <w:noWrap/>
          </w:tcPr>
          <w:p w14:paraId="1FFE8BE7" w14:textId="6BB0D976" w:rsidR="00A00259" w:rsidRDefault="00371282">
            <w:pPr>
              <w:pStyle w:val="P68B1DB1-Normal12"/>
              <w:spacing w:after="0" w:line="240" w:lineRule="auto"/>
              <w:rPr>
                <w:noProof/>
              </w:rPr>
            </w:pPr>
            <w:r>
              <w:rPr>
                <w:noProof/>
              </w:rPr>
              <w:t>5 - 2.1. Connect - 16855_Small-satellites</w:t>
            </w:r>
          </w:p>
        </w:tc>
        <w:tc>
          <w:tcPr>
            <w:tcW w:w="1155" w:type="dxa"/>
            <w:shd w:val="clear" w:color="auto" w:fill="C6EFCE"/>
            <w:noWrap/>
          </w:tcPr>
          <w:p w14:paraId="0349EA06" w14:textId="4290643C" w:rsidR="00A00259" w:rsidRDefault="00371282">
            <w:pPr>
              <w:pStyle w:val="P68B1DB1-Normal12"/>
              <w:spacing w:after="0" w:line="240" w:lineRule="auto"/>
              <w:rPr>
                <w:noProof/>
              </w:rPr>
            </w:pPr>
            <w:r>
              <w:rPr>
                <w:noProof/>
              </w:rPr>
              <w:t>Étape</w:t>
            </w:r>
          </w:p>
        </w:tc>
        <w:tc>
          <w:tcPr>
            <w:tcW w:w="1560" w:type="dxa"/>
            <w:shd w:val="clear" w:color="auto" w:fill="C6EFCE"/>
            <w:noWrap/>
          </w:tcPr>
          <w:p w14:paraId="45A39822" w14:textId="46849508" w:rsidR="00A00259" w:rsidRDefault="00371282">
            <w:pPr>
              <w:pStyle w:val="P68B1DB1-Normal12"/>
              <w:spacing w:after="0" w:line="240" w:lineRule="auto"/>
              <w:rPr>
                <w:noProof/>
              </w:rPr>
            </w:pPr>
            <w:r>
              <w:rPr>
                <w:noProof/>
              </w:rPr>
              <w:t>Signature de la modification de l'accord de projet</w:t>
            </w:r>
            <w:r>
              <w:rPr>
                <w:noProof/>
                <w:u w:val="single"/>
              </w:rPr>
              <w:t xml:space="preserve"> et </w:t>
            </w:r>
            <w:r>
              <w:rPr>
                <w:noProof/>
              </w:rPr>
              <w:t>transfert des fonds</w:t>
            </w:r>
          </w:p>
        </w:tc>
        <w:tc>
          <w:tcPr>
            <w:tcW w:w="2268" w:type="dxa"/>
            <w:shd w:val="clear" w:color="auto" w:fill="C6EFCE"/>
            <w:noWrap/>
          </w:tcPr>
          <w:p w14:paraId="301033C9" w14:textId="791B9F17" w:rsidR="00A00259" w:rsidRDefault="00371282">
            <w:pPr>
              <w:pStyle w:val="P68B1DB1-Normal12"/>
              <w:spacing w:after="0" w:line="240" w:lineRule="auto"/>
              <w:rPr>
                <w:noProof/>
              </w:rPr>
            </w:pPr>
            <w:r>
              <w:rPr>
                <w:noProof/>
              </w:rPr>
              <w:t>Signature de la modification de l’accord de projet entre l’ESA et le ministère de la gouvernance numérique et transfert des fonds</w:t>
            </w:r>
          </w:p>
        </w:tc>
        <w:tc>
          <w:tcPr>
            <w:tcW w:w="1417" w:type="dxa"/>
            <w:shd w:val="clear" w:color="auto" w:fill="C6EFCE"/>
            <w:noWrap/>
          </w:tcPr>
          <w:p w14:paraId="789F71E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7E244A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5E706CF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A10552F" w14:textId="2D573F78" w:rsidR="00A00259" w:rsidRDefault="00371282">
            <w:pPr>
              <w:pStyle w:val="P68B1DB1-Normal12"/>
              <w:spacing w:after="0" w:line="240" w:lineRule="auto"/>
              <w:rPr>
                <w:noProof/>
              </w:rPr>
            </w:pPr>
            <w:r>
              <w:rPr>
                <w:noProof/>
              </w:rPr>
              <w:t>T2</w:t>
            </w:r>
          </w:p>
        </w:tc>
        <w:tc>
          <w:tcPr>
            <w:tcW w:w="842" w:type="dxa"/>
            <w:shd w:val="clear" w:color="auto" w:fill="C6EFCE"/>
            <w:noWrap/>
          </w:tcPr>
          <w:p w14:paraId="7FA0BAAC" w14:textId="5D0635A8" w:rsidR="00A00259" w:rsidRDefault="00371282">
            <w:pPr>
              <w:pStyle w:val="P68B1DB1-Normal12"/>
              <w:spacing w:after="0" w:line="240" w:lineRule="auto"/>
              <w:rPr>
                <w:noProof/>
              </w:rPr>
            </w:pPr>
            <w:r>
              <w:rPr>
                <w:noProof/>
              </w:rPr>
              <w:t>2026</w:t>
            </w:r>
          </w:p>
        </w:tc>
        <w:tc>
          <w:tcPr>
            <w:tcW w:w="3402" w:type="dxa"/>
            <w:shd w:val="clear" w:color="auto" w:fill="C6EFCE"/>
            <w:noWrap/>
          </w:tcPr>
          <w:p w14:paraId="12E4AA39" w14:textId="77777777" w:rsidR="00A00259" w:rsidRDefault="00371282">
            <w:pPr>
              <w:pStyle w:val="P68B1DB1-Normal12"/>
              <w:spacing w:after="0" w:line="240" w:lineRule="auto"/>
              <w:rPr>
                <w:noProof/>
              </w:rPr>
            </w:pPr>
            <w:r>
              <w:rPr>
                <w:noProof/>
              </w:rPr>
              <w:t>Signature de l'amendement à l'arrangement relatif au projet d'assistance de l'Agence spatiale européenne (ESA) à la gestion et à la mise en œuvre du projet spatial national grec par satellite entre la Grèce et l'ESA.</w:t>
            </w:r>
          </w:p>
          <w:p w14:paraId="6962F983" w14:textId="77777777" w:rsidR="00A00259" w:rsidRDefault="00A00259">
            <w:pPr>
              <w:spacing w:after="0" w:line="240" w:lineRule="auto"/>
              <w:rPr>
                <w:rFonts w:ascii="Times New Roman" w:hAnsi="Times New Roman" w:cs="Times New Roman"/>
                <w:noProof/>
                <w:color w:val="006100"/>
                <w:sz w:val="18"/>
                <w:szCs w:val="18"/>
              </w:rPr>
            </w:pPr>
          </w:p>
          <w:p w14:paraId="150B0842" w14:textId="77777777" w:rsidR="00A00259" w:rsidRDefault="00371282">
            <w:pPr>
              <w:pStyle w:val="P68B1DB1-Normal12"/>
              <w:spacing w:after="0" w:line="240" w:lineRule="auto"/>
              <w:rPr>
                <w:noProof/>
              </w:rPr>
            </w:pPr>
            <w:r>
              <w:rPr>
                <w:noProof/>
              </w:rPr>
              <w:t xml:space="preserve">L’accord de projet comprend les activités qui seraient financées au titre de l’accord de projet, qui consisteront en la mise en œuvre des activités de la phase II («Hellas Space 2.0»), à savoir: </w:t>
            </w:r>
          </w:p>
          <w:p w14:paraId="63489481" w14:textId="77777777" w:rsidR="00A00259" w:rsidRDefault="00371282">
            <w:pPr>
              <w:pStyle w:val="P68B1DB1-Normal12"/>
              <w:spacing w:after="0" w:line="240" w:lineRule="auto"/>
              <w:rPr>
                <w:noProof/>
              </w:rPr>
            </w:pPr>
            <w:r>
              <w:rPr>
                <w:noProof/>
              </w:rPr>
              <w:t xml:space="preserve">1) Déploiement de la constellation de détection des satellites optiques RGBNIR, des satellites thermiques MWIR, des satellites de surveillance RF; </w:t>
            </w:r>
          </w:p>
          <w:p w14:paraId="72761278" w14:textId="77777777" w:rsidR="00A00259" w:rsidRDefault="00371282">
            <w:pPr>
              <w:pStyle w:val="P68B1DB1-Normal12"/>
              <w:spacing w:after="0" w:line="240" w:lineRule="auto"/>
              <w:rPr>
                <w:noProof/>
              </w:rPr>
            </w:pPr>
            <w:r>
              <w:rPr>
                <w:noProof/>
              </w:rPr>
              <w:t xml:space="preserve">2) Sensibilisation au domaine spatial &amp; Démonstrateur(s) de capacités en orbite; </w:t>
            </w:r>
          </w:p>
          <w:p w14:paraId="36AF7E3B" w14:textId="77777777" w:rsidR="00A00259" w:rsidRDefault="00371282">
            <w:pPr>
              <w:pStyle w:val="P68B1DB1-Normal12"/>
              <w:spacing w:after="0" w:line="240" w:lineRule="auto"/>
              <w:rPr>
                <w:noProof/>
              </w:rPr>
            </w:pPr>
            <w:r>
              <w:rPr>
                <w:noProof/>
              </w:rPr>
              <w:t xml:space="preserve">3) l'acquisition et le déploiement de terminaux utilisateurs de connectivité sécurisée et l'adoption du PRS Galileo; </w:t>
            </w:r>
          </w:p>
          <w:p w14:paraId="058A61FF" w14:textId="77777777" w:rsidR="00A00259" w:rsidRDefault="00371282">
            <w:pPr>
              <w:pStyle w:val="P68B1DB1-Normal12"/>
              <w:spacing w:after="0" w:line="240" w:lineRule="auto"/>
              <w:rPr>
                <w:noProof/>
              </w:rPr>
            </w:pPr>
            <w:r>
              <w:rPr>
                <w:noProof/>
              </w:rPr>
              <w:t xml:space="preserve">4) Space Innovation &amp; Programme de banc d'essai pour la démonstration de l'OT et de la connectivité en orbite et les opportunités de charge utile hébergée; </w:t>
            </w:r>
          </w:p>
          <w:p w14:paraId="28DE2ED5" w14:textId="77777777" w:rsidR="00A00259" w:rsidRDefault="00371282">
            <w:pPr>
              <w:pStyle w:val="P68B1DB1-Normal12"/>
              <w:spacing w:after="0" w:line="240" w:lineRule="auto"/>
              <w:rPr>
                <w:noProof/>
              </w:rPr>
            </w:pPr>
            <w:r>
              <w:rPr>
                <w:noProof/>
              </w:rPr>
              <w:t>5) Secure EO Services &amp; Infrastructure de données pour améliorer la plate-forme gouvernementale et les services phares en aval;</w:t>
            </w:r>
          </w:p>
          <w:p w14:paraId="6EB767E2" w14:textId="77777777" w:rsidR="00A00259" w:rsidRDefault="00371282">
            <w:pPr>
              <w:pStyle w:val="P68B1DB1-Normal12"/>
              <w:spacing w:after="0" w:line="240" w:lineRule="auto"/>
              <w:rPr>
                <w:noProof/>
              </w:rPr>
            </w:pPr>
            <w:r>
              <w:rPr>
                <w:noProof/>
              </w:rPr>
              <w:t>6) Formation des diplômés grecs en relation avec les activités dans le cadre de cet arrangement de projet et les activités de communication.</w:t>
            </w:r>
          </w:p>
          <w:p w14:paraId="0D194663" w14:textId="77777777" w:rsidR="00A00259" w:rsidRDefault="00A00259">
            <w:pPr>
              <w:spacing w:after="0" w:line="240" w:lineRule="auto"/>
              <w:rPr>
                <w:rFonts w:ascii="Times New Roman" w:hAnsi="Times New Roman" w:cs="Times New Roman"/>
                <w:noProof/>
                <w:color w:val="006100"/>
                <w:sz w:val="18"/>
                <w:szCs w:val="18"/>
              </w:rPr>
            </w:pPr>
          </w:p>
          <w:p w14:paraId="1DADEC0E" w14:textId="77777777" w:rsidR="00A00259" w:rsidRDefault="00371282">
            <w:pPr>
              <w:pStyle w:val="P68B1DB1-Normal12"/>
              <w:spacing w:after="0" w:line="240" w:lineRule="auto"/>
              <w:rPr>
                <w:noProof/>
              </w:rPr>
            </w:pPr>
            <w:r>
              <w:rPr>
                <w:noProof/>
              </w:rPr>
              <w:t>L'accord de projet comprend également une disposition garantissant que les fonds seront entièrement et exclusivement utilisés par l'ESA pour soutenir les activités de la phase II.</w:t>
            </w:r>
          </w:p>
          <w:p w14:paraId="34458F62" w14:textId="77777777" w:rsidR="00A00259" w:rsidRDefault="00A00259">
            <w:pPr>
              <w:spacing w:after="0" w:line="240" w:lineRule="auto"/>
              <w:rPr>
                <w:rFonts w:ascii="Times New Roman" w:hAnsi="Times New Roman" w:cs="Times New Roman"/>
                <w:noProof/>
                <w:color w:val="006100"/>
                <w:sz w:val="18"/>
                <w:szCs w:val="18"/>
              </w:rPr>
            </w:pPr>
          </w:p>
          <w:p w14:paraId="54264714" w14:textId="30EE7275" w:rsidR="00A00259" w:rsidRDefault="00371282">
            <w:pPr>
              <w:pStyle w:val="P68B1DB1-Normal12"/>
              <w:spacing w:after="0" w:line="240" w:lineRule="auto"/>
              <w:rPr>
                <w:noProof/>
              </w:rPr>
            </w:pPr>
            <w:r>
              <w:rPr>
                <w:noProof/>
              </w:rPr>
              <w:t>La Grèce transfère 350 000 000 EUR à l’ESA pour le soutien des activités de la phase II de l’arrangement relatif au projet.</w:t>
            </w:r>
          </w:p>
        </w:tc>
      </w:tr>
      <w:tr w:rsidR="00A00259" w14:paraId="6D947DB9" w14:textId="77777777" w:rsidTr="00CE3F9A">
        <w:trPr>
          <w:trHeight w:val="309"/>
          <w:jc w:val="center"/>
        </w:trPr>
        <w:tc>
          <w:tcPr>
            <w:tcW w:w="588" w:type="dxa"/>
            <w:shd w:val="clear" w:color="auto" w:fill="C6EFCE"/>
            <w:noWrap/>
          </w:tcPr>
          <w:p w14:paraId="7D78EFE6" w14:textId="77777777" w:rsidR="00A00259" w:rsidRDefault="00371282">
            <w:pPr>
              <w:pStyle w:val="P68B1DB1-Normal12"/>
              <w:spacing w:after="0" w:line="240" w:lineRule="auto"/>
              <w:rPr>
                <w:rFonts w:eastAsia="Times New Roman"/>
                <w:noProof/>
              </w:rPr>
            </w:pPr>
            <w:r>
              <w:rPr>
                <w:noProof/>
              </w:rPr>
              <w:t>333</w:t>
            </w:r>
          </w:p>
        </w:tc>
        <w:tc>
          <w:tcPr>
            <w:tcW w:w="1680" w:type="dxa"/>
            <w:shd w:val="clear" w:color="auto" w:fill="C6EFCE"/>
            <w:noWrap/>
          </w:tcPr>
          <w:p w14:paraId="23983DF2" w14:textId="77777777" w:rsidR="00A00259" w:rsidRDefault="00371282">
            <w:pPr>
              <w:pStyle w:val="P68B1DB1-Normal16"/>
              <w:spacing w:after="0" w:line="240" w:lineRule="auto"/>
              <w:rPr>
                <w:rFonts w:eastAsia="Times New Roman"/>
                <w:noProof/>
                <w:color w:val="006100"/>
              </w:rPr>
            </w:pPr>
            <w:r>
              <w:rPr>
                <w:noProof/>
                <w:color w:val="006100"/>
              </w:rPr>
              <w:t>5 - 2.1. 16844_</w:t>
            </w:r>
            <w:r>
              <w:rPr>
                <w:noProof/>
              </w:rPr>
              <w:t xml:space="preserve"> </w:t>
            </w:r>
            <w:r>
              <w:rPr>
                <w:noProof/>
                <w:color w:val="006100"/>
              </w:rPr>
              <w:t>Transition vers la technologie 5G, facilitant le développement de services à distance innovants</w:t>
            </w:r>
          </w:p>
        </w:tc>
        <w:tc>
          <w:tcPr>
            <w:tcW w:w="1155" w:type="dxa"/>
            <w:shd w:val="clear" w:color="auto" w:fill="C6EFCE"/>
            <w:noWrap/>
          </w:tcPr>
          <w:p w14:paraId="228D3C44" w14:textId="77777777" w:rsidR="00A00259" w:rsidRDefault="00371282">
            <w:pPr>
              <w:pStyle w:val="P68B1DB1-Normal12"/>
              <w:spacing w:after="0" w:line="240" w:lineRule="auto"/>
              <w:rPr>
                <w:rFonts w:eastAsia="Times New Roman"/>
                <w:noProof/>
              </w:rPr>
            </w:pPr>
            <w:r>
              <w:rPr>
                <w:noProof/>
              </w:rPr>
              <w:t>Étape</w:t>
            </w:r>
          </w:p>
        </w:tc>
        <w:tc>
          <w:tcPr>
            <w:tcW w:w="1560" w:type="dxa"/>
            <w:shd w:val="clear" w:color="auto" w:fill="C6EFCE"/>
            <w:noWrap/>
          </w:tcPr>
          <w:p w14:paraId="1F4DBDE5" w14:textId="77777777" w:rsidR="00A00259" w:rsidRDefault="00371282">
            <w:pPr>
              <w:pStyle w:val="P68B1DB1-Normal12"/>
              <w:spacing w:after="0" w:line="240" w:lineRule="auto"/>
              <w:rPr>
                <w:rFonts w:eastAsia="Times New Roman"/>
                <w:noProof/>
              </w:rPr>
            </w:pPr>
            <w:r>
              <w:rPr>
                <w:noProof/>
              </w:rPr>
              <w:t>Entrée en vigueur de la réforme de la transition vers la technologie 5G</w:t>
            </w:r>
          </w:p>
        </w:tc>
        <w:tc>
          <w:tcPr>
            <w:tcW w:w="2268" w:type="dxa"/>
            <w:shd w:val="clear" w:color="auto" w:fill="C6EFCE"/>
            <w:noWrap/>
          </w:tcPr>
          <w:p w14:paraId="047AAEB8" w14:textId="77777777" w:rsidR="00A00259" w:rsidRDefault="00371282">
            <w:pPr>
              <w:pStyle w:val="P68B1DB1-Normal12"/>
              <w:spacing w:after="0" w:line="240" w:lineRule="auto"/>
              <w:rPr>
                <w:rFonts w:eastAsia="Times New Roman"/>
                <w:noProof/>
              </w:rPr>
            </w:pPr>
            <w:r>
              <w:rPr>
                <w:noProof/>
              </w:rPr>
              <w:t>Entrée en vigueur du cadre réglementaire et législatif</w:t>
            </w:r>
          </w:p>
        </w:tc>
        <w:tc>
          <w:tcPr>
            <w:tcW w:w="1417" w:type="dxa"/>
            <w:shd w:val="clear" w:color="auto" w:fill="C6EFCE"/>
            <w:noWrap/>
          </w:tcPr>
          <w:p w14:paraId="718D88F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5DCCF19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1A5D9AD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40A8B58" w14:textId="77777777" w:rsidR="00A00259" w:rsidRDefault="00371282">
            <w:pPr>
              <w:pStyle w:val="P68B1DB1-Normal12"/>
              <w:spacing w:after="0" w:line="240" w:lineRule="auto"/>
              <w:rPr>
                <w:rFonts w:eastAsia="Times New Roman"/>
                <w:noProof/>
              </w:rPr>
            </w:pPr>
            <w:r>
              <w:rPr>
                <w:noProof/>
              </w:rPr>
              <w:t>T3</w:t>
            </w:r>
          </w:p>
        </w:tc>
        <w:tc>
          <w:tcPr>
            <w:tcW w:w="842" w:type="dxa"/>
            <w:shd w:val="clear" w:color="auto" w:fill="C6EFCE"/>
            <w:noWrap/>
          </w:tcPr>
          <w:p w14:paraId="739062E4" w14:textId="77777777" w:rsidR="00A00259" w:rsidRDefault="00371282">
            <w:pPr>
              <w:pStyle w:val="P68B1DB1-Normal12"/>
              <w:spacing w:after="0" w:line="240" w:lineRule="auto"/>
              <w:rPr>
                <w:rFonts w:eastAsia="Times New Roman"/>
                <w:noProof/>
              </w:rPr>
            </w:pPr>
            <w:r>
              <w:rPr>
                <w:noProof/>
              </w:rPr>
              <w:t>2024</w:t>
            </w:r>
          </w:p>
        </w:tc>
        <w:tc>
          <w:tcPr>
            <w:tcW w:w="3402" w:type="dxa"/>
            <w:shd w:val="clear" w:color="auto" w:fill="C6EFCE"/>
            <w:noWrap/>
          </w:tcPr>
          <w:p w14:paraId="052EC050" w14:textId="77777777" w:rsidR="00A00259" w:rsidRDefault="00371282">
            <w:pPr>
              <w:pStyle w:val="P68B1DB1-Normal12"/>
              <w:spacing w:after="0" w:line="240" w:lineRule="auto"/>
              <w:rPr>
                <w:noProof/>
              </w:rPr>
            </w:pPr>
            <w:r>
              <w:rPr>
                <w:noProof/>
              </w:rPr>
              <w:t>Entrée en vigueur du droit dérivé définissant le processus d’attribution du spectre 5G pour les projets pilotes par l’intermédiaire du fonds Phaistos et/ou d’entités universitaires, y compris un processus visant à identifier d’autres possibilités et risques dans le développement des réseaux 5G, la rationalisation des procédures d’attribution du spectre 5G et l’évaluation des exigences et des risques dans des applications économiques spécifiques.</w:t>
            </w:r>
          </w:p>
        </w:tc>
      </w:tr>
      <w:tr w:rsidR="00A00259" w14:paraId="236DC0ED" w14:textId="77777777" w:rsidTr="00CE3F9A">
        <w:trPr>
          <w:trHeight w:val="309"/>
          <w:jc w:val="center"/>
        </w:trPr>
        <w:tc>
          <w:tcPr>
            <w:tcW w:w="588" w:type="dxa"/>
            <w:shd w:val="clear" w:color="auto" w:fill="C6EFCE"/>
            <w:noWrap/>
          </w:tcPr>
          <w:p w14:paraId="74A8190A" w14:textId="77777777" w:rsidR="00A00259" w:rsidRDefault="00371282">
            <w:pPr>
              <w:pStyle w:val="P68B1DB1-Normal12"/>
              <w:spacing w:after="0" w:line="240" w:lineRule="auto"/>
              <w:rPr>
                <w:rFonts w:eastAsia="Times New Roman"/>
                <w:noProof/>
              </w:rPr>
            </w:pPr>
            <w:r>
              <w:rPr>
                <w:noProof/>
              </w:rPr>
              <w:t>334</w:t>
            </w:r>
          </w:p>
        </w:tc>
        <w:tc>
          <w:tcPr>
            <w:tcW w:w="1680" w:type="dxa"/>
            <w:shd w:val="clear" w:color="auto" w:fill="C6EFCE"/>
            <w:noWrap/>
          </w:tcPr>
          <w:p w14:paraId="6FD59821" w14:textId="03E6B006" w:rsidR="00A00259" w:rsidRDefault="00371282">
            <w:pPr>
              <w:pStyle w:val="P68B1DB1-Normal12"/>
              <w:spacing w:after="0" w:line="240" w:lineRule="auto"/>
              <w:rPr>
                <w:rFonts w:eastAsia="Times New Roman"/>
                <w:noProof/>
              </w:rPr>
            </w:pPr>
            <w:r>
              <w:rPr>
                <w:noProof/>
              </w:rPr>
              <w:t>5 - 2.1. 16857_Switch to Gigabit broadband connections – Transition to Gigabit broadband connections and strengthening of Gigabit broadband demand (Connecter - 16857Switch aux connexions à haut débit gigabit – Transition vers les connexions à haut débit gigabit et renforcement de la demande de haut débit gigabit)</w:t>
            </w:r>
          </w:p>
        </w:tc>
        <w:tc>
          <w:tcPr>
            <w:tcW w:w="1155" w:type="dxa"/>
            <w:shd w:val="clear" w:color="auto" w:fill="C6EFCE"/>
            <w:noWrap/>
          </w:tcPr>
          <w:p w14:paraId="703A21CC" w14:textId="77777777" w:rsidR="00A00259" w:rsidRDefault="00371282">
            <w:pPr>
              <w:pStyle w:val="P68B1DB1-Normal12"/>
              <w:spacing w:after="0" w:line="240" w:lineRule="auto"/>
              <w:rPr>
                <w:rFonts w:eastAsia="Times New Roman"/>
                <w:noProof/>
              </w:rPr>
            </w:pPr>
            <w:r>
              <w:rPr>
                <w:noProof/>
              </w:rPr>
              <w:t>Étape</w:t>
            </w:r>
          </w:p>
        </w:tc>
        <w:tc>
          <w:tcPr>
            <w:tcW w:w="1560" w:type="dxa"/>
            <w:shd w:val="clear" w:color="auto" w:fill="C6EFCE"/>
            <w:noWrap/>
          </w:tcPr>
          <w:p w14:paraId="012F7A09" w14:textId="77777777" w:rsidR="00A00259" w:rsidRDefault="00371282">
            <w:pPr>
              <w:pStyle w:val="P68B1DB1-Normal12"/>
              <w:spacing w:after="0" w:line="240" w:lineRule="auto"/>
              <w:rPr>
                <w:rFonts w:eastAsia="Times New Roman"/>
                <w:noProof/>
              </w:rPr>
            </w:pPr>
            <w:r>
              <w:rPr>
                <w:noProof/>
              </w:rPr>
              <w:t>Entrée en vigueur de la réforme du passage aux connexions à haut débit gigabit</w:t>
            </w:r>
          </w:p>
        </w:tc>
        <w:tc>
          <w:tcPr>
            <w:tcW w:w="2268" w:type="dxa"/>
            <w:shd w:val="clear" w:color="auto" w:fill="C6EFCE"/>
            <w:noWrap/>
          </w:tcPr>
          <w:p w14:paraId="1569668A" w14:textId="77777777" w:rsidR="00A00259" w:rsidRDefault="00371282">
            <w:pPr>
              <w:pStyle w:val="P68B1DB1-Normal12"/>
              <w:spacing w:after="0" w:line="240" w:lineRule="auto"/>
              <w:rPr>
                <w:rFonts w:eastAsia="Times New Roman"/>
                <w:noProof/>
              </w:rPr>
            </w:pPr>
            <w:r>
              <w:rPr>
                <w:noProof/>
              </w:rPr>
              <w:t>Entrée en vigueur du cadre législatif</w:t>
            </w:r>
          </w:p>
        </w:tc>
        <w:tc>
          <w:tcPr>
            <w:tcW w:w="1417" w:type="dxa"/>
            <w:shd w:val="clear" w:color="auto" w:fill="C6EFCE"/>
            <w:noWrap/>
          </w:tcPr>
          <w:p w14:paraId="078F899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289F03F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77681E9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70697E39" w14:textId="77777777" w:rsidR="00A00259" w:rsidRDefault="00371282">
            <w:pPr>
              <w:pStyle w:val="P68B1DB1-Normal12"/>
              <w:spacing w:after="0" w:line="240" w:lineRule="auto"/>
              <w:rPr>
                <w:rFonts w:eastAsia="Times New Roman"/>
                <w:noProof/>
              </w:rPr>
            </w:pPr>
            <w:r>
              <w:rPr>
                <w:noProof/>
              </w:rPr>
              <w:t>T2</w:t>
            </w:r>
          </w:p>
        </w:tc>
        <w:tc>
          <w:tcPr>
            <w:tcW w:w="842" w:type="dxa"/>
            <w:shd w:val="clear" w:color="auto" w:fill="C6EFCE"/>
            <w:noWrap/>
          </w:tcPr>
          <w:p w14:paraId="1A1C3557" w14:textId="77777777" w:rsidR="00A00259" w:rsidRDefault="00371282">
            <w:pPr>
              <w:pStyle w:val="P68B1DB1-Normal12"/>
              <w:spacing w:after="0" w:line="240" w:lineRule="auto"/>
              <w:rPr>
                <w:rFonts w:eastAsia="Times New Roman"/>
                <w:noProof/>
              </w:rPr>
            </w:pPr>
            <w:r>
              <w:rPr>
                <w:noProof/>
              </w:rPr>
              <w:t>2024</w:t>
            </w:r>
          </w:p>
        </w:tc>
        <w:tc>
          <w:tcPr>
            <w:tcW w:w="3402" w:type="dxa"/>
            <w:shd w:val="clear" w:color="auto" w:fill="C6EFCE"/>
            <w:noWrap/>
          </w:tcPr>
          <w:p w14:paraId="4736FBFC" w14:textId="77777777" w:rsidR="00A00259" w:rsidRDefault="00371282">
            <w:pPr>
              <w:pStyle w:val="P68B1DB1-xmsonormal33"/>
              <w:rPr>
                <w:rFonts w:eastAsia="Times New Roman" w:cs="Calibri"/>
                <w:noProof/>
              </w:rPr>
            </w:pPr>
            <w:r>
              <w:rPr>
                <w:noProof/>
              </w:rPr>
              <w:t xml:space="preserve">Entrée en vigueur d’un cadre juridique définissant les spécifications techniques et les règles et procédures pertinentes pour le déploiement d’infrastructures à haut débit internes capables de fournir une connectivité gigabit aux utilisateurs finaux. </w:t>
            </w:r>
          </w:p>
        </w:tc>
      </w:tr>
    </w:tbl>
    <w:p w14:paraId="448EF76C" w14:textId="77777777" w:rsidR="00A00259" w:rsidRDefault="00A00259">
      <w:pPr>
        <w:spacing w:before="120" w:after="120" w:line="240" w:lineRule="auto"/>
        <w:ind w:left="709"/>
        <w:jc w:val="both"/>
        <w:rPr>
          <w:rFonts w:ascii="Times New Roman" w:hAnsi="Times New Roman" w:cs="Times New Roman"/>
          <w:noProof/>
          <w:sz w:val="24"/>
          <w:szCs w:val="24"/>
        </w:rPr>
        <w:sectPr w:rsidR="00A00259">
          <w:headerReference w:type="even" r:id="rId126"/>
          <w:headerReference w:type="default" r:id="rId127"/>
          <w:footerReference w:type="even" r:id="rId128"/>
          <w:footerReference w:type="default" r:id="rId129"/>
          <w:headerReference w:type="first" r:id="rId130"/>
          <w:footerReference w:type="first" r:id="rId131"/>
          <w:pgSz w:w="16839" w:h="11907" w:orient="landscape"/>
          <w:pgMar w:top="1134" w:right="1134" w:bottom="1134" w:left="1134" w:header="567" w:footer="567" w:gutter="0"/>
          <w:cols w:space="720"/>
          <w:docGrid w:linePitch="360"/>
        </w:sectPr>
      </w:pPr>
    </w:p>
    <w:p w14:paraId="3BB6D455" w14:textId="77777777" w:rsidR="00A00259" w:rsidRDefault="00371282">
      <w:pPr>
        <w:pStyle w:val="P68B1DB1-Normal17"/>
        <w:spacing w:before="120" w:after="120" w:line="240" w:lineRule="auto"/>
        <w:ind w:firstLine="6"/>
        <w:jc w:val="both"/>
        <w:outlineLvl w:val="3"/>
        <w:rPr>
          <w:rFonts w:cs="Times New Roman"/>
          <w:bCs/>
          <w:noProof/>
        </w:rPr>
      </w:pPr>
      <w:r>
        <w:rPr>
          <w:noProof/>
        </w:rPr>
        <w:t>F. ÉLÉMENT 2.2: MODERNISE</w:t>
      </w:r>
    </w:p>
    <w:p w14:paraId="6FFCA282" w14:textId="77777777" w:rsidR="00A00259" w:rsidRDefault="00371282">
      <w:pPr>
        <w:pStyle w:val="P68B1DB1-Normal5"/>
        <w:spacing w:before="120" w:after="120" w:line="240" w:lineRule="auto"/>
        <w:jc w:val="both"/>
        <w:rPr>
          <w:rFonts w:cs="Times New Roman"/>
          <w:noProof/>
        </w:rPr>
      </w:pPr>
      <w:r>
        <w:rPr>
          <w:noProof/>
        </w:rPr>
        <w:t xml:space="preserve">Le volet «Moderniser» </w:t>
      </w:r>
      <w:r>
        <w:rPr>
          <w:noProof/>
          <w:color w:val="000000"/>
        </w:rPr>
        <w:t>du plan grec pour la reprise et la résilience</w:t>
      </w:r>
      <w:r>
        <w:rPr>
          <w:noProof/>
        </w:rPr>
        <w:t xml:space="preserve"> vise à moderniser l’administration publique en améliorant son modèle opérationnel et en fournissant des services de qualité aux citoyens et aux entreprises. L’accélération des efforts visant à améliorer les performances numériques de l’administration publique sert de catalyseur pour atteindre cet objectif. Objectif en matière de réformes et d’investissements: a) la transformation numérique des organisations du secteur public, y compris la numérisation des archives et l’amélioration des services numériques; b) l’amélioration des processus opérationnels suivie de l’intégration de systèmes informatiques modernes; c) une interopérabilité accrue entre les systèmes et les données; d) de vastes stratégies et politiques en matière de cybersécurité et de gouvernance des données; ainsi que e) l’utilisation étendue de technologies avancées, telles que l’informatique en nuage, l’intelligence artificielle et les mégadonnées.</w:t>
      </w:r>
    </w:p>
    <w:p w14:paraId="49F34911" w14:textId="77777777" w:rsidR="00A00259" w:rsidRDefault="00371282">
      <w:pPr>
        <w:pStyle w:val="P68B1DB1-Normal5"/>
        <w:spacing w:before="120" w:after="120" w:line="240" w:lineRule="auto"/>
        <w:jc w:val="both"/>
        <w:rPr>
          <w:rFonts w:cs="Times New Roman"/>
          <w:noProof/>
        </w:rPr>
      </w:pPr>
      <w:r>
        <w:rPr>
          <w:noProof/>
        </w:rPr>
        <w:t>Ce volet vise à relever le défi de la modernisation et de la numérisation de l’administration publique, tout en rationalisant et en simplifiant ses processus et procédures clés. Elle soutient la mise en œuvre de la recommandation par pays sur les investissements publics et privés (recommandations par pays no 3 2020 et no 2 2019) en améliorant l’efficacité et la numérisation de l’administration publique. 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1546E420" w14:textId="77777777" w:rsidR="00A00259" w:rsidRDefault="00371282">
      <w:pPr>
        <w:pStyle w:val="P68B1DB1-Normal6"/>
        <w:spacing w:before="120" w:after="120" w:line="240" w:lineRule="auto"/>
        <w:jc w:val="both"/>
        <w:rPr>
          <w:rFonts w:cs="Times New Roman"/>
          <w:i/>
          <w:noProof/>
          <w:color w:val="4F81BD"/>
        </w:rPr>
      </w:pPr>
      <w:r>
        <w:rPr>
          <w:noProof/>
        </w:rPr>
        <w:t>F.1. Description des réformes et des investissements pour le soutien financier non remboursable</w:t>
      </w:r>
    </w:p>
    <w:p w14:paraId="5BAA5606"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Vers des services orientés «clients» de l’administration publique par la simplification et l’amélioration des processus, l’amélioration des systèmes et le respect des stratégies et politiques européennes (mesure ID 16929)</w:t>
      </w:r>
    </w:p>
    <w:p w14:paraId="30B2F913" w14:textId="77777777" w:rsidR="00A00259" w:rsidRDefault="00371282">
      <w:pPr>
        <w:pStyle w:val="P68B1DB1-Normal7"/>
        <w:spacing w:before="120" w:after="120" w:line="240" w:lineRule="auto"/>
        <w:jc w:val="both"/>
        <w:rPr>
          <w:rFonts w:cs="Times New Roman"/>
          <w:noProof/>
        </w:rPr>
      </w:pPr>
      <w:r>
        <w:rPr>
          <w:noProof/>
        </w:rPr>
        <w:t xml:space="preserve">L’objectif de la réforme est de fournir des services publics axés sur l’utilisateur aux citoyens et aux entreprises grecs et d’assurer un meilleur fonctionnement de l’administration publique grecque. La réforme consiste à: a) l'entrée en vigueur des chapitres pertinents du code de l'administration locale unique et b) la mise en œuvre d'actions de suivi et de mesure de la charge administrative et de soutien au processus d'analyse d'impact réglementaire. </w:t>
      </w:r>
    </w:p>
    <w:p w14:paraId="5D0A2006"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Numérisation des archives et services connexes (mesure ID 16778)</w:t>
      </w:r>
    </w:p>
    <w:p w14:paraId="687B6304" w14:textId="77777777" w:rsidR="00A00259" w:rsidRDefault="00371282">
      <w:pPr>
        <w:pStyle w:val="P68B1DB1-Normal7"/>
        <w:jc w:val="both"/>
        <w:rPr>
          <w:noProof/>
        </w:rPr>
      </w:pPr>
      <w:r>
        <w:rPr>
          <w:noProof/>
        </w:rPr>
        <w:t xml:space="preserve">L’investissement consiste en la numérisation d’archives clés dans divers secteurs (justice, santé, archives générales de l’État, urbanisme, expropriations, cadastre, immigration et asile, affaires maritimes) et en l’intégration dans les systèmes informatiques pertinents, ainsi qu’en la mise en œuvre pilote d’un stockage sécurisé des archives du secteur public et du secteur public «plus large» (neuf sous-projets au total). </w:t>
      </w:r>
    </w:p>
    <w:p w14:paraId="60926C50" w14:textId="77777777" w:rsidR="00A00259" w:rsidRDefault="00371282">
      <w:pPr>
        <w:pStyle w:val="P68B1DB1-Normal7"/>
        <w:spacing w:before="120" w:after="120"/>
        <w:jc w:val="both"/>
        <w:rPr>
          <w:noProof/>
        </w:rPr>
      </w:pPr>
      <w:r>
        <w:rPr>
          <w:noProof/>
        </w:rPr>
        <w:t>Plus précisément, lesdits sous-projets comprendront la mise en œuvre de la numérisation de 1 150 000 000 pages et d’autres actions nécessaires en ce qui concerne les archives suivantes: 1) le système judiciaire, 2) les dossiers médicaux et les examens d’imagerie du système de santé publique, 3) les archives générales de l’État pour les agences centrales et locales, 4) le système d’immigration et d’asile, 5) les plans d’expropriation, 6) les permis et plans de construction et la création de métadonnées et de géocodage pour les agences d’urbanisme, 7a) les titres de propriété et les documents correspondants dans les bureaux des hypothèques du Cadastre et 7b) la mise en œuvre des services améliorés du Cadastre et 8) les affaires maritimes. Le sous-projet 9) concerne la mise en œuvre pilote d’un stockage sécurisé de 1 440 000 boîtes de fichiers contenant des fichiers physiques dans d’autres archives du secteur public. Cet investissement vise à réduire le coût en temps de la fourniture de services au public par l’administration publique, tandis qu’un meilleur accès aux archives vise également à réaliser d’importantes économies de coûts et à libérer des ressources.</w:t>
      </w:r>
    </w:p>
    <w:p w14:paraId="6C522D6C"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CRM pour le gouvernement général (mesure ID 16810)</w:t>
      </w:r>
    </w:p>
    <w:p w14:paraId="27A58BCF" w14:textId="77777777" w:rsidR="00A00259" w:rsidRDefault="00371282">
      <w:pPr>
        <w:pStyle w:val="P68B1DB1-Normal7"/>
        <w:spacing w:before="120" w:after="120" w:line="240" w:lineRule="auto"/>
        <w:jc w:val="both"/>
        <w:rPr>
          <w:rFonts w:cs="Times New Roman"/>
          <w:noProof/>
        </w:rPr>
      </w:pPr>
      <w:r>
        <w:rPr>
          <w:noProof/>
        </w:rPr>
        <w:t xml:space="preserve">L’objectif de cet investissement est la conception, la mise en place et le lancement d’un système intégré de gestion de l’ensemble du cycle de vie des relations de l’administration publique avec les citoyens et les entreprises. L’investissement consiste en a) un système de gestion de la relation client pour l’administration publique, permettant la gestion des interactions de l’administration publique avec les citoyens et les entreprises, et b) la disponibilité d’un système intégré de communication électronique entre les systèmes et services du secteur public et les citoyens grecs (Gov. gr – messenger). </w:t>
      </w:r>
    </w:p>
    <w:p w14:paraId="14F15C8B"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Modernisation des guichets uniques de l’administration publique (mesure ID 16780)</w:t>
      </w:r>
    </w:p>
    <w:p w14:paraId="0A77F9E5" w14:textId="77777777" w:rsidR="00A00259" w:rsidRDefault="00371282">
      <w:pPr>
        <w:pStyle w:val="NormalWeb"/>
        <w:spacing w:before="120" w:after="120" w:line="240" w:lineRule="auto"/>
        <w:jc w:val="both"/>
        <w:rPr>
          <w:noProof/>
        </w:rPr>
      </w:pPr>
      <w:r>
        <w:rPr>
          <w:noProof/>
        </w:rPr>
        <w:t>L’objectif de la mesure est la modernisation des centres de services aux citoyens (KEP). L’investissement consiste en l’achat de nouveaux équipements et outils numériques et en la rénovation des bâtiments des guichets uniques de l’administration publique.</w:t>
      </w:r>
    </w:p>
    <w:p w14:paraId="37BA7EEA"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Nouveau système pour les marchés publics (mesure ID 16736)</w:t>
      </w:r>
    </w:p>
    <w:p w14:paraId="08A39DBE" w14:textId="79E5FCCD" w:rsidR="00A00259" w:rsidRDefault="00371282">
      <w:pPr>
        <w:pStyle w:val="P68B1DB1-Normal8"/>
        <w:spacing w:before="120" w:after="120" w:line="240" w:lineRule="auto"/>
        <w:jc w:val="both"/>
        <w:rPr>
          <w:rFonts w:ascii="Times New Roman" w:hAnsi="Times New Roman" w:cs="Times New Roman"/>
          <w:noProof/>
        </w:rPr>
      </w:pPr>
      <w:r>
        <w:rPr>
          <w:rFonts w:ascii="Times New Roman" w:eastAsia="Times New Roman" w:hAnsi="Times New Roman" w:cs="Times New Roman"/>
          <w:noProof/>
          <w:color w:val="000000" w:themeColor="text1"/>
        </w:rPr>
        <w:t xml:space="preserve">L’investissement concerne la refonte et la mise en œuvre d’un nouveau système informatique pour les marchés publics. </w:t>
      </w:r>
      <w:r>
        <w:rPr>
          <w:rFonts w:ascii="Times New Roman" w:hAnsi="Times New Roman"/>
          <w:noProof/>
        </w:rPr>
        <w:t>L'investissement comprend: a) la refonte et l'enrichissement du portail www.eprocurement.gov.gr; b) les sous-systèmes d'ajouts et de personnalisations étendus utilisés pour les appels d'offres; c) la réforme, le réaménagement et l'enrichissement du Registre électronique central des marchés publics (KIMDIS), la mise à niveau et l'expansion des systèmes d'extraction de données statistiques et leur traitement statistique ultérieur; d) la configuration et la mise en œuvre des extensions du système électronique de passation des marchés publics (ESIDIS) afin de soutenir de nouvelles stratégies et de nouveaux processus opérationnels dans le domaine des marchés publics par voie électronique; e) l'amélioration des services d'interopérabilité déjà mis en œuvre et la mise en œuvre de nouveaux services d'échange de données; f) Services d'interopérabilité électronique par l'intermédiaire du centre d'interopérabilité (KED), qui fait partie du portail numérique unique national (gov.gr); g) la mise en place d'un mécanisme de cryptage des données stockées dans les bases de données du système pour empêcher les actions malveillantes des administrateurs ESIDIS et G-Cloud; h) une nouvelle étude de sécurité et des ajouts et/ou des modifications au système afin d'accroître sa sécurité, sa certification et ses interventions pour améliorer la sécurité du système afin de permettre une certification future; i) l'amélioration et la relance du système de planification des marchés publics en vue d'un soutien plus large aux marchés publics et aux procédures centralisées de passation de marchés au moyen de catalogues électroniques; j) l'ajout de demandes de soutien aux opérateurs économiques: enrichissement des demandes de recherche d'offres, des données historiques et statistiques sur leur participation aux procédures de passation de marchés, enrichissement des sous-systèmes d'information et de communication des fournisseurs et des pouvoirs adjudicateurs; k) l'ajout de capacités d'assistant virtuel afin que toute personne intéressée puisse poser des questions en langage naturel; l) l'ajout d'un système d'archivage électronique des fichiers (ESIDIS - KIMDIS) conforme aux dispositions du cadre juridique des fichiers électroniques; m) la production de matériel de formation et d'actions publicitaires; n) services de soutien technique et de suivi de projets; et o) une étude évaluant les possibilités et l’efficacité des outils de passation électronique de marchés existants, ainsi que leur sélection ou leur mise à niveau ou leur remplacement par de nouveaux outils plus efficaces.</w:t>
      </w:r>
    </w:p>
    <w:p w14:paraId="07E7477C"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Transformation numérique du ministère des affaires étrangères (mesure ID 16742)</w:t>
      </w:r>
    </w:p>
    <w:p w14:paraId="4EAE2222" w14:textId="198CD695" w:rsidR="00A00259" w:rsidRDefault="00371282">
      <w:pPr>
        <w:pStyle w:val="NormalWeb"/>
        <w:spacing w:after="0" w:line="240" w:lineRule="auto"/>
        <w:jc w:val="both"/>
        <w:rPr>
          <w:noProof/>
        </w:rPr>
      </w:pPr>
      <w:r>
        <w:rPr>
          <w:noProof/>
        </w:rPr>
        <w:t>L’objectif de cette mesure est de moderniser le ministère des affaires étrangères. L’investissement consiste en la numérisation des opérations et de l’infrastructure informatique.</w:t>
      </w:r>
    </w:p>
    <w:p w14:paraId="09605423"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Programmes de mise à niveau des compétences numériques pour les conscrits (mesure ID 16826)</w:t>
      </w:r>
    </w:p>
    <w:p w14:paraId="4F8877C3" w14:textId="77777777" w:rsidR="00A00259" w:rsidRDefault="00371282">
      <w:pPr>
        <w:pStyle w:val="P68B1DB1-Normal7"/>
        <w:spacing w:before="120" w:after="120" w:line="240" w:lineRule="auto"/>
        <w:jc w:val="both"/>
        <w:rPr>
          <w:rFonts w:cs="Times New Roman"/>
          <w:noProof/>
        </w:rPr>
      </w:pPr>
      <w:r>
        <w:rPr>
          <w:noProof/>
        </w:rPr>
        <w:t xml:space="preserve">L'investissement intègre un programme de formation et de certification pour les compétences numériques dans le service militaire obligatoire. L’objectif est de tirer parti du temps de service des conscrits pour transmettre les compétences numériques nécessaires aux forces armées et au marché du travail d’aujourd’hui. La mise en œuvre de cet investissement s’effectuera par la mise à niveau et l’expansion de la plateforme de l’Académie numérique des citoyens et comprendra: a) Accès personnalisé des conscrits au portail de formation, doté de solides mécanismes de cybersécurité et de dissuasion des cyberattaques, ainsi que d'une architecture améliorée de protection des données à caractère personnel b) Configuration du portefeuille électronique (portefeuille électronique) du conscrit dans lequel son profil éducatif sera reflété avec ses qualifications existantes c) Développement et configuration de programmes de formation aux compétences numériques d) Développement et utilisation d'un outil d'auto-évaluation e) 50 000 tablettes qui seront acquises et fournies aux conscrits pendant la durée des programmes d'apprentissage à distance f) certification des compétences numériques acquises au cours du processus de formation, qui seront fondées sur des cadres européens et nationaux de compétences numériques. </w:t>
      </w:r>
    </w:p>
    <w:p w14:paraId="416764C2"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Transformation </w:t>
      </w:r>
      <w:bookmarkStart w:id="3" w:name="_Hlk213856119"/>
      <w:r>
        <w:rPr>
          <w:noProof/>
        </w:rPr>
        <w:t xml:space="preserve">numérique de l’organisation nationale grecque du tourisme </w:t>
      </w:r>
      <w:bookmarkEnd w:id="3"/>
      <w:r>
        <w:rPr>
          <w:noProof/>
        </w:rPr>
        <w:t>(mesure ID 16791)</w:t>
      </w:r>
    </w:p>
    <w:p w14:paraId="3691360D" w14:textId="77777777" w:rsidR="00A00259" w:rsidRDefault="00371282">
      <w:pPr>
        <w:pStyle w:val="P68B1DB1-Normal7"/>
        <w:spacing w:before="120" w:after="120" w:line="240" w:lineRule="auto"/>
        <w:jc w:val="both"/>
        <w:rPr>
          <w:noProof/>
        </w:rPr>
      </w:pPr>
      <w:bookmarkStart w:id="4" w:name="_Hlk213856157"/>
      <w:r>
        <w:rPr>
          <w:noProof/>
        </w:rPr>
        <w:t xml:space="preserve">L'objectif de cet investissement est de développer les capacités numériques de l'Organisation nationale grecque du tourisme. L’investissement consiste en la création d’une carte numérique du tourisme, d’un répertoire numérique des biens culturels de la Grèce et d’un nouveau système d’information touristique. </w:t>
      </w:r>
    </w:p>
    <w:bookmarkEnd w:id="4"/>
    <w:p w14:paraId="7BD366D0" w14:textId="16B2C850" w:rsidR="00A00259" w:rsidRDefault="00371282">
      <w:pPr>
        <w:pStyle w:val="P68B1DB1-Normal7"/>
        <w:spacing w:before="120" w:after="120" w:line="240" w:lineRule="auto"/>
        <w:jc w:val="both"/>
        <w:rPr>
          <w:rFonts w:cs="Times New Roman"/>
          <w:noProof/>
        </w:rPr>
      </w:pPr>
      <w:r>
        <w:rPr>
          <w:b/>
          <w:noProof/>
        </w:rPr>
        <w:t>Réforme:</w:t>
      </w:r>
      <w:r>
        <w:rPr>
          <w:noProof/>
        </w:rPr>
        <w:t xml:space="preserve"> Stratégie de cybersécurité et Centre national des opérations de cybersécurité (mesure ID 16823)</w:t>
      </w:r>
    </w:p>
    <w:p w14:paraId="781C2E73" w14:textId="77777777" w:rsidR="00A00259" w:rsidRDefault="00371282">
      <w:pPr>
        <w:pStyle w:val="P68B1DB1-Normal7"/>
        <w:spacing w:after="0" w:line="240" w:lineRule="auto"/>
        <w:jc w:val="both"/>
        <w:rPr>
          <w:noProof/>
        </w:rPr>
      </w:pPr>
      <w:r>
        <w:rPr>
          <w:noProof/>
        </w:rPr>
        <w:t>L’objectif de la mesure est d’améliorer la cybersécurité des systèmes du secteur public. La mesure consiste à mettre en place une stratégie de cybersécurité et un centre national des opérations de cybersécurité (SOC).</w:t>
      </w:r>
    </w:p>
    <w:p w14:paraId="6C2ED967"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Services web et centre d’interopérabilité de nouvelle génération (KED) (mesure ID 16779)</w:t>
      </w:r>
    </w:p>
    <w:p w14:paraId="5C572659" w14:textId="77777777" w:rsidR="00A00259" w:rsidRDefault="00371282">
      <w:pPr>
        <w:pStyle w:val="P68B1DB1-Normal7"/>
        <w:spacing w:before="120" w:after="120" w:line="240" w:lineRule="auto"/>
        <w:jc w:val="both"/>
        <w:rPr>
          <w:noProof/>
        </w:rPr>
      </w:pPr>
      <w:r>
        <w:rPr>
          <w:noProof/>
        </w:rPr>
        <w:t>L’objectif de cette mesure est de développer une infrastructure d’interopérabilité entre les services de l’administration publique afin de faciliter l’échange d’informations et les services en ligne. L'investissement consiste en a) des services web; b) Centre d'interopérabilité de nouvelle génération (KED).</w:t>
      </w:r>
    </w:p>
    <w:p w14:paraId="16670DC2"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Interconnexion et interopérabilité des registres, systèmes et services d’échange de données entre organismes publics nationaux (mesure ID 16782)</w:t>
      </w:r>
    </w:p>
    <w:p w14:paraId="0A8794C3" w14:textId="77777777" w:rsidR="00A00259" w:rsidRDefault="00371282">
      <w:pPr>
        <w:pStyle w:val="P68B1DB1-Normal7"/>
        <w:spacing w:before="120" w:after="120" w:line="240" w:lineRule="auto"/>
        <w:jc w:val="both"/>
        <w:rPr>
          <w:rFonts w:cs="Times New Roman"/>
          <w:noProof/>
        </w:rPr>
      </w:pPr>
      <w:r>
        <w:rPr>
          <w:noProof/>
        </w:rPr>
        <w:t>L’objectif de cette réforme est de faciliter la fourniture de services publics numériques aux citoyens et aux entreprises. La réforme consiste à introduire un cadre pour l'interconnexion et l'interopérabilité des registres et des services d'échange de données entre les organismes publics.</w:t>
      </w:r>
    </w:p>
    <w:p w14:paraId="0E62A2AF"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Registres électroniques (mesure ID 16824)</w:t>
      </w:r>
    </w:p>
    <w:p w14:paraId="7907BCA2" w14:textId="2600FDE9" w:rsidR="00A00259" w:rsidRDefault="00371282">
      <w:pPr>
        <w:pStyle w:val="P68B1DB1-Normal7"/>
        <w:spacing w:before="120" w:after="120" w:line="240" w:lineRule="auto"/>
        <w:jc w:val="both"/>
        <w:rPr>
          <w:rFonts w:cs="Times New Roman"/>
          <w:noProof/>
        </w:rPr>
      </w:pPr>
      <w:r>
        <w:rPr>
          <w:noProof/>
        </w:rPr>
        <w:t>L’objectif de cette mesure est de soutenir la fourniture de services publics numériques au moyen de registres et de plateformes électroniques. L’investissement consiste en la fourniture de registres et de plateformes électroniques dans les domaines suivants: registre des citoyens, bien-être animal, infrastructures d’électromobilité, santé et sécurité sociale.</w:t>
      </w:r>
    </w:p>
    <w:p w14:paraId="38DC815F"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Intégration de nouvelles technologies et tendances vers les services avancés de l’administration publique, augmentation de l’efficience et de l’efficacité et diminution des coûts d’exploitation, de mise à niveau et de maintenance des systèmes (mesure ID 16928)</w:t>
      </w:r>
    </w:p>
    <w:p w14:paraId="7E5BF05A" w14:textId="70F87BCF" w:rsidR="00A00259" w:rsidRDefault="00371282">
      <w:pPr>
        <w:pStyle w:val="P68B1DB1-Normal7"/>
        <w:spacing w:before="120" w:after="120" w:line="240" w:lineRule="auto"/>
        <w:jc w:val="both"/>
        <w:rPr>
          <w:rFonts w:cs="Times New Roman"/>
          <w:noProof/>
        </w:rPr>
      </w:pPr>
      <w:r>
        <w:rPr>
          <w:noProof/>
        </w:rPr>
        <w:t xml:space="preserve">L'objectif de cette réforme est de moderniser les services de l'administration publique par des avancées technologiques. La réforme consiste à introduire un cadre pour l'adoption de nouvelles technologies dans l'administration publique et une politique de données ouvertes et réutilisables. </w:t>
      </w:r>
    </w:p>
    <w:p w14:paraId="28209A8B"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Villes intelligentes (mesure ID 16854)</w:t>
      </w:r>
    </w:p>
    <w:p w14:paraId="05D58511" w14:textId="456384B2" w:rsidR="00A00259" w:rsidRDefault="00371282">
      <w:pPr>
        <w:pStyle w:val="P68B1DB1-Normal7"/>
        <w:spacing w:before="120" w:after="120" w:line="240" w:lineRule="auto"/>
        <w:jc w:val="both"/>
        <w:rPr>
          <w:rFonts w:cs="Times New Roman"/>
          <w:noProof/>
        </w:rPr>
      </w:pPr>
      <w:r>
        <w:rPr>
          <w:noProof/>
        </w:rPr>
        <w:t>L’objectif de l’investissement est de transformer progressivement 11 municipalités grecques en «villes intelligentes». La mesure consiste en la mise en œuvre de projets de «ville intelligente» par 11 municipalités.</w:t>
      </w:r>
    </w:p>
    <w:p w14:paraId="6B5E83FC"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Fourniture d’infrastructures et de services d’informatique en nuage centrale (mesure ID 16853)</w:t>
      </w:r>
    </w:p>
    <w:p w14:paraId="23FA5E33" w14:textId="77777777" w:rsidR="00A00259" w:rsidRDefault="00371282">
      <w:pPr>
        <w:pStyle w:val="P68B1DB1-Normal7"/>
        <w:spacing w:before="120" w:after="120" w:line="240" w:lineRule="auto"/>
        <w:jc w:val="both"/>
        <w:rPr>
          <w:rFonts w:cs="Times New Roman"/>
          <w:noProof/>
        </w:rPr>
      </w:pPr>
      <w:r>
        <w:rPr>
          <w:noProof/>
        </w:rPr>
        <w:t>L’investissement vise à améliorer le fonctionnement des principales institutions du ministère de la gouvernance numérique, à savoir GSISPA et IDIKA SA, par le déploiement d’infrastructures et de services d’informatique en nuage (conformément à la loi 4727/2020) suivant les meilleures pratiques internationales pour la mise en œuvre de l’infrastructure et des services publics d’informatique en nuage (G-Cloud). Le projet fournira une infrastructure en nuage hybride moderne composée de deux locataires: Un pour le -Cloud et un autre pour le H-Cloud. Chaque locataire doit disposer de la composante cloud privé et de la composante cloud public dans un environnement de gestion et de prestation de services unifié. La mise en œuvre de l’investissement est achevée au plus tard le 30 juin 2024.</w:t>
      </w:r>
    </w:p>
    <w:p w14:paraId="56FC838C" w14:textId="77777777" w:rsidR="00A00259" w:rsidRDefault="00371282">
      <w:pPr>
        <w:pStyle w:val="P68B1DB1-Normal7"/>
        <w:spacing w:before="120" w:after="120" w:line="240" w:lineRule="auto"/>
        <w:jc w:val="both"/>
        <w:rPr>
          <w:noProof/>
        </w:rPr>
      </w:pPr>
      <w:r>
        <w:rPr>
          <w:noProof/>
        </w:rPr>
        <w:t xml:space="preserve">Les centres de données du fournisseur de services en nuage sont tenus de se conformer au «code de conduite européen sur l’efficacité énergétique des centres de données». </w:t>
      </w:r>
    </w:p>
    <w:p w14:paraId="304F7477" w14:textId="77777777" w:rsidR="00A00259" w:rsidRDefault="00371282">
      <w:pPr>
        <w:pStyle w:val="P68B1DB1-Normal7"/>
        <w:spacing w:before="120" w:after="120" w:line="240" w:lineRule="auto"/>
        <w:jc w:val="both"/>
        <w:rPr>
          <w:rFonts w:cs="Times New Roman"/>
          <w:noProof/>
        </w:rPr>
      </w:pPr>
      <w:r>
        <w:rPr>
          <w:noProof/>
        </w:rPr>
        <w:t>Cette exigence est conforme au règlement (UE) 2018/1999 du Parlement européen et du Conseil du 11 décembre 2018 sur la gouvernance de l’union de l’énergie et de l’action pour le climat, en soutenant la transition écologique et en contribuant à la réalisation des objectifs climatiques de l’Union à l’horizon 2030 énoncés à l’article 2, paragraphe 11, modifié par l’article 10 de la loi européenne sur le climat, et en respectant l’objectif de neutralité climatique de l’Union d’ici à 2050 et de transition numérique, contribuant ainsi à la convergence économique et sociale ascendante, à la restauration et à la promotion d’une croissance durable et à l’intégration des économies de l’Union.</w:t>
      </w:r>
    </w:p>
    <w:p w14:paraId="7333D491"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Mise à niveau de l’infrastructure informatique en nuage et des services des infrastructures nationales de recherche et de technologie (GRNET) (mesure ID 16955)</w:t>
      </w:r>
    </w:p>
    <w:p w14:paraId="266EA8A0" w14:textId="2660AF80" w:rsidR="00A00259" w:rsidRDefault="00371282">
      <w:pPr>
        <w:pStyle w:val="P68B1DB1-Normal7"/>
        <w:spacing w:before="120" w:after="120" w:line="240" w:lineRule="auto"/>
        <w:jc w:val="both"/>
        <w:rPr>
          <w:rFonts w:cs="Times New Roman"/>
          <w:noProof/>
        </w:rPr>
      </w:pPr>
      <w:r>
        <w:rPr>
          <w:noProof/>
        </w:rPr>
        <w:t>L'objectif de l'investissement est de moderniser les infrastructures et les services de GRNET. L'investissement consiste en: (a) la mise à niveau des logiciels et des services d’informatique en nuage de GRNET, (b) le supercalculateur DAEDALUS (exécution de la phase A, comme spécifié dans le contrat concerné), (c) la location d’infrastructures de fibre optique, (d) la livraison ou la livraison et l’installation des équipements de réseau de GRNET.</w:t>
      </w:r>
    </w:p>
    <w:p w14:paraId="7E47D5F7" w14:textId="24B89D05" w:rsidR="00A00259" w:rsidRDefault="00371282">
      <w:pPr>
        <w:pStyle w:val="P68B1DB1-Normal7"/>
        <w:spacing w:before="120" w:after="120" w:line="240" w:lineRule="auto"/>
        <w:jc w:val="both"/>
        <w:rPr>
          <w:rFonts w:cs="Times New Roman"/>
          <w:noProof/>
        </w:rPr>
      </w:pPr>
      <w:r>
        <w:rPr>
          <w:b/>
          <w:noProof/>
        </w:rPr>
        <w:t>Investissement:</w:t>
      </w:r>
      <w:r>
        <w:rPr>
          <w:noProof/>
        </w:rPr>
        <w:t xml:space="preserve"> Extension de Syzefxis II (mesure ID 16956)</w:t>
      </w:r>
    </w:p>
    <w:p w14:paraId="24E86EC0" w14:textId="61499BC0" w:rsidR="00A00259" w:rsidRDefault="00371282">
      <w:pPr>
        <w:pStyle w:val="P68B1DB1-Normal7"/>
        <w:spacing w:before="120" w:after="120" w:line="240" w:lineRule="auto"/>
        <w:jc w:val="both"/>
        <w:rPr>
          <w:noProof/>
        </w:rPr>
      </w:pPr>
      <w:r>
        <w:rPr>
          <w:noProof/>
        </w:rPr>
        <w:t xml:space="preserve">L'objectif de cet investissement est de fournir aux organismes du secteur public des services de télécommunications améliorés. L’investissement consiste en la fourniture d’un système numérique de collecte de données d’enquête sur site pour le déploiement de SYZEFXIS II, en des services de contrôle de la qualité et de surveillance pour l’installation de systèmes de câblage du réseau national de télécommunications, en l’installation d’équipements d’alimentation électrique sans interruption dans toutes les entités de SYZEFXIS II, en la mise en place d’un système de gestion de la sécurité de l’information pour le réseau du secteur public et en l’installation d’une infrastructure de réseau dans le réseau scolaire panhellénique. </w:t>
      </w:r>
    </w:p>
    <w:p w14:paraId="0F28CA9D"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Central BI - Analyse de données (mesure ID 16842)</w:t>
      </w:r>
    </w:p>
    <w:p w14:paraId="2AF1B491" w14:textId="77777777" w:rsidR="00A00259" w:rsidRDefault="00371282">
      <w:pPr>
        <w:pStyle w:val="P68B1DB1-Normal7"/>
        <w:spacing w:before="120" w:after="120" w:line="240" w:lineRule="auto"/>
        <w:jc w:val="both"/>
        <w:rPr>
          <w:rFonts w:cs="Times New Roman"/>
          <w:noProof/>
        </w:rPr>
      </w:pPr>
      <w:r>
        <w:rPr>
          <w:noProof/>
        </w:rPr>
        <w:t xml:space="preserve">L’objectif de cet investissement est d’accroître la capacité de l’administration publique à utiliser les données pour la prise de décision. L'investissement consiste à mettre en place une plate-forme centrale d'analyse des données de Business Intelligence, permettant aux agences de l'administration publique d'intégrer et d'analyser les données pour soutenir leurs opérations et leur prise de décision. </w:t>
      </w:r>
    </w:p>
    <w:p w14:paraId="15A8D5C0"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Système central de gestion des documents (mesure ID 16738)</w:t>
      </w:r>
    </w:p>
    <w:p w14:paraId="091CEDA3" w14:textId="77777777" w:rsidR="00A00259" w:rsidRDefault="00371282">
      <w:pPr>
        <w:pStyle w:val="P68B1DB1-Normal7"/>
        <w:spacing w:before="120" w:after="120" w:line="240" w:lineRule="auto"/>
        <w:jc w:val="both"/>
        <w:rPr>
          <w:rFonts w:cs="Times New Roman"/>
          <w:noProof/>
        </w:rPr>
      </w:pPr>
      <w:r>
        <w:rPr>
          <w:noProof/>
        </w:rPr>
        <w:t xml:space="preserve">L’investissement consiste en la mise en œuvre d’un système central de gestion des documents qui capture, stocke et récupère les documents papier et électroniques. Ce système facilite l’interopérabilité entre les organisations du secteur public et vise à accélérer le traitement des dossiers et des demandes de services des citoyens et des entreprises. L’investissement comprend a) la fourniture de 20 000 signatures numériques à distance approuvées b) le développement d’applications pour l’interopérabilité, la création d’un code QR ou d’un identifiant unique à intégrer dans les documents c) le développement de sous-systèmes pour couvrir les besoins du gouvernement en matière de signature de documents avec des signatures numériques d) des services de soutien (y compris des services pour le développement d’études), des services de formation et des services d’assistance. </w:t>
      </w:r>
    </w:p>
    <w:p w14:paraId="58B43203" w14:textId="7775B1CB" w:rsidR="00A00259" w:rsidRDefault="00371282">
      <w:pPr>
        <w:pStyle w:val="P68B1DB1-Normal7"/>
        <w:spacing w:before="120" w:after="120" w:line="240" w:lineRule="auto"/>
        <w:jc w:val="both"/>
        <w:rPr>
          <w:noProof/>
        </w:rPr>
      </w:pPr>
      <w:r>
        <w:rPr>
          <w:b/>
          <w:noProof/>
        </w:rPr>
        <w:t xml:space="preserve">Investissement: Contribution </w:t>
      </w:r>
      <w:r>
        <w:rPr>
          <w:noProof/>
        </w:rPr>
        <w:t>volontaire à l’entreprise commune EuroHPC (mesure 16859)</w:t>
      </w:r>
    </w:p>
    <w:p w14:paraId="5BBECE70" w14:textId="77777777" w:rsidR="00A00259" w:rsidRDefault="00371282">
      <w:pPr>
        <w:pStyle w:val="P68B1DB1-Normal7"/>
        <w:spacing w:before="120" w:after="120" w:line="240" w:lineRule="auto"/>
        <w:jc w:val="both"/>
        <w:rPr>
          <w:noProof/>
        </w:rPr>
      </w:pPr>
      <w:r>
        <w:rPr>
          <w:noProof/>
        </w:rPr>
        <w:t xml:space="preserve">Cette mesure vise à soutenir la mise en place par la Grèce de gigafactories d’intelligence artificielle et de leurs services, ainsi que l’accès à celles-ci. </w:t>
      </w:r>
    </w:p>
    <w:p w14:paraId="09DD021E" w14:textId="736CBFAD" w:rsidR="00A00259" w:rsidRDefault="00371282">
      <w:pPr>
        <w:pStyle w:val="P68B1DB1-Normal7"/>
        <w:spacing w:before="120" w:after="120" w:line="240" w:lineRule="auto"/>
        <w:jc w:val="both"/>
        <w:rPr>
          <w:noProof/>
        </w:rPr>
      </w:pPr>
      <w:r>
        <w:rPr>
          <w:noProof/>
        </w:rPr>
        <w:t xml:space="preserve">La mesure consiste en une contribution volontaire de 350 000 000 EUR à l’entreprise commune EuroHPC. </w:t>
      </w:r>
    </w:p>
    <w:p w14:paraId="2E752925" w14:textId="0E568638" w:rsidR="00A00259" w:rsidRDefault="00371282">
      <w:pPr>
        <w:pStyle w:val="P68B1DB1-Normal7"/>
        <w:spacing w:before="120" w:after="120" w:line="240" w:lineRule="auto"/>
        <w:jc w:val="both"/>
        <w:rPr>
          <w:noProof/>
        </w:rPr>
      </w:pPr>
      <w:r>
        <w:rPr>
          <w:noProof/>
        </w:rPr>
        <w:t>La contribution soutiendra une gigausine d’IA et/ou d’autres initiatives EuroHPC telles que les usines d’IA, les supercalculateurs ou les ordinateurs quantiques, ou d’autres investissements dans l’IA, la technologie quantique ou le CHP liés aux objectifs de l’entreprise commune EuroHPC, à établir dans l’Union.</w:t>
      </w:r>
    </w:p>
    <w:p w14:paraId="35D5333F" w14:textId="4A17D0D3" w:rsidR="00A00259" w:rsidRDefault="00A00259">
      <w:pPr>
        <w:spacing w:before="120" w:after="120" w:line="240" w:lineRule="auto"/>
        <w:jc w:val="both"/>
        <w:rPr>
          <w:rFonts w:ascii="Times New Roman" w:hAnsi="Times New Roman" w:cs="Times New Roman"/>
          <w:noProof/>
          <w:sz w:val="24"/>
          <w:szCs w:val="24"/>
        </w:rPr>
        <w:sectPr w:rsidR="00A00259">
          <w:headerReference w:type="even" r:id="rId132"/>
          <w:headerReference w:type="default" r:id="rId133"/>
          <w:footerReference w:type="even" r:id="rId134"/>
          <w:footerReference w:type="default" r:id="rId135"/>
          <w:headerReference w:type="first" r:id="rId136"/>
          <w:footerReference w:type="first" r:id="rId137"/>
          <w:pgSz w:w="11906" w:h="16838"/>
          <w:pgMar w:top="1134" w:right="1134" w:bottom="1134" w:left="1134" w:header="567" w:footer="567" w:gutter="0"/>
          <w:cols w:space="708"/>
          <w:docGrid w:linePitch="360"/>
        </w:sectPr>
      </w:pPr>
    </w:p>
    <w:p w14:paraId="4F1BD818" w14:textId="77777777" w:rsidR="00A00259" w:rsidRDefault="00371282">
      <w:pPr>
        <w:pStyle w:val="P68B1DB1-Normal6"/>
        <w:spacing w:before="120" w:after="120" w:line="240" w:lineRule="auto"/>
        <w:jc w:val="both"/>
        <w:rPr>
          <w:noProof/>
        </w:rPr>
      </w:pPr>
      <w:r>
        <w:rPr>
          <w:noProof/>
        </w:rPr>
        <w:t>F.2. Étapes, cibles, indicateurs et calendrier pour le suivi et la mise en œuvre du soutien financier non remboursable</w:t>
      </w:r>
    </w:p>
    <w:p w14:paraId="7A3DF33F" w14:textId="77777777" w:rsidR="00A00259" w:rsidRDefault="00371282">
      <w:pPr>
        <w:pStyle w:val="P68B1DB1-Normal9"/>
        <w:keepNext/>
        <w:keepLines/>
        <w:spacing w:before="40" w:after="0" w:line="240" w:lineRule="auto"/>
        <w:jc w:val="both"/>
        <w:outlineLvl w:val="4"/>
        <w:rPr>
          <w:rFonts w:eastAsia="Times New Roman"/>
          <w:noProof/>
        </w:rPr>
      </w:pPr>
      <w:r>
        <w:rPr>
          <w:noProof/>
        </w:rPr>
        <w:t>Investissement principal 3: Numérisation des archives et services connexes</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985"/>
        <w:gridCol w:w="1092"/>
        <w:gridCol w:w="1601"/>
        <w:gridCol w:w="1715"/>
        <w:gridCol w:w="1200"/>
        <w:gridCol w:w="1080"/>
        <w:gridCol w:w="960"/>
        <w:gridCol w:w="1087"/>
        <w:gridCol w:w="713"/>
        <w:gridCol w:w="3593"/>
      </w:tblGrid>
      <w:tr w:rsidR="00A00259" w14:paraId="4DBBC57E" w14:textId="77777777">
        <w:trPr>
          <w:trHeight w:val="927"/>
          <w:tblHeader/>
          <w:jc w:val="center"/>
        </w:trPr>
        <w:tc>
          <w:tcPr>
            <w:tcW w:w="562" w:type="dxa"/>
            <w:vMerge w:val="restart"/>
            <w:shd w:val="clear" w:color="auto" w:fill="BDD7EE"/>
            <w:vAlign w:val="center"/>
            <w:hideMark/>
          </w:tcPr>
          <w:p w14:paraId="35A9B29F" w14:textId="77777777" w:rsidR="00A00259" w:rsidRDefault="00371282">
            <w:pPr>
              <w:pStyle w:val="P68B1DB1-Normal10"/>
              <w:spacing w:after="0" w:line="240" w:lineRule="auto"/>
              <w:jc w:val="center"/>
              <w:rPr>
                <w:rFonts w:eastAsia="Times New Roman" w:cs="Times New Roman"/>
                <w:bCs/>
                <w:noProof/>
                <w:szCs w:val="18"/>
              </w:rPr>
            </w:pPr>
            <w:r>
              <w:rPr>
                <w:noProof/>
              </w:rPr>
              <w:t>Seq. Non.</w:t>
            </w:r>
          </w:p>
        </w:tc>
        <w:tc>
          <w:tcPr>
            <w:tcW w:w="1985" w:type="dxa"/>
            <w:vMerge w:val="restart"/>
            <w:shd w:val="clear" w:color="auto" w:fill="BDD7EE"/>
            <w:vAlign w:val="center"/>
            <w:hideMark/>
          </w:tcPr>
          <w:p w14:paraId="4A36459E" w14:textId="77777777" w:rsidR="00A00259" w:rsidRDefault="00371282">
            <w:pPr>
              <w:pStyle w:val="P68B1DB1-Normal10"/>
              <w:spacing w:after="0" w:line="240" w:lineRule="auto"/>
              <w:ind w:left="-2" w:firstLine="2"/>
              <w:jc w:val="center"/>
              <w:rPr>
                <w:rFonts w:eastAsia="Times New Roman" w:cs="Times New Roman"/>
                <w:bCs/>
                <w:noProof/>
                <w:szCs w:val="18"/>
              </w:rPr>
            </w:pPr>
            <w:r>
              <w:rPr>
                <w:noProof/>
              </w:rPr>
              <w:t>Mesure connexe (réforme ou investissement)</w:t>
            </w:r>
          </w:p>
        </w:tc>
        <w:tc>
          <w:tcPr>
            <w:tcW w:w="1092" w:type="dxa"/>
            <w:vMerge w:val="restart"/>
            <w:shd w:val="clear" w:color="auto" w:fill="BDD7EE"/>
            <w:vAlign w:val="center"/>
            <w:hideMark/>
          </w:tcPr>
          <w:p w14:paraId="1F199FA8"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601" w:type="dxa"/>
            <w:vMerge w:val="restart"/>
            <w:shd w:val="clear" w:color="auto" w:fill="BDD7EE"/>
            <w:vAlign w:val="center"/>
            <w:hideMark/>
          </w:tcPr>
          <w:p w14:paraId="350EC108"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715" w:type="dxa"/>
            <w:vMerge w:val="restart"/>
            <w:shd w:val="clear" w:color="auto" w:fill="BDD7EE"/>
            <w:vAlign w:val="center"/>
            <w:hideMark/>
          </w:tcPr>
          <w:p w14:paraId="121010F2"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3240" w:type="dxa"/>
            <w:gridSpan w:val="3"/>
            <w:shd w:val="clear" w:color="auto" w:fill="BDD7EE"/>
            <w:vAlign w:val="center"/>
            <w:hideMark/>
          </w:tcPr>
          <w:p w14:paraId="0D66E0DE" w14:textId="77777777" w:rsidR="00A00259" w:rsidRDefault="00371282">
            <w:pPr>
              <w:pStyle w:val="P68B1DB1-Normal10"/>
              <w:spacing w:after="0" w:line="240" w:lineRule="auto"/>
              <w:jc w:val="center"/>
              <w:rPr>
                <w:rFonts w:eastAsia="Times New Roman" w:cs="Times New Roman"/>
                <w:bCs/>
                <w:noProof/>
                <w:szCs w:val="18"/>
              </w:rPr>
            </w:pPr>
            <w:r>
              <w:rPr>
                <w:noProof/>
              </w:rPr>
              <w:t>Indicateurs quantitatifs (pour les objectifs)</w:t>
            </w:r>
          </w:p>
        </w:tc>
        <w:tc>
          <w:tcPr>
            <w:tcW w:w="1800" w:type="dxa"/>
            <w:gridSpan w:val="2"/>
            <w:shd w:val="clear" w:color="auto" w:fill="BDD7EE"/>
            <w:vAlign w:val="center"/>
            <w:hideMark/>
          </w:tcPr>
          <w:p w14:paraId="3ECD6D08"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3593" w:type="dxa"/>
            <w:vMerge w:val="restart"/>
            <w:shd w:val="clear" w:color="auto" w:fill="BDD7EE"/>
            <w:vAlign w:val="center"/>
            <w:hideMark/>
          </w:tcPr>
          <w:p w14:paraId="69DC9136"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6132C376" w14:textId="77777777" w:rsidTr="00CE3F9A">
        <w:trPr>
          <w:trHeight w:val="512"/>
          <w:tblHeader/>
          <w:jc w:val="center"/>
        </w:trPr>
        <w:tc>
          <w:tcPr>
            <w:tcW w:w="562" w:type="dxa"/>
            <w:vMerge/>
            <w:vAlign w:val="center"/>
            <w:hideMark/>
          </w:tcPr>
          <w:p w14:paraId="37945CCC" w14:textId="77777777" w:rsidR="00A00259" w:rsidRDefault="00A00259">
            <w:pPr>
              <w:spacing w:after="0" w:line="240" w:lineRule="auto"/>
              <w:rPr>
                <w:rFonts w:ascii="Times New Roman" w:eastAsia="Times New Roman" w:hAnsi="Times New Roman" w:cs="Times New Roman"/>
                <w:b/>
                <w:bCs/>
                <w:noProof/>
                <w:sz w:val="18"/>
                <w:szCs w:val="18"/>
              </w:rPr>
            </w:pPr>
          </w:p>
        </w:tc>
        <w:tc>
          <w:tcPr>
            <w:tcW w:w="1985" w:type="dxa"/>
            <w:vMerge/>
            <w:vAlign w:val="center"/>
            <w:hideMark/>
          </w:tcPr>
          <w:p w14:paraId="51B8D8C6" w14:textId="77777777" w:rsidR="00A00259" w:rsidRDefault="00A00259">
            <w:pPr>
              <w:spacing w:after="0" w:line="240" w:lineRule="auto"/>
              <w:rPr>
                <w:rFonts w:ascii="Times New Roman" w:eastAsia="Times New Roman" w:hAnsi="Times New Roman" w:cs="Times New Roman"/>
                <w:b/>
                <w:bCs/>
                <w:noProof/>
                <w:sz w:val="18"/>
                <w:szCs w:val="18"/>
              </w:rPr>
            </w:pPr>
          </w:p>
        </w:tc>
        <w:tc>
          <w:tcPr>
            <w:tcW w:w="1092" w:type="dxa"/>
            <w:vMerge/>
            <w:vAlign w:val="center"/>
            <w:hideMark/>
          </w:tcPr>
          <w:p w14:paraId="3B60F587" w14:textId="77777777" w:rsidR="00A00259" w:rsidRDefault="00A00259">
            <w:pPr>
              <w:spacing w:after="0" w:line="240" w:lineRule="auto"/>
              <w:rPr>
                <w:rFonts w:ascii="Times New Roman" w:eastAsia="Times New Roman" w:hAnsi="Times New Roman" w:cs="Times New Roman"/>
                <w:b/>
                <w:bCs/>
                <w:noProof/>
                <w:sz w:val="18"/>
                <w:szCs w:val="18"/>
              </w:rPr>
            </w:pPr>
          </w:p>
        </w:tc>
        <w:tc>
          <w:tcPr>
            <w:tcW w:w="1601" w:type="dxa"/>
            <w:vMerge/>
            <w:vAlign w:val="center"/>
            <w:hideMark/>
          </w:tcPr>
          <w:p w14:paraId="11B80E78" w14:textId="77777777" w:rsidR="00A00259" w:rsidRDefault="00A00259">
            <w:pPr>
              <w:spacing w:after="0" w:line="240" w:lineRule="auto"/>
              <w:rPr>
                <w:rFonts w:ascii="Times New Roman" w:eastAsia="Times New Roman" w:hAnsi="Times New Roman" w:cs="Times New Roman"/>
                <w:b/>
                <w:bCs/>
                <w:noProof/>
                <w:sz w:val="18"/>
                <w:szCs w:val="18"/>
              </w:rPr>
            </w:pPr>
          </w:p>
        </w:tc>
        <w:tc>
          <w:tcPr>
            <w:tcW w:w="1715" w:type="dxa"/>
            <w:vMerge/>
            <w:vAlign w:val="center"/>
            <w:hideMark/>
          </w:tcPr>
          <w:p w14:paraId="5D0FBD93" w14:textId="77777777" w:rsidR="00A00259" w:rsidRDefault="00A00259">
            <w:pPr>
              <w:spacing w:after="0" w:line="240" w:lineRule="auto"/>
              <w:rPr>
                <w:rFonts w:ascii="Times New Roman" w:eastAsia="Times New Roman" w:hAnsi="Times New Roman" w:cs="Times New Roman"/>
                <w:b/>
                <w:bCs/>
                <w:noProof/>
                <w:sz w:val="18"/>
                <w:szCs w:val="18"/>
              </w:rPr>
            </w:pPr>
          </w:p>
        </w:tc>
        <w:tc>
          <w:tcPr>
            <w:tcW w:w="1200" w:type="dxa"/>
            <w:shd w:val="clear" w:color="auto" w:fill="BDD7EE"/>
            <w:vAlign w:val="center"/>
            <w:hideMark/>
          </w:tcPr>
          <w:p w14:paraId="3FE8A225"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1080" w:type="dxa"/>
            <w:shd w:val="clear" w:color="auto" w:fill="BDD7EE"/>
            <w:vAlign w:val="center"/>
            <w:hideMark/>
          </w:tcPr>
          <w:p w14:paraId="5AA134F0"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960" w:type="dxa"/>
            <w:shd w:val="clear" w:color="auto" w:fill="BDD7EE"/>
            <w:vAlign w:val="center"/>
            <w:hideMark/>
          </w:tcPr>
          <w:p w14:paraId="7578D0AC"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1087" w:type="dxa"/>
            <w:shd w:val="clear" w:color="auto" w:fill="BDD7EE"/>
            <w:vAlign w:val="center"/>
            <w:hideMark/>
          </w:tcPr>
          <w:p w14:paraId="36EA4F7F"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713" w:type="dxa"/>
            <w:shd w:val="clear" w:color="auto" w:fill="BDD7EE"/>
            <w:vAlign w:val="center"/>
            <w:hideMark/>
          </w:tcPr>
          <w:p w14:paraId="55F87C19"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3593" w:type="dxa"/>
            <w:vMerge/>
            <w:vAlign w:val="center"/>
            <w:hideMark/>
          </w:tcPr>
          <w:p w14:paraId="38BDB76E"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3E5676B9" w14:textId="77777777" w:rsidTr="00CE3F9A">
        <w:trPr>
          <w:trHeight w:val="309"/>
          <w:jc w:val="center"/>
        </w:trPr>
        <w:tc>
          <w:tcPr>
            <w:tcW w:w="562" w:type="dxa"/>
            <w:shd w:val="clear" w:color="auto" w:fill="C6EFCE"/>
            <w:noWrap/>
          </w:tcPr>
          <w:p w14:paraId="73817129" w14:textId="77777777" w:rsidR="00A00259" w:rsidRDefault="00371282">
            <w:pPr>
              <w:pStyle w:val="P68B1DB1-Normal12"/>
              <w:spacing w:after="0" w:line="240" w:lineRule="auto"/>
              <w:rPr>
                <w:rFonts w:eastAsia="Times New Roman"/>
                <w:noProof/>
              </w:rPr>
            </w:pPr>
            <w:r>
              <w:rPr>
                <w:noProof/>
              </w:rPr>
              <w:t>93</w:t>
            </w:r>
          </w:p>
          <w:p w14:paraId="47DF364B" w14:textId="77777777" w:rsidR="00A00259" w:rsidRDefault="00A00259">
            <w:pPr>
              <w:rPr>
                <w:rFonts w:ascii="Times New Roman" w:eastAsia="Times New Roman" w:hAnsi="Times New Roman" w:cs="Times New Roman"/>
                <w:noProof/>
                <w:sz w:val="18"/>
                <w:szCs w:val="18"/>
              </w:rPr>
            </w:pPr>
          </w:p>
        </w:tc>
        <w:tc>
          <w:tcPr>
            <w:tcW w:w="1985" w:type="dxa"/>
            <w:shd w:val="clear" w:color="auto" w:fill="C6EFCE"/>
            <w:noWrap/>
          </w:tcPr>
          <w:p w14:paraId="5932B396" w14:textId="77777777" w:rsidR="00A00259" w:rsidRDefault="00371282">
            <w:pPr>
              <w:pStyle w:val="P68B1DB1-Normal12"/>
              <w:spacing w:after="0" w:line="240" w:lineRule="auto"/>
              <w:rPr>
                <w:rFonts w:eastAsia="Times New Roman"/>
                <w:noProof/>
              </w:rPr>
            </w:pPr>
            <w:r>
              <w:rPr>
                <w:noProof/>
              </w:rPr>
              <w:t>6 - 2.2. Moderniser - 16778_Numérisation des archives et services connexes</w:t>
            </w:r>
          </w:p>
        </w:tc>
        <w:tc>
          <w:tcPr>
            <w:tcW w:w="1092" w:type="dxa"/>
            <w:shd w:val="clear" w:color="auto" w:fill="C6EFCE"/>
            <w:noWrap/>
          </w:tcPr>
          <w:p w14:paraId="09206141" w14:textId="77777777" w:rsidR="00A00259" w:rsidRDefault="00371282">
            <w:pPr>
              <w:pStyle w:val="P68B1DB1-Normal12"/>
              <w:spacing w:after="0" w:line="240" w:lineRule="auto"/>
              <w:rPr>
                <w:rFonts w:eastAsia="Times New Roman"/>
                <w:noProof/>
              </w:rPr>
            </w:pPr>
            <w:r>
              <w:rPr>
                <w:noProof/>
              </w:rPr>
              <w:t>Étape</w:t>
            </w:r>
          </w:p>
        </w:tc>
        <w:tc>
          <w:tcPr>
            <w:tcW w:w="1601" w:type="dxa"/>
            <w:shd w:val="clear" w:color="auto" w:fill="C6EFCE"/>
            <w:noWrap/>
          </w:tcPr>
          <w:p w14:paraId="3A3FB356" w14:textId="77777777" w:rsidR="00A00259" w:rsidRDefault="00371282">
            <w:pPr>
              <w:pStyle w:val="P68B1DB1-Normal12"/>
              <w:spacing w:after="0" w:line="240" w:lineRule="auto"/>
              <w:rPr>
                <w:rFonts w:eastAsia="Times New Roman"/>
                <w:iCs/>
                <w:noProof/>
              </w:rPr>
            </w:pPr>
            <w:r>
              <w:rPr>
                <w:noProof/>
              </w:rPr>
              <w:t>Attribution du(des) marché(s) pour la numérisation des archives</w:t>
            </w:r>
          </w:p>
        </w:tc>
        <w:tc>
          <w:tcPr>
            <w:tcW w:w="1715" w:type="dxa"/>
            <w:shd w:val="clear" w:color="auto" w:fill="C6EFCE"/>
            <w:noWrap/>
          </w:tcPr>
          <w:p w14:paraId="38CFB0FA" w14:textId="77777777" w:rsidR="00A00259" w:rsidRDefault="00371282">
            <w:pPr>
              <w:pStyle w:val="P68B1DB1-Normal12"/>
              <w:spacing w:after="0" w:line="240" w:lineRule="auto"/>
              <w:rPr>
                <w:rFonts w:eastAsia="Times New Roman"/>
                <w:noProof/>
              </w:rPr>
            </w:pPr>
            <w:r>
              <w:rPr>
                <w:noProof/>
              </w:rPr>
              <w:t xml:space="preserve">Notification de l’attribution du ou des contrats couvrant l’ensemble des 9 sous-projets du projet de numérisation des archives </w:t>
            </w:r>
          </w:p>
        </w:tc>
        <w:tc>
          <w:tcPr>
            <w:tcW w:w="1200" w:type="dxa"/>
            <w:shd w:val="clear" w:color="auto" w:fill="C6EFCE"/>
            <w:noWrap/>
          </w:tcPr>
          <w:p w14:paraId="12C52C4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80" w:type="dxa"/>
            <w:shd w:val="clear" w:color="auto" w:fill="C6EFCE"/>
            <w:noWrap/>
          </w:tcPr>
          <w:p w14:paraId="3140883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0" w:type="dxa"/>
            <w:shd w:val="clear" w:color="auto" w:fill="C6EFCE"/>
            <w:noWrap/>
          </w:tcPr>
          <w:p w14:paraId="13B7944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87" w:type="dxa"/>
            <w:shd w:val="clear" w:color="auto" w:fill="C6EFCE"/>
            <w:noWrap/>
          </w:tcPr>
          <w:p w14:paraId="04C14FC1" w14:textId="77777777" w:rsidR="00A00259" w:rsidRDefault="00371282">
            <w:pPr>
              <w:pStyle w:val="P68B1DB1-Normal12"/>
              <w:spacing w:after="0" w:line="240" w:lineRule="auto"/>
              <w:rPr>
                <w:rFonts w:eastAsia="Times New Roman"/>
                <w:noProof/>
              </w:rPr>
            </w:pPr>
            <w:r>
              <w:rPr>
                <w:noProof/>
              </w:rPr>
              <w:t>T4</w:t>
            </w:r>
          </w:p>
        </w:tc>
        <w:tc>
          <w:tcPr>
            <w:tcW w:w="713" w:type="dxa"/>
            <w:shd w:val="clear" w:color="auto" w:fill="C6EFCE"/>
            <w:noWrap/>
          </w:tcPr>
          <w:p w14:paraId="071D434F" w14:textId="77777777" w:rsidR="00A00259" w:rsidRDefault="00371282">
            <w:pPr>
              <w:pStyle w:val="P68B1DB1-Normal12"/>
              <w:spacing w:after="0" w:line="240" w:lineRule="auto"/>
              <w:rPr>
                <w:rFonts w:eastAsia="Times New Roman"/>
                <w:noProof/>
              </w:rPr>
            </w:pPr>
            <w:r>
              <w:rPr>
                <w:noProof/>
              </w:rPr>
              <w:t>2022</w:t>
            </w:r>
          </w:p>
        </w:tc>
        <w:tc>
          <w:tcPr>
            <w:tcW w:w="3593" w:type="dxa"/>
            <w:shd w:val="clear" w:color="auto" w:fill="C6EFCE"/>
            <w:noWrap/>
          </w:tcPr>
          <w:p w14:paraId="08ABD6EA" w14:textId="77777777" w:rsidR="00A00259" w:rsidRDefault="00371282">
            <w:pPr>
              <w:pStyle w:val="P68B1DB1-Normal12"/>
              <w:spacing w:after="0" w:line="240" w:lineRule="auto"/>
              <w:rPr>
                <w:rFonts w:eastAsia="Times New Roman"/>
                <w:noProof/>
              </w:rPr>
            </w:pPr>
            <w:r>
              <w:rPr>
                <w:noProof/>
              </w:rPr>
              <w:t xml:space="preserve">Attribution du ou des marchés pour chacun des 9 sous-projets suivants, y compris tous leurs éléments constitutifs: </w:t>
            </w:r>
          </w:p>
          <w:p w14:paraId="43607EBD" w14:textId="77777777" w:rsidR="00A00259" w:rsidRDefault="00371282">
            <w:pPr>
              <w:pStyle w:val="P68B1DB1-Normal12"/>
              <w:numPr>
                <w:ilvl w:val="0"/>
                <w:numId w:val="38"/>
              </w:numPr>
              <w:spacing w:before="120" w:after="160" w:line="259" w:lineRule="auto"/>
              <w:ind w:left="220" w:hanging="169"/>
              <w:contextualSpacing/>
              <w:jc w:val="both"/>
              <w:rPr>
                <w:rFonts w:eastAsia="Times New Roman"/>
                <w:noProof/>
              </w:rPr>
            </w:pPr>
            <w:r>
              <w:rPr>
                <w:noProof/>
              </w:rPr>
              <w:t>Sous-projet 1: Numérisation des archives du système judiciaire</w:t>
            </w:r>
          </w:p>
          <w:p w14:paraId="67EAE72F" w14:textId="77777777" w:rsidR="00A00259" w:rsidRDefault="00371282">
            <w:pPr>
              <w:pStyle w:val="P68B1DB1-Normal12"/>
              <w:numPr>
                <w:ilvl w:val="0"/>
                <w:numId w:val="38"/>
              </w:numPr>
              <w:spacing w:before="120" w:after="0" w:line="259" w:lineRule="auto"/>
              <w:ind w:left="220" w:hanging="169"/>
              <w:contextualSpacing/>
              <w:jc w:val="both"/>
              <w:rPr>
                <w:rFonts w:eastAsia="Times New Roman"/>
                <w:noProof/>
              </w:rPr>
            </w:pPr>
            <w:r>
              <w:rPr>
                <w:noProof/>
              </w:rPr>
              <w:t>Sous-projet 2: Numérisation des archives du système de santé publique</w:t>
            </w:r>
          </w:p>
          <w:p w14:paraId="39B3DDB3" w14:textId="77777777" w:rsidR="00A00259" w:rsidRDefault="00371282">
            <w:pPr>
              <w:pStyle w:val="P68B1DB1-Normal12"/>
              <w:numPr>
                <w:ilvl w:val="0"/>
                <w:numId w:val="38"/>
              </w:numPr>
              <w:spacing w:before="120" w:after="0" w:line="259" w:lineRule="auto"/>
              <w:ind w:left="220" w:hanging="169"/>
              <w:contextualSpacing/>
              <w:jc w:val="both"/>
              <w:rPr>
                <w:rFonts w:eastAsia="Times New Roman"/>
                <w:noProof/>
              </w:rPr>
            </w:pPr>
            <w:r>
              <w:rPr>
                <w:noProof/>
              </w:rPr>
              <w:t>Sous-projet 3: Numérisation des Archives générales de l'État</w:t>
            </w:r>
          </w:p>
          <w:p w14:paraId="444CFDE2" w14:textId="77777777" w:rsidR="00A00259" w:rsidRDefault="00371282">
            <w:pPr>
              <w:pStyle w:val="P68B1DB1-Normal12"/>
              <w:numPr>
                <w:ilvl w:val="0"/>
                <w:numId w:val="38"/>
              </w:numPr>
              <w:spacing w:before="120" w:after="0" w:line="259" w:lineRule="auto"/>
              <w:ind w:left="220" w:hanging="169"/>
              <w:contextualSpacing/>
              <w:jc w:val="both"/>
              <w:rPr>
                <w:rFonts w:eastAsia="Times New Roman"/>
                <w:noProof/>
              </w:rPr>
            </w:pPr>
            <w:r>
              <w:rPr>
                <w:noProof/>
              </w:rPr>
              <w:t>Sous-projet 4: Numérisation des archives du système d'immigration et d'asile</w:t>
            </w:r>
          </w:p>
          <w:p w14:paraId="58B4A97B" w14:textId="77777777" w:rsidR="00A00259" w:rsidRDefault="00371282">
            <w:pPr>
              <w:pStyle w:val="P68B1DB1-Normal12"/>
              <w:numPr>
                <w:ilvl w:val="0"/>
                <w:numId w:val="38"/>
              </w:numPr>
              <w:spacing w:before="120" w:after="0" w:line="259" w:lineRule="auto"/>
              <w:ind w:left="220" w:hanging="169"/>
              <w:contextualSpacing/>
              <w:jc w:val="both"/>
              <w:rPr>
                <w:rFonts w:eastAsia="Times New Roman"/>
                <w:noProof/>
              </w:rPr>
            </w:pPr>
            <w:r>
              <w:rPr>
                <w:noProof/>
              </w:rPr>
              <w:t>Sous-projet 5: Numérisation des archives des expropriations</w:t>
            </w:r>
          </w:p>
          <w:p w14:paraId="25D6C07B" w14:textId="77777777" w:rsidR="00A00259" w:rsidRDefault="00371282">
            <w:pPr>
              <w:pStyle w:val="P68B1DB1-Normal12"/>
              <w:numPr>
                <w:ilvl w:val="0"/>
                <w:numId w:val="38"/>
              </w:numPr>
              <w:spacing w:before="120" w:after="0" w:line="259" w:lineRule="auto"/>
              <w:ind w:left="220" w:hanging="169"/>
              <w:contextualSpacing/>
              <w:jc w:val="both"/>
              <w:rPr>
                <w:rFonts w:eastAsia="Times New Roman"/>
                <w:noProof/>
              </w:rPr>
            </w:pPr>
            <w:r>
              <w:rPr>
                <w:noProof/>
              </w:rPr>
              <w:t>Sous-projet 6: Numérisation des archives des agences d'urbanisme</w:t>
            </w:r>
          </w:p>
          <w:p w14:paraId="3AA2FEA2" w14:textId="77777777" w:rsidR="00A00259" w:rsidRDefault="00371282">
            <w:pPr>
              <w:pStyle w:val="P68B1DB1-Normal12"/>
              <w:numPr>
                <w:ilvl w:val="0"/>
                <w:numId w:val="38"/>
              </w:numPr>
              <w:spacing w:before="120" w:after="0" w:line="259" w:lineRule="auto"/>
              <w:ind w:left="220" w:hanging="169"/>
              <w:contextualSpacing/>
              <w:jc w:val="both"/>
              <w:rPr>
                <w:rFonts w:eastAsia="Times New Roman"/>
                <w:noProof/>
              </w:rPr>
            </w:pPr>
            <w:r>
              <w:rPr>
                <w:noProof/>
              </w:rPr>
              <w:t>Sous-projet 7A - Numérisation des archives du cadastre (Ktimatologio)</w:t>
            </w:r>
          </w:p>
          <w:p w14:paraId="1A0F5F6D" w14:textId="77777777" w:rsidR="00A00259" w:rsidRDefault="00371282">
            <w:pPr>
              <w:pStyle w:val="P68B1DB1-Normal12"/>
              <w:numPr>
                <w:ilvl w:val="0"/>
                <w:numId w:val="38"/>
              </w:numPr>
              <w:spacing w:before="120" w:after="0" w:line="259" w:lineRule="auto"/>
              <w:ind w:left="220" w:hanging="169"/>
              <w:contextualSpacing/>
              <w:jc w:val="both"/>
              <w:rPr>
                <w:rFonts w:eastAsia="Times New Roman"/>
                <w:noProof/>
              </w:rPr>
            </w:pPr>
            <w:r>
              <w:rPr>
                <w:noProof/>
              </w:rPr>
              <w:t>Sous-projet 7B – Amélioration des services numériques du Cadastre</w:t>
            </w:r>
          </w:p>
          <w:p w14:paraId="5ACC9284" w14:textId="77777777" w:rsidR="00A00259" w:rsidRDefault="00371282">
            <w:pPr>
              <w:pStyle w:val="P68B1DB1-Normal12"/>
              <w:numPr>
                <w:ilvl w:val="0"/>
                <w:numId w:val="38"/>
              </w:numPr>
              <w:spacing w:before="120" w:after="0" w:line="259" w:lineRule="auto"/>
              <w:ind w:left="220" w:hanging="169"/>
              <w:contextualSpacing/>
              <w:jc w:val="both"/>
              <w:rPr>
                <w:rFonts w:eastAsia="Times New Roman"/>
                <w:noProof/>
              </w:rPr>
            </w:pPr>
            <w:r>
              <w:rPr>
                <w:noProof/>
              </w:rPr>
              <w:t>Sous-projet 8 - Numérisation des archives maritimes</w:t>
            </w:r>
          </w:p>
          <w:p w14:paraId="751DBB73" w14:textId="77777777" w:rsidR="00A00259" w:rsidRDefault="00371282">
            <w:pPr>
              <w:pStyle w:val="P68B1DB1-Normal12"/>
              <w:numPr>
                <w:ilvl w:val="0"/>
                <w:numId w:val="38"/>
              </w:numPr>
              <w:spacing w:before="120" w:after="0" w:line="259" w:lineRule="auto"/>
              <w:ind w:left="220" w:hanging="169"/>
              <w:contextualSpacing/>
              <w:jc w:val="both"/>
              <w:rPr>
                <w:rFonts w:eastAsia="Times New Roman"/>
                <w:noProof/>
              </w:rPr>
            </w:pPr>
            <w:r>
              <w:rPr>
                <w:noProof/>
              </w:rPr>
              <w:t>Sous-projet 9: Stockage sécurisé du secteur public et du secteur public «large»</w:t>
            </w:r>
          </w:p>
          <w:p w14:paraId="10AD2164" w14:textId="77777777" w:rsidR="00A00259" w:rsidRDefault="00371282">
            <w:pPr>
              <w:pStyle w:val="P68B1DB1-Normal12"/>
              <w:spacing w:after="0" w:line="240" w:lineRule="auto"/>
              <w:rPr>
                <w:rFonts w:eastAsia="Times New Roman"/>
                <w:noProof/>
              </w:rPr>
            </w:pPr>
            <w:r>
              <w:rPr>
                <w:noProof/>
              </w:rPr>
              <w:t xml:space="preserve">Les spécifications comprennent des calendriers et des objectifs et détaillent, pour chacun des neuf sous-projets, les éléments suivants: </w:t>
            </w:r>
          </w:p>
          <w:p w14:paraId="5CE6C17C" w14:textId="77777777" w:rsidR="00A00259" w:rsidRDefault="00371282">
            <w:pPr>
              <w:pStyle w:val="P68B1DB1-Normal12"/>
              <w:spacing w:after="0" w:line="240" w:lineRule="auto"/>
              <w:rPr>
                <w:rFonts w:eastAsia="Times New Roman"/>
                <w:noProof/>
              </w:rPr>
            </w:pPr>
            <w:r>
              <w:rPr>
                <w:noProof/>
              </w:rPr>
              <w:t xml:space="preserve">1. numérisation des enregistrements physiques </w:t>
            </w:r>
          </w:p>
          <w:p w14:paraId="1B9988D1" w14:textId="77777777" w:rsidR="00A00259" w:rsidRDefault="00371282">
            <w:pPr>
              <w:pStyle w:val="P68B1DB1-Normal12"/>
              <w:spacing w:after="0" w:line="240" w:lineRule="auto"/>
              <w:rPr>
                <w:rFonts w:eastAsia="Times New Roman"/>
                <w:noProof/>
              </w:rPr>
            </w:pPr>
            <w:r>
              <w:rPr>
                <w:noProof/>
              </w:rPr>
              <w:t>2. migration des enregistrements numériques dans les systèmes existants (y compris les fichiers de justice dans OSDDY-PP/OSDDY-DD; titres de propriété dans le système d'information du registre foncier national)</w:t>
            </w:r>
          </w:p>
          <w:p w14:paraId="6C227A70" w14:textId="77777777" w:rsidR="00A00259" w:rsidRDefault="00371282">
            <w:pPr>
              <w:pStyle w:val="P68B1DB1-Normal12"/>
              <w:spacing w:after="0" w:line="240" w:lineRule="auto"/>
              <w:rPr>
                <w:rFonts w:eastAsia="Times New Roman"/>
                <w:noProof/>
              </w:rPr>
            </w:pPr>
            <w:r>
              <w:rPr>
                <w:noProof/>
              </w:rPr>
              <w:t>3. l'analyse, la conception et la mise en œuvre des centres de données et de l'infrastructure situés dans les agences locales, ainsi que le guichet unique approprié (y compris le répertoire central des dossiers des patients; Système intégré d'information géographique de la carte numérique unifiée des expropriations et des demandes d'expropriation; Document &amp; Système de gestion de fichiers numériques (DMS / DAS) pour les enregistrements cadastraux; installation du logiciel de gestion des archives).</w:t>
            </w:r>
          </w:p>
          <w:p w14:paraId="01C00397" w14:textId="77777777" w:rsidR="00A00259" w:rsidRDefault="00371282">
            <w:pPr>
              <w:pStyle w:val="P68B1DB1-Normal12"/>
              <w:spacing w:after="0" w:line="240" w:lineRule="auto"/>
              <w:rPr>
                <w:rFonts w:eastAsia="Times New Roman"/>
                <w:noProof/>
              </w:rPr>
            </w:pPr>
            <w:r>
              <w:rPr>
                <w:noProof/>
              </w:rPr>
              <w:t>4. les services de soutien (y compris les nouveaux services électroniques liés à la recherche et à l'extraction de fichiers pour les citoyens; l'administration publique; chercheurs pour les archives de l'État).</w:t>
            </w:r>
          </w:p>
        </w:tc>
      </w:tr>
      <w:tr w:rsidR="00A00259" w14:paraId="3D0FAA0A" w14:textId="77777777" w:rsidTr="00CE3F9A">
        <w:trPr>
          <w:trHeight w:val="309"/>
          <w:jc w:val="center"/>
        </w:trPr>
        <w:tc>
          <w:tcPr>
            <w:tcW w:w="562" w:type="dxa"/>
            <w:shd w:val="clear" w:color="auto" w:fill="C6EFCE"/>
            <w:noWrap/>
            <w:hideMark/>
          </w:tcPr>
          <w:p w14:paraId="161559E6" w14:textId="77777777" w:rsidR="00A00259" w:rsidRDefault="00371282">
            <w:pPr>
              <w:pStyle w:val="P68B1DB1-Normal12"/>
              <w:spacing w:after="0" w:line="240" w:lineRule="auto"/>
              <w:rPr>
                <w:rFonts w:eastAsia="Times New Roman"/>
                <w:noProof/>
              </w:rPr>
            </w:pPr>
            <w:r>
              <w:rPr>
                <w:noProof/>
              </w:rPr>
              <w:t>95</w:t>
            </w:r>
          </w:p>
        </w:tc>
        <w:tc>
          <w:tcPr>
            <w:tcW w:w="1985" w:type="dxa"/>
            <w:shd w:val="clear" w:color="auto" w:fill="C6EFCE"/>
            <w:noWrap/>
            <w:hideMark/>
          </w:tcPr>
          <w:p w14:paraId="4C2689FF" w14:textId="77777777" w:rsidR="00A00259" w:rsidRDefault="00371282">
            <w:pPr>
              <w:pStyle w:val="P68B1DB1-Normal12"/>
              <w:spacing w:after="0" w:line="240" w:lineRule="auto"/>
              <w:rPr>
                <w:rFonts w:eastAsia="Times New Roman"/>
                <w:noProof/>
              </w:rPr>
            </w:pPr>
            <w:r>
              <w:rPr>
                <w:noProof/>
              </w:rPr>
              <w:t>6 - 2.2. Moderniser - 16778_Numérisation des archives et services connexes</w:t>
            </w:r>
          </w:p>
        </w:tc>
        <w:tc>
          <w:tcPr>
            <w:tcW w:w="1092" w:type="dxa"/>
            <w:shd w:val="clear" w:color="auto" w:fill="C6EFCE"/>
            <w:noWrap/>
            <w:hideMark/>
          </w:tcPr>
          <w:p w14:paraId="7D88D360" w14:textId="77777777" w:rsidR="00A00259" w:rsidRDefault="00371282">
            <w:pPr>
              <w:pStyle w:val="P68B1DB1-Normal12"/>
              <w:spacing w:after="0" w:line="240" w:lineRule="auto"/>
              <w:rPr>
                <w:rFonts w:eastAsia="Times New Roman"/>
                <w:noProof/>
              </w:rPr>
            </w:pPr>
            <w:r>
              <w:rPr>
                <w:noProof/>
              </w:rPr>
              <w:t>Étape</w:t>
            </w:r>
          </w:p>
        </w:tc>
        <w:tc>
          <w:tcPr>
            <w:tcW w:w="1601" w:type="dxa"/>
            <w:shd w:val="clear" w:color="auto" w:fill="C6EFCE"/>
            <w:noWrap/>
            <w:hideMark/>
          </w:tcPr>
          <w:p w14:paraId="0521FE9E" w14:textId="77777777" w:rsidR="00A00259" w:rsidRDefault="00371282">
            <w:pPr>
              <w:pStyle w:val="P68B1DB1-Normal12"/>
              <w:spacing w:after="0" w:line="240" w:lineRule="auto"/>
              <w:rPr>
                <w:rFonts w:eastAsia="Times New Roman"/>
                <w:noProof/>
              </w:rPr>
            </w:pPr>
            <w:r>
              <w:rPr>
                <w:noProof/>
              </w:rPr>
              <w:t>Numérisation des archives</w:t>
            </w:r>
          </w:p>
        </w:tc>
        <w:tc>
          <w:tcPr>
            <w:tcW w:w="1715" w:type="dxa"/>
            <w:shd w:val="clear" w:color="auto" w:fill="C6EFCE"/>
            <w:noWrap/>
            <w:hideMark/>
          </w:tcPr>
          <w:p w14:paraId="0431A6E1" w14:textId="77777777" w:rsidR="00A00259" w:rsidRDefault="00371282">
            <w:pPr>
              <w:pStyle w:val="P68B1DB1-Normal12"/>
              <w:spacing w:after="0" w:line="240" w:lineRule="auto"/>
              <w:rPr>
                <w:rFonts w:eastAsia="Times New Roman"/>
                <w:noProof/>
              </w:rPr>
            </w:pPr>
            <w:r>
              <w:rPr>
                <w:noProof/>
              </w:rPr>
              <w:t>Numérisation, métadonnées et migration des archives vers les systèmes existants, et réalisation du projet «Services numériques pour le cadastre» et du projet «Stockage sécurisé des archives du secteur public et du secteur public au sens large»</w:t>
            </w:r>
          </w:p>
        </w:tc>
        <w:tc>
          <w:tcPr>
            <w:tcW w:w="1200" w:type="dxa"/>
            <w:shd w:val="clear" w:color="auto" w:fill="C6EFCE"/>
            <w:noWrap/>
            <w:hideMark/>
          </w:tcPr>
          <w:p w14:paraId="7FDBB10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80" w:type="dxa"/>
            <w:shd w:val="clear" w:color="auto" w:fill="C6EFCE"/>
            <w:noWrap/>
            <w:hideMark/>
          </w:tcPr>
          <w:p w14:paraId="2A23F2C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0" w:type="dxa"/>
            <w:shd w:val="clear" w:color="auto" w:fill="C6EFCE"/>
            <w:noWrap/>
            <w:hideMark/>
          </w:tcPr>
          <w:p w14:paraId="40247E0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87" w:type="dxa"/>
            <w:shd w:val="clear" w:color="auto" w:fill="C6EFCE"/>
            <w:noWrap/>
            <w:hideMark/>
          </w:tcPr>
          <w:p w14:paraId="53048B71" w14:textId="77777777" w:rsidR="00A00259" w:rsidRDefault="00371282">
            <w:pPr>
              <w:pStyle w:val="P68B1DB1-Normal12"/>
              <w:spacing w:after="0" w:line="240" w:lineRule="auto"/>
              <w:rPr>
                <w:rFonts w:eastAsia="Times New Roman"/>
                <w:noProof/>
              </w:rPr>
            </w:pPr>
            <w:r>
              <w:rPr>
                <w:noProof/>
              </w:rPr>
              <w:t>T4</w:t>
            </w:r>
          </w:p>
        </w:tc>
        <w:tc>
          <w:tcPr>
            <w:tcW w:w="713" w:type="dxa"/>
            <w:shd w:val="clear" w:color="auto" w:fill="C6EFCE"/>
            <w:noWrap/>
            <w:hideMark/>
          </w:tcPr>
          <w:p w14:paraId="70665C45" w14:textId="77777777" w:rsidR="00A00259" w:rsidRDefault="00371282">
            <w:pPr>
              <w:pStyle w:val="P68B1DB1-Normal12"/>
              <w:spacing w:after="0" w:line="240" w:lineRule="auto"/>
              <w:rPr>
                <w:rFonts w:eastAsia="Times New Roman"/>
                <w:noProof/>
              </w:rPr>
            </w:pPr>
            <w:r>
              <w:rPr>
                <w:noProof/>
              </w:rPr>
              <w:t>2025</w:t>
            </w:r>
          </w:p>
        </w:tc>
        <w:tc>
          <w:tcPr>
            <w:tcW w:w="3593" w:type="dxa"/>
            <w:shd w:val="clear" w:color="auto" w:fill="C6EFCE"/>
            <w:noWrap/>
            <w:hideMark/>
          </w:tcPr>
          <w:p w14:paraId="21EEA453" w14:textId="77777777" w:rsidR="00A00259" w:rsidRDefault="00371282">
            <w:pPr>
              <w:pStyle w:val="P68B1DB1-Normal12"/>
              <w:spacing w:after="0" w:line="240" w:lineRule="auto"/>
              <w:rPr>
                <w:noProof/>
              </w:rPr>
            </w:pPr>
            <w:r>
              <w:rPr>
                <w:noProof/>
              </w:rPr>
              <w:t xml:space="preserve">Numérisation, y compris les métadonnées, et migration vers les systèmes existants d’au moins 1 035 000 000 pages. </w:t>
            </w:r>
          </w:p>
          <w:p w14:paraId="5B22D54C" w14:textId="77777777" w:rsidR="00A00259" w:rsidRDefault="00A00259">
            <w:pPr>
              <w:spacing w:after="0" w:line="240" w:lineRule="auto"/>
              <w:rPr>
                <w:rFonts w:ascii="Times New Roman" w:hAnsi="Times New Roman" w:cs="Times New Roman"/>
                <w:noProof/>
                <w:color w:val="006100"/>
                <w:sz w:val="18"/>
                <w:szCs w:val="18"/>
              </w:rPr>
            </w:pPr>
          </w:p>
          <w:p w14:paraId="40B363FD" w14:textId="25FF0840" w:rsidR="00A00259" w:rsidRDefault="00371282">
            <w:pPr>
              <w:pStyle w:val="P68B1DB1-Normal12"/>
              <w:spacing w:after="0" w:line="240" w:lineRule="auto"/>
              <w:rPr>
                <w:rFonts w:eastAsia="Times New Roman"/>
                <w:noProof/>
              </w:rPr>
            </w:pPr>
            <w:r>
              <w:rPr>
                <w:noProof/>
              </w:rPr>
              <w:t>Mise en œuvre du sous-projet «Amélioration des services numériques pour le cadastre» afin de numériser les services offerts par le cadastre hellénique, et du sous-projet «stockage sécurisé des archives du secteur public et du secteur public au sens large» pour le stockage sécurisé de fichiers physiques dans d’autres archives du secteur public. </w:t>
            </w:r>
          </w:p>
        </w:tc>
      </w:tr>
    </w:tbl>
    <w:p w14:paraId="1CFB2644" w14:textId="6DFB6AA6" w:rsidR="00A00259" w:rsidRDefault="00A00259">
      <w:pPr>
        <w:spacing w:before="120" w:after="120" w:line="240" w:lineRule="auto"/>
        <w:ind w:left="709"/>
        <w:jc w:val="both"/>
        <w:rPr>
          <w:rFonts w:ascii="Times New Roman" w:hAnsi="Times New Roman" w:cs="Times New Roman"/>
          <w:noProof/>
          <w:sz w:val="24"/>
          <w:szCs w:val="24"/>
        </w:rPr>
      </w:pPr>
    </w:p>
    <w:p w14:paraId="69F7B001" w14:textId="61374A27" w:rsidR="00A00259" w:rsidRDefault="00371282">
      <w:pPr>
        <w:rPr>
          <w:rFonts w:ascii="Cambria" w:eastAsia="Times New Roman" w:hAnsi="Cambria"/>
          <w:noProof/>
          <w:color w:val="365F91"/>
          <w:sz w:val="24"/>
        </w:rPr>
      </w:pPr>
      <w:r>
        <w:rPr>
          <w:noProof/>
        </w:rPr>
        <w:br w:type="page"/>
      </w:r>
      <w:r>
        <w:rPr>
          <w:rFonts w:ascii="Cambria" w:hAnsi="Cambria"/>
          <w:noProof/>
          <w:color w:val="365F91"/>
          <w:sz w:val="24"/>
        </w:rPr>
        <w:t>Réforme clé n° 5: Vers des services orientés «clients» de l’administration publique par la simplification et l’amélioration des processus – Interconnexion et interopérabilité des registres, des systèmes et des services</w:t>
      </w:r>
    </w:p>
    <w:tbl>
      <w:tblPr>
        <w:tblW w:w="16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2866"/>
        <w:gridCol w:w="1105"/>
        <w:gridCol w:w="1383"/>
        <w:gridCol w:w="1701"/>
        <w:gridCol w:w="992"/>
        <w:gridCol w:w="992"/>
        <w:gridCol w:w="851"/>
        <w:gridCol w:w="992"/>
        <w:gridCol w:w="723"/>
        <w:gridCol w:w="3989"/>
      </w:tblGrid>
      <w:tr w:rsidR="00A00259" w14:paraId="2DE1B445" w14:textId="77777777">
        <w:trPr>
          <w:trHeight w:val="939"/>
          <w:tblHeader/>
          <w:jc w:val="center"/>
        </w:trPr>
        <w:tc>
          <w:tcPr>
            <w:tcW w:w="708" w:type="dxa"/>
            <w:vMerge w:val="restart"/>
            <w:shd w:val="clear" w:color="auto" w:fill="BDD7EE"/>
            <w:vAlign w:val="center"/>
            <w:hideMark/>
          </w:tcPr>
          <w:p w14:paraId="5E280422" w14:textId="77777777" w:rsidR="00A00259" w:rsidRDefault="00371282">
            <w:pPr>
              <w:pStyle w:val="P68B1DB1-Normal10"/>
              <w:spacing w:after="0" w:line="240" w:lineRule="auto"/>
              <w:jc w:val="center"/>
              <w:rPr>
                <w:rFonts w:eastAsia="Times New Roman" w:cs="Times New Roman"/>
                <w:bCs/>
                <w:noProof/>
                <w:szCs w:val="18"/>
              </w:rPr>
            </w:pPr>
            <w:r>
              <w:rPr>
                <w:noProof/>
              </w:rPr>
              <w:t>Seq. Non.</w:t>
            </w:r>
          </w:p>
        </w:tc>
        <w:tc>
          <w:tcPr>
            <w:tcW w:w="2866" w:type="dxa"/>
            <w:vMerge w:val="restart"/>
            <w:shd w:val="clear" w:color="auto" w:fill="BDD7EE"/>
            <w:vAlign w:val="center"/>
            <w:hideMark/>
          </w:tcPr>
          <w:p w14:paraId="40336A29" w14:textId="77777777" w:rsidR="00A00259" w:rsidRDefault="00371282">
            <w:pPr>
              <w:pStyle w:val="P68B1DB1-Normal10"/>
              <w:spacing w:after="0" w:line="240" w:lineRule="auto"/>
              <w:jc w:val="center"/>
              <w:rPr>
                <w:noProof/>
              </w:rPr>
            </w:pPr>
            <w:r>
              <w:rPr>
                <w:noProof/>
              </w:rPr>
              <w:t xml:space="preserve">Mesure connexe </w:t>
            </w:r>
          </w:p>
          <w:p w14:paraId="0F7C909F" w14:textId="77777777" w:rsidR="00A00259" w:rsidRDefault="00371282">
            <w:pPr>
              <w:pStyle w:val="P68B1DB1-Normal10"/>
              <w:spacing w:after="0" w:line="240" w:lineRule="auto"/>
              <w:jc w:val="center"/>
              <w:rPr>
                <w:rFonts w:eastAsia="Times New Roman" w:cs="Times New Roman"/>
                <w:bCs/>
                <w:noProof/>
                <w:szCs w:val="18"/>
              </w:rPr>
            </w:pPr>
            <w:r>
              <w:rPr>
                <w:noProof/>
              </w:rPr>
              <w:t>(Réforme ou investissement)</w:t>
            </w:r>
          </w:p>
        </w:tc>
        <w:tc>
          <w:tcPr>
            <w:tcW w:w="1105" w:type="dxa"/>
            <w:vMerge w:val="restart"/>
            <w:shd w:val="clear" w:color="auto" w:fill="BDD7EE"/>
            <w:vAlign w:val="center"/>
            <w:hideMark/>
          </w:tcPr>
          <w:p w14:paraId="38C4E28D"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383" w:type="dxa"/>
            <w:vMerge w:val="restart"/>
            <w:shd w:val="clear" w:color="auto" w:fill="BDD7EE"/>
            <w:vAlign w:val="center"/>
            <w:hideMark/>
          </w:tcPr>
          <w:p w14:paraId="74341D4D"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701" w:type="dxa"/>
            <w:vMerge w:val="restart"/>
            <w:shd w:val="clear" w:color="auto" w:fill="BDD7EE"/>
            <w:vAlign w:val="center"/>
            <w:hideMark/>
          </w:tcPr>
          <w:p w14:paraId="0E550A43"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2835" w:type="dxa"/>
            <w:gridSpan w:val="3"/>
            <w:shd w:val="clear" w:color="auto" w:fill="BDD7EE"/>
            <w:vAlign w:val="center"/>
            <w:hideMark/>
          </w:tcPr>
          <w:p w14:paraId="6F776668" w14:textId="77777777" w:rsidR="00A00259" w:rsidRDefault="00371282">
            <w:pPr>
              <w:pStyle w:val="P68B1DB1-Normal10"/>
              <w:spacing w:after="0" w:line="240" w:lineRule="auto"/>
              <w:jc w:val="center"/>
              <w:rPr>
                <w:rFonts w:eastAsia="Times New Roman" w:cs="Times New Roman"/>
                <w:bCs/>
                <w:noProof/>
                <w:szCs w:val="18"/>
              </w:rPr>
            </w:pPr>
            <w:r>
              <w:rPr>
                <w:noProof/>
              </w:rPr>
              <w:t>Indicateurs quantitatifs (pour les objectifs)</w:t>
            </w:r>
          </w:p>
        </w:tc>
        <w:tc>
          <w:tcPr>
            <w:tcW w:w="1715" w:type="dxa"/>
            <w:gridSpan w:val="2"/>
            <w:shd w:val="clear" w:color="auto" w:fill="BDD7EE"/>
            <w:vAlign w:val="center"/>
            <w:hideMark/>
          </w:tcPr>
          <w:p w14:paraId="52A09B37"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3989" w:type="dxa"/>
            <w:vMerge w:val="restart"/>
            <w:shd w:val="clear" w:color="auto" w:fill="BDD7EE"/>
            <w:vAlign w:val="center"/>
            <w:hideMark/>
          </w:tcPr>
          <w:p w14:paraId="766F7B7F"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41122DA6" w14:textId="77777777">
        <w:trPr>
          <w:trHeight w:val="612"/>
          <w:tblHeader/>
          <w:jc w:val="center"/>
        </w:trPr>
        <w:tc>
          <w:tcPr>
            <w:tcW w:w="708" w:type="dxa"/>
            <w:vMerge/>
            <w:vAlign w:val="center"/>
            <w:hideMark/>
          </w:tcPr>
          <w:p w14:paraId="46CD7BBB" w14:textId="77777777" w:rsidR="00A00259" w:rsidRDefault="00A00259">
            <w:pPr>
              <w:spacing w:after="0" w:line="240" w:lineRule="auto"/>
              <w:rPr>
                <w:rFonts w:ascii="Times New Roman" w:eastAsia="Times New Roman" w:hAnsi="Times New Roman" w:cs="Times New Roman"/>
                <w:b/>
                <w:bCs/>
                <w:noProof/>
                <w:sz w:val="18"/>
                <w:szCs w:val="18"/>
              </w:rPr>
            </w:pPr>
          </w:p>
        </w:tc>
        <w:tc>
          <w:tcPr>
            <w:tcW w:w="2866" w:type="dxa"/>
            <w:vMerge/>
            <w:vAlign w:val="center"/>
            <w:hideMark/>
          </w:tcPr>
          <w:p w14:paraId="54108568" w14:textId="77777777" w:rsidR="00A00259" w:rsidRDefault="00A00259">
            <w:pPr>
              <w:spacing w:after="0" w:line="240" w:lineRule="auto"/>
              <w:rPr>
                <w:rFonts w:ascii="Times New Roman" w:eastAsia="Times New Roman" w:hAnsi="Times New Roman" w:cs="Times New Roman"/>
                <w:b/>
                <w:bCs/>
                <w:noProof/>
                <w:sz w:val="18"/>
                <w:szCs w:val="18"/>
              </w:rPr>
            </w:pPr>
          </w:p>
        </w:tc>
        <w:tc>
          <w:tcPr>
            <w:tcW w:w="1105" w:type="dxa"/>
            <w:vMerge/>
            <w:vAlign w:val="center"/>
            <w:hideMark/>
          </w:tcPr>
          <w:p w14:paraId="18DAC3C5" w14:textId="77777777" w:rsidR="00A00259" w:rsidRDefault="00A00259">
            <w:pPr>
              <w:spacing w:after="0" w:line="240" w:lineRule="auto"/>
              <w:rPr>
                <w:rFonts w:ascii="Times New Roman" w:eastAsia="Times New Roman" w:hAnsi="Times New Roman" w:cs="Times New Roman"/>
                <w:b/>
                <w:bCs/>
                <w:noProof/>
                <w:sz w:val="18"/>
                <w:szCs w:val="18"/>
              </w:rPr>
            </w:pPr>
          </w:p>
        </w:tc>
        <w:tc>
          <w:tcPr>
            <w:tcW w:w="1383" w:type="dxa"/>
            <w:vMerge/>
            <w:vAlign w:val="center"/>
            <w:hideMark/>
          </w:tcPr>
          <w:p w14:paraId="1B952001" w14:textId="77777777" w:rsidR="00A00259" w:rsidRDefault="00A00259">
            <w:pPr>
              <w:spacing w:after="0" w:line="240" w:lineRule="auto"/>
              <w:rPr>
                <w:rFonts w:ascii="Times New Roman" w:eastAsia="Times New Roman" w:hAnsi="Times New Roman" w:cs="Times New Roman"/>
                <w:b/>
                <w:bCs/>
                <w:noProof/>
                <w:sz w:val="18"/>
                <w:szCs w:val="18"/>
              </w:rPr>
            </w:pPr>
          </w:p>
        </w:tc>
        <w:tc>
          <w:tcPr>
            <w:tcW w:w="1701" w:type="dxa"/>
            <w:vMerge/>
            <w:vAlign w:val="center"/>
            <w:hideMark/>
          </w:tcPr>
          <w:p w14:paraId="42F98C1F" w14:textId="77777777" w:rsidR="00A00259" w:rsidRDefault="00A00259">
            <w:pPr>
              <w:spacing w:after="0" w:line="240" w:lineRule="auto"/>
              <w:rPr>
                <w:rFonts w:ascii="Times New Roman" w:eastAsia="Times New Roman" w:hAnsi="Times New Roman" w:cs="Times New Roman"/>
                <w:b/>
                <w:bCs/>
                <w:noProof/>
                <w:sz w:val="18"/>
                <w:szCs w:val="18"/>
              </w:rPr>
            </w:pPr>
          </w:p>
        </w:tc>
        <w:tc>
          <w:tcPr>
            <w:tcW w:w="992" w:type="dxa"/>
            <w:shd w:val="clear" w:color="auto" w:fill="BDD7EE"/>
            <w:vAlign w:val="center"/>
            <w:hideMark/>
          </w:tcPr>
          <w:p w14:paraId="7A815F38"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992" w:type="dxa"/>
            <w:shd w:val="clear" w:color="auto" w:fill="BDD7EE"/>
            <w:vAlign w:val="center"/>
          </w:tcPr>
          <w:p w14:paraId="502EDF01" w14:textId="77777777" w:rsidR="00A00259" w:rsidRDefault="00371282">
            <w:pPr>
              <w:pStyle w:val="P68B1DB1-Normal10"/>
              <w:spacing w:after="0" w:line="240" w:lineRule="auto"/>
              <w:jc w:val="center"/>
              <w:rPr>
                <w:rFonts w:eastAsia="Times New Roman" w:cs="Times New Roman"/>
                <w:bCs/>
                <w:noProof/>
                <w:szCs w:val="18"/>
              </w:rPr>
            </w:pPr>
            <w:r>
              <w:rPr>
                <w:noProof/>
              </w:rPr>
              <w:t>Données de référence</w:t>
            </w:r>
          </w:p>
        </w:tc>
        <w:tc>
          <w:tcPr>
            <w:tcW w:w="851" w:type="dxa"/>
            <w:shd w:val="clear" w:color="auto" w:fill="BDD7EE"/>
            <w:vAlign w:val="center"/>
            <w:hideMark/>
          </w:tcPr>
          <w:p w14:paraId="312E065A" w14:textId="77777777" w:rsidR="00A00259" w:rsidRDefault="00371282">
            <w:pPr>
              <w:pStyle w:val="P68B1DB1-Normal10"/>
              <w:spacing w:after="0" w:line="240" w:lineRule="auto"/>
              <w:jc w:val="center"/>
              <w:rPr>
                <w:rFonts w:eastAsia="Times New Roman" w:cs="Times New Roman"/>
                <w:bCs/>
                <w:noProof/>
                <w:szCs w:val="18"/>
              </w:rPr>
            </w:pPr>
            <w:r>
              <w:rPr>
                <w:noProof/>
              </w:rPr>
              <w:t>Objectif</w:t>
            </w:r>
          </w:p>
        </w:tc>
        <w:tc>
          <w:tcPr>
            <w:tcW w:w="992" w:type="dxa"/>
            <w:shd w:val="clear" w:color="auto" w:fill="BDD7EE"/>
            <w:vAlign w:val="center"/>
            <w:hideMark/>
          </w:tcPr>
          <w:p w14:paraId="4DB66E21"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723" w:type="dxa"/>
            <w:shd w:val="clear" w:color="auto" w:fill="BDD7EE"/>
            <w:vAlign w:val="center"/>
            <w:hideMark/>
          </w:tcPr>
          <w:p w14:paraId="6AABD41C"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3989" w:type="dxa"/>
            <w:vMerge/>
            <w:vAlign w:val="center"/>
            <w:hideMark/>
          </w:tcPr>
          <w:p w14:paraId="5CF51421"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2DF58313" w14:textId="77777777">
        <w:trPr>
          <w:trHeight w:val="313"/>
          <w:jc w:val="center"/>
        </w:trPr>
        <w:tc>
          <w:tcPr>
            <w:tcW w:w="708" w:type="dxa"/>
            <w:shd w:val="clear" w:color="auto" w:fill="C6EFCE"/>
            <w:noWrap/>
          </w:tcPr>
          <w:p w14:paraId="716E1637" w14:textId="77777777" w:rsidR="00A00259" w:rsidRDefault="00371282">
            <w:pPr>
              <w:pStyle w:val="P68B1DB1-Normal12"/>
              <w:spacing w:after="0" w:line="240" w:lineRule="auto"/>
              <w:rPr>
                <w:rFonts w:eastAsia="Times New Roman"/>
                <w:noProof/>
              </w:rPr>
            </w:pPr>
            <w:r>
              <w:rPr>
                <w:noProof/>
              </w:rPr>
              <w:t>96</w:t>
            </w:r>
          </w:p>
        </w:tc>
        <w:tc>
          <w:tcPr>
            <w:tcW w:w="2866" w:type="dxa"/>
            <w:shd w:val="clear" w:color="auto" w:fill="C6EFCE"/>
            <w:noWrap/>
          </w:tcPr>
          <w:p w14:paraId="27571ED0" w14:textId="77777777" w:rsidR="00A00259" w:rsidRDefault="00371282">
            <w:pPr>
              <w:pStyle w:val="P68B1DB1-Normal12"/>
              <w:spacing w:after="0" w:line="240" w:lineRule="auto"/>
              <w:rPr>
                <w:rFonts w:eastAsia="Times New Roman"/>
                <w:noProof/>
              </w:rPr>
            </w:pPr>
            <w:r>
              <w:rPr>
                <w:noProof/>
              </w:rPr>
              <w:t>6 - 2.2. 16929_Vers des services orientés «clients» de l’administration publique grâce à la simplification et à l’amélioration des processus, à l’amélioration des systèmes et au respect des stratégies et politiques européennes</w:t>
            </w:r>
          </w:p>
        </w:tc>
        <w:tc>
          <w:tcPr>
            <w:tcW w:w="1105" w:type="dxa"/>
            <w:shd w:val="clear" w:color="auto" w:fill="C6EFCE"/>
            <w:noWrap/>
          </w:tcPr>
          <w:p w14:paraId="5445DB84" w14:textId="77777777" w:rsidR="00A00259" w:rsidRDefault="00371282">
            <w:pPr>
              <w:pStyle w:val="P68B1DB1-Normal12"/>
              <w:spacing w:after="0" w:line="240" w:lineRule="auto"/>
              <w:rPr>
                <w:rFonts w:eastAsia="Times New Roman"/>
                <w:noProof/>
              </w:rPr>
            </w:pPr>
            <w:r>
              <w:rPr>
                <w:noProof/>
              </w:rPr>
              <w:t>Étape</w:t>
            </w:r>
          </w:p>
        </w:tc>
        <w:tc>
          <w:tcPr>
            <w:tcW w:w="1383" w:type="dxa"/>
            <w:shd w:val="clear" w:color="auto" w:fill="C6EFCE"/>
            <w:noWrap/>
          </w:tcPr>
          <w:p w14:paraId="17033B82" w14:textId="77777777" w:rsidR="00A00259" w:rsidRDefault="00371282">
            <w:pPr>
              <w:pStyle w:val="P68B1DB1-Normal12"/>
              <w:spacing w:after="0" w:line="240" w:lineRule="auto"/>
              <w:rPr>
                <w:rFonts w:eastAsia="Times New Roman"/>
                <w:noProof/>
              </w:rPr>
            </w:pPr>
            <w:r>
              <w:rPr>
                <w:noProof/>
              </w:rPr>
              <w:t>Mise en place du registre national des procédures et mise en œuvre du plan national de simplification des processus (première phase)</w:t>
            </w:r>
          </w:p>
        </w:tc>
        <w:tc>
          <w:tcPr>
            <w:tcW w:w="1701" w:type="dxa"/>
            <w:shd w:val="clear" w:color="auto" w:fill="C6EFCE"/>
            <w:noWrap/>
          </w:tcPr>
          <w:p w14:paraId="720EBAEC" w14:textId="77777777" w:rsidR="00A00259" w:rsidRDefault="00371282">
            <w:pPr>
              <w:pStyle w:val="P68B1DB1-Normal12"/>
              <w:spacing w:after="0" w:line="240" w:lineRule="auto"/>
              <w:rPr>
                <w:rFonts w:eastAsia="Times New Roman"/>
                <w:noProof/>
              </w:rPr>
            </w:pPr>
            <w:r>
              <w:rPr>
                <w:noProof/>
              </w:rPr>
              <w:t xml:space="preserve">Rapport du ministère de la gouvernance numérique attestant de l’opérationnalisation du registre national des procédures et de l’achèvement des axes de travail dans le cadre de la première phase du programme national de simplification des processus </w:t>
            </w:r>
          </w:p>
        </w:tc>
        <w:tc>
          <w:tcPr>
            <w:tcW w:w="992" w:type="dxa"/>
            <w:shd w:val="clear" w:color="auto" w:fill="C6EFCE"/>
            <w:noWrap/>
          </w:tcPr>
          <w:p w14:paraId="3A25E1A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tcPr>
          <w:p w14:paraId="5A4D948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6D491F3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tcPr>
          <w:p w14:paraId="293E9490" w14:textId="77777777" w:rsidR="00A00259" w:rsidRDefault="00371282">
            <w:pPr>
              <w:pStyle w:val="P68B1DB1-Normal12"/>
              <w:spacing w:after="0" w:line="240" w:lineRule="auto"/>
              <w:rPr>
                <w:rFonts w:eastAsia="Times New Roman"/>
                <w:noProof/>
              </w:rPr>
            </w:pPr>
            <w:r>
              <w:rPr>
                <w:noProof/>
              </w:rPr>
              <w:t>T3</w:t>
            </w:r>
          </w:p>
        </w:tc>
        <w:tc>
          <w:tcPr>
            <w:tcW w:w="723" w:type="dxa"/>
            <w:shd w:val="clear" w:color="auto" w:fill="C6EFCE"/>
            <w:noWrap/>
          </w:tcPr>
          <w:p w14:paraId="60D6123B" w14:textId="77777777" w:rsidR="00A00259" w:rsidRDefault="00371282">
            <w:pPr>
              <w:pStyle w:val="P68B1DB1-Normal12"/>
              <w:spacing w:after="0" w:line="240" w:lineRule="auto"/>
              <w:rPr>
                <w:rFonts w:eastAsia="Times New Roman"/>
                <w:noProof/>
              </w:rPr>
            </w:pPr>
            <w:r>
              <w:rPr>
                <w:noProof/>
              </w:rPr>
              <w:t>2022</w:t>
            </w:r>
          </w:p>
        </w:tc>
        <w:tc>
          <w:tcPr>
            <w:tcW w:w="3989" w:type="dxa"/>
            <w:shd w:val="clear" w:color="auto" w:fill="C6EFCE"/>
            <w:noWrap/>
          </w:tcPr>
          <w:p w14:paraId="0F864AF0" w14:textId="77777777" w:rsidR="00A00259" w:rsidRDefault="00371282">
            <w:pPr>
              <w:pStyle w:val="P68B1DB1-Normal12"/>
              <w:spacing w:before="120" w:after="120" w:line="240" w:lineRule="auto"/>
              <w:jc w:val="both"/>
              <w:rPr>
                <w:rFonts w:eastAsia="Times New Roman"/>
                <w:noProof/>
              </w:rPr>
            </w:pPr>
            <w:r>
              <w:rPr>
                <w:noProof/>
              </w:rPr>
              <w:t>Mise en œuvre du registre national des procédures («Diavlos», conformément à l’article 90 de la loi 4727/2020) et intégration dans le portail gov.gr; et l’achèvement de la première phase des axes de travail de simplification conformément au calendrier prévu par le programme national de simplification des processus sur quatre ans, y compris la numérisation des procédures de passation de marchés publics.</w:t>
            </w:r>
          </w:p>
        </w:tc>
      </w:tr>
      <w:tr w:rsidR="00A00259" w14:paraId="208EFE22" w14:textId="77777777">
        <w:trPr>
          <w:trHeight w:val="313"/>
          <w:jc w:val="center"/>
        </w:trPr>
        <w:tc>
          <w:tcPr>
            <w:tcW w:w="708" w:type="dxa"/>
            <w:shd w:val="clear" w:color="auto" w:fill="C6EFCE"/>
            <w:noWrap/>
          </w:tcPr>
          <w:p w14:paraId="3EB237FC" w14:textId="77777777" w:rsidR="00A00259" w:rsidRDefault="00371282">
            <w:pPr>
              <w:pStyle w:val="P68B1DB1-Normal12"/>
              <w:spacing w:after="0" w:line="240" w:lineRule="auto"/>
              <w:rPr>
                <w:rFonts w:eastAsia="Times New Roman"/>
                <w:noProof/>
              </w:rPr>
            </w:pPr>
            <w:r>
              <w:rPr>
                <w:noProof/>
              </w:rPr>
              <w:t>97</w:t>
            </w:r>
          </w:p>
        </w:tc>
        <w:tc>
          <w:tcPr>
            <w:tcW w:w="2866" w:type="dxa"/>
            <w:shd w:val="clear" w:color="auto" w:fill="C6EFCE"/>
            <w:noWrap/>
          </w:tcPr>
          <w:p w14:paraId="561A8E58" w14:textId="77777777" w:rsidR="00A00259" w:rsidRDefault="00371282">
            <w:pPr>
              <w:pStyle w:val="P68B1DB1-Normal12"/>
              <w:spacing w:after="0" w:line="240" w:lineRule="auto"/>
              <w:rPr>
                <w:rFonts w:eastAsia="Times New Roman"/>
                <w:noProof/>
              </w:rPr>
            </w:pPr>
            <w:r>
              <w:rPr>
                <w:noProof/>
              </w:rPr>
              <w:t>6 - 2.2. 16929_Vers des services orientés «clients» de l’administration publique grâce à la simplification et à l’amélioration des processus, à l’amélioration des systèmes et au respect des stratégies et politiques européennes</w:t>
            </w:r>
          </w:p>
        </w:tc>
        <w:tc>
          <w:tcPr>
            <w:tcW w:w="1105" w:type="dxa"/>
            <w:shd w:val="clear" w:color="auto" w:fill="C6EFCE"/>
            <w:noWrap/>
          </w:tcPr>
          <w:p w14:paraId="53D3B0F7" w14:textId="77777777" w:rsidR="00A00259" w:rsidRDefault="00371282">
            <w:pPr>
              <w:pStyle w:val="P68B1DB1-Normal12"/>
              <w:spacing w:after="0" w:line="240" w:lineRule="auto"/>
              <w:rPr>
                <w:rFonts w:eastAsia="Times New Roman"/>
                <w:noProof/>
              </w:rPr>
            </w:pPr>
            <w:r>
              <w:rPr>
                <w:noProof/>
              </w:rPr>
              <w:t>Étape</w:t>
            </w:r>
          </w:p>
        </w:tc>
        <w:tc>
          <w:tcPr>
            <w:tcW w:w="1383" w:type="dxa"/>
            <w:shd w:val="clear" w:color="auto" w:fill="C6EFCE"/>
            <w:noWrap/>
          </w:tcPr>
          <w:p w14:paraId="7B38DC41" w14:textId="77777777" w:rsidR="00A00259" w:rsidRDefault="00371282">
            <w:pPr>
              <w:pStyle w:val="P68B1DB1-Normal12"/>
              <w:spacing w:after="0" w:line="240" w:lineRule="auto"/>
              <w:rPr>
                <w:rFonts w:eastAsia="Times New Roman"/>
                <w:noProof/>
              </w:rPr>
            </w:pPr>
            <w:r>
              <w:rPr>
                <w:noProof/>
              </w:rPr>
              <w:t>Mise en œuvre du plan national de simplification des processus (deuxième phase)</w:t>
            </w:r>
          </w:p>
        </w:tc>
        <w:tc>
          <w:tcPr>
            <w:tcW w:w="1701" w:type="dxa"/>
            <w:shd w:val="clear" w:color="auto" w:fill="C6EFCE"/>
            <w:noWrap/>
          </w:tcPr>
          <w:p w14:paraId="4F66925D" w14:textId="77777777" w:rsidR="00A00259" w:rsidRDefault="00371282">
            <w:pPr>
              <w:pStyle w:val="P68B1DB1-Normal12"/>
              <w:spacing w:after="0" w:line="240" w:lineRule="auto"/>
              <w:rPr>
                <w:rFonts w:eastAsia="Times New Roman"/>
                <w:noProof/>
              </w:rPr>
            </w:pPr>
            <w:r>
              <w:rPr>
                <w:noProof/>
              </w:rPr>
              <w:t xml:space="preserve">Rapport du ministère de l'intérieur attestant de l'achèvement de la deuxième phase des travaux de simplification dans le cadre du programme national de simplification des processus </w:t>
            </w:r>
          </w:p>
        </w:tc>
        <w:tc>
          <w:tcPr>
            <w:tcW w:w="992" w:type="dxa"/>
            <w:shd w:val="clear" w:color="auto" w:fill="C6EFCE"/>
            <w:noWrap/>
          </w:tcPr>
          <w:p w14:paraId="2D09D13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tcPr>
          <w:p w14:paraId="6CAC76E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2F5B990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tcPr>
          <w:p w14:paraId="6809574F" w14:textId="77777777" w:rsidR="00A00259" w:rsidRDefault="00371282">
            <w:pPr>
              <w:pStyle w:val="P68B1DB1-Normal12"/>
              <w:spacing w:after="0" w:line="240" w:lineRule="auto"/>
              <w:rPr>
                <w:rFonts w:eastAsia="Times New Roman"/>
                <w:noProof/>
              </w:rPr>
            </w:pPr>
            <w:r>
              <w:rPr>
                <w:noProof/>
              </w:rPr>
              <w:t>T4</w:t>
            </w:r>
          </w:p>
        </w:tc>
        <w:tc>
          <w:tcPr>
            <w:tcW w:w="723" w:type="dxa"/>
            <w:shd w:val="clear" w:color="auto" w:fill="C6EFCE"/>
            <w:noWrap/>
          </w:tcPr>
          <w:p w14:paraId="49676863" w14:textId="77777777" w:rsidR="00A00259" w:rsidRDefault="00371282">
            <w:pPr>
              <w:pStyle w:val="P68B1DB1-Normal12"/>
              <w:spacing w:after="0" w:line="240" w:lineRule="auto"/>
              <w:rPr>
                <w:rFonts w:eastAsia="Times New Roman"/>
                <w:noProof/>
              </w:rPr>
            </w:pPr>
            <w:r>
              <w:rPr>
                <w:noProof/>
              </w:rPr>
              <w:t>2023</w:t>
            </w:r>
          </w:p>
        </w:tc>
        <w:tc>
          <w:tcPr>
            <w:tcW w:w="3989" w:type="dxa"/>
            <w:shd w:val="clear" w:color="auto" w:fill="C6EFCE"/>
            <w:noWrap/>
          </w:tcPr>
          <w:p w14:paraId="1F1C6D04" w14:textId="77777777" w:rsidR="00A00259" w:rsidRDefault="00371282">
            <w:pPr>
              <w:pStyle w:val="P68B1DB1-Normal12"/>
              <w:spacing w:after="0" w:line="240" w:lineRule="auto"/>
              <w:rPr>
                <w:rFonts w:eastAsia="Times New Roman"/>
                <w:noProof/>
              </w:rPr>
            </w:pPr>
            <w:r>
              <w:rPr>
                <w:noProof/>
              </w:rPr>
              <w:t>Achever la deuxième phase des travaux de simplification conformément au calendrier prévu par le programme national quadriennal de simplification des processus, y compris la numérisation des processus d’analyse d’impact, le démarrage d’entreprises individuelles, la simplification des procédures relatives aux «événements de la vie» des citoyens, y compris la naissance, le décès et le divorce, la simplification des procédures judiciaires relatives aux avocats, les décisions de justice, les signatures numériques, les certificats délivrés par les tribunaux, le renouvellement et l’exploitation du permis de conduire myfoto.gov.gr et la circulation électronique des documents au sein de l’administration publique (attestée par des circulaires publiées).</w:t>
            </w:r>
          </w:p>
        </w:tc>
      </w:tr>
      <w:tr w:rsidR="00A00259" w14:paraId="1914C455" w14:textId="77777777">
        <w:trPr>
          <w:trHeight w:val="313"/>
          <w:jc w:val="center"/>
        </w:trPr>
        <w:tc>
          <w:tcPr>
            <w:tcW w:w="708" w:type="dxa"/>
            <w:shd w:val="clear" w:color="auto" w:fill="C6EFCE"/>
            <w:noWrap/>
          </w:tcPr>
          <w:p w14:paraId="28B8235D" w14:textId="77777777" w:rsidR="00A00259" w:rsidRDefault="00371282">
            <w:pPr>
              <w:pStyle w:val="P68B1DB1-Normal12"/>
              <w:spacing w:after="0" w:line="240" w:lineRule="auto"/>
              <w:rPr>
                <w:rFonts w:eastAsia="Times New Roman"/>
                <w:noProof/>
              </w:rPr>
            </w:pPr>
            <w:r>
              <w:rPr>
                <w:noProof/>
              </w:rPr>
              <w:t>98</w:t>
            </w:r>
          </w:p>
        </w:tc>
        <w:tc>
          <w:tcPr>
            <w:tcW w:w="2866" w:type="dxa"/>
            <w:shd w:val="clear" w:color="auto" w:fill="C6EFCE"/>
            <w:noWrap/>
          </w:tcPr>
          <w:p w14:paraId="3B31656D" w14:textId="77777777" w:rsidR="00A00259" w:rsidRDefault="00371282">
            <w:pPr>
              <w:pStyle w:val="P68B1DB1-Normal12"/>
              <w:spacing w:after="0" w:line="240" w:lineRule="auto"/>
              <w:rPr>
                <w:rFonts w:eastAsia="Times New Roman"/>
                <w:noProof/>
              </w:rPr>
            </w:pPr>
            <w:r>
              <w:rPr>
                <w:noProof/>
              </w:rPr>
              <w:t>6 - 2.2. 16782_Interconnexion et interopérabilité des registres, des systèmes et des services pour l'échange de données entre les organismes publics nationaux</w:t>
            </w:r>
          </w:p>
        </w:tc>
        <w:tc>
          <w:tcPr>
            <w:tcW w:w="1105" w:type="dxa"/>
            <w:shd w:val="clear" w:color="auto" w:fill="C6EFCE"/>
            <w:noWrap/>
          </w:tcPr>
          <w:p w14:paraId="710CDABD" w14:textId="77777777" w:rsidR="00A00259" w:rsidRDefault="00371282">
            <w:pPr>
              <w:pStyle w:val="P68B1DB1-Normal12"/>
              <w:spacing w:after="0" w:line="240" w:lineRule="auto"/>
              <w:rPr>
                <w:rFonts w:eastAsia="Times New Roman"/>
                <w:noProof/>
              </w:rPr>
            </w:pPr>
            <w:r>
              <w:rPr>
                <w:noProof/>
              </w:rPr>
              <w:t>Étape</w:t>
            </w:r>
          </w:p>
        </w:tc>
        <w:tc>
          <w:tcPr>
            <w:tcW w:w="1383" w:type="dxa"/>
            <w:shd w:val="clear" w:color="auto" w:fill="C6EFCE"/>
            <w:noWrap/>
          </w:tcPr>
          <w:p w14:paraId="15308431" w14:textId="77777777" w:rsidR="00A00259" w:rsidRDefault="00371282">
            <w:pPr>
              <w:pStyle w:val="P68B1DB1-Normal12"/>
              <w:spacing w:after="0" w:line="240" w:lineRule="auto"/>
              <w:rPr>
                <w:noProof/>
              </w:rPr>
            </w:pPr>
            <w:r>
              <w:rPr>
                <w:noProof/>
              </w:rPr>
              <w:t xml:space="preserve">Base réglementaire pour l'interconnexion et </w:t>
            </w:r>
          </w:p>
          <w:p w14:paraId="014C0546" w14:textId="77777777" w:rsidR="00A00259" w:rsidRDefault="00371282">
            <w:pPr>
              <w:pStyle w:val="P68B1DB1-Normal12"/>
              <w:spacing w:after="0" w:line="240" w:lineRule="auto"/>
              <w:rPr>
                <w:rFonts w:eastAsia="Times New Roman"/>
                <w:noProof/>
              </w:rPr>
            </w:pPr>
            <w:r>
              <w:rPr>
                <w:noProof/>
              </w:rPr>
              <w:t>interopérabilité des registres</w:t>
            </w:r>
          </w:p>
        </w:tc>
        <w:tc>
          <w:tcPr>
            <w:tcW w:w="1701" w:type="dxa"/>
            <w:shd w:val="clear" w:color="auto" w:fill="C6EFCE"/>
            <w:noWrap/>
          </w:tcPr>
          <w:p w14:paraId="5C730E1E" w14:textId="77777777" w:rsidR="00A00259" w:rsidRDefault="00371282">
            <w:pPr>
              <w:pStyle w:val="P68B1DB1-Normal12"/>
              <w:spacing w:after="0" w:line="240" w:lineRule="auto"/>
              <w:rPr>
                <w:rFonts w:eastAsia="Times New Roman"/>
                <w:noProof/>
              </w:rPr>
            </w:pPr>
            <w:r>
              <w:rPr>
                <w:noProof/>
              </w:rPr>
              <w:t>Adoption des modifications réglementaires, y compris le droit primaire et le droit dérivé connexes pour l’interconnexion et l’interopérabilité des registres et des services</w:t>
            </w:r>
          </w:p>
        </w:tc>
        <w:tc>
          <w:tcPr>
            <w:tcW w:w="992" w:type="dxa"/>
            <w:shd w:val="clear" w:color="auto" w:fill="C6EFCE"/>
            <w:noWrap/>
          </w:tcPr>
          <w:p w14:paraId="44F17DE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tcPr>
          <w:p w14:paraId="7F76CBA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0B70626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tcPr>
          <w:p w14:paraId="717B9F85" w14:textId="77777777" w:rsidR="00A00259" w:rsidRDefault="00371282">
            <w:pPr>
              <w:pStyle w:val="P68B1DB1-Normal12"/>
              <w:spacing w:after="0" w:line="240" w:lineRule="auto"/>
              <w:rPr>
                <w:rFonts w:eastAsia="Times New Roman"/>
                <w:noProof/>
              </w:rPr>
            </w:pPr>
            <w:r>
              <w:rPr>
                <w:noProof/>
              </w:rPr>
              <w:t>T4</w:t>
            </w:r>
          </w:p>
        </w:tc>
        <w:tc>
          <w:tcPr>
            <w:tcW w:w="723" w:type="dxa"/>
            <w:shd w:val="clear" w:color="auto" w:fill="C6EFCE"/>
            <w:noWrap/>
          </w:tcPr>
          <w:p w14:paraId="2EA3A18F" w14:textId="77777777" w:rsidR="00A00259" w:rsidRDefault="00371282">
            <w:pPr>
              <w:pStyle w:val="P68B1DB1-Normal12"/>
              <w:spacing w:after="0" w:line="240" w:lineRule="auto"/>
              <w:rPr>
                <w:rFonts w:eastAsia="Times New Roman"/>
                <w:noProof/>
              </w:rPr>
            </w:pPr>
            <w:r>
              <w:rPr>
                <w:noProof/>
              </w:rPr>
              <w:t>2024</w:t>
            </w:r>
          </w:p>
        </w:tc>
        <w:tc>
          <w:tcPr>
            <w:tcW w:w="3989" w:type="dxa"/>
            <w:shd w:val="clear" w:color="auto" w:fill="C6EFCE"/>
            <w:noWrap/>
          </w:tcPr>
          <w:p w14:paraId="5679C8AF" w14:textId="77777777" w:rsidR="00A00259" w:rsidRDefault="00371282">
            <w:pPr>
              <w:pStyle w:val="P68B1DB1-Normal12"/>
              <w:spacing w:before="120" w:after="120" w:line="240" w:lineRule="auto"/>
              <w:jc w:val="both"/>
              <w:rPr>
                <w:rFonts w:eastAsia="Times New Roman"/>
                <w:noProof/>
              </w:rPr>
            </w:pPr>
            <w:r>
              <w:rPr>
                <w:noProof/>
              </w:rPr>
              <w:t>L'adoption de modifications réglementaires visant à établir une base réglementaire pour l'interconnexion et l'interopérabilité des registres et des services d'échange de données entre les organismes publics nationaux</w:t>
            </w:r>
          </w:p>
        </w:tc>
      </w:tr>
      <w:tr w:rsidR="00A00259" w14:paraId="310495E6" w14:textId="77777777">
        <w:trPr>
          <w:trHeight w:val="313"/>
          <w:jc w:val="center"/>
        </w:trPr>
        <w:tc>
          <w:tcPr>
            <w:tcW w:w="708" w:type="dxa"/>
            <w:shd w:val="clear" w:color="auto" w:fill="C6EFCE"/>
            <w:noWrap/>
            <w:hideMark/>
          </w:tcPr>
          <w:p w14:paraId="4CBCB3CA" w14:textId="77777777" w:rsidR="00A00259" w:rsidRDefault="00371282">
            <w:pPr>
              <w:pStyle w:val="P68B1DB1-Normal12"/>
              <w:spacing w:after="0" w:line="240" w:lineRule="auto"/>
              <w:rPr>
                <w:rFonts w:eastAsia="Times New Roman"/>
                <w:noProof/>
              </w:rPr>
            </w:pPr>
            <w:r>
              <w:rPr>
                <w:noProof/>
              </w:rPr>
              <w:t>99</w:t>
            </w:r>
          </w:p>
        </w:tc>
        <w:tc>
          <w:tcPr>
            <w:tcW w:w="2866" w:type="dxa"/>
            <w:shd w:val="clear" w:color="auto" w:fill="C6EFCE"/>
            <w:noWrap/>
            <w:hideMark/>
          </w:tcPr>
          <w:p w14:paraId="7E4A2E16" w14:textId="77777777" w:rsidR="00A00259" w:rsidRDefault="00371282">
            <w:pPr>
              <w:pStyle w:val="P68B1DB1-Normal12"/>
              <w:spacing w:after="0" w:line="240" w:lineRule="auto"/>
              <w:rPr>
                <w:rFonts w:eastAsia="Times New Roman"/>
                <w:noProof/>
              </w:rPr>
            </w:pPr>
            <w:r>
              <w:rPr>
                <w:noProof/>
              </w:rPr>
              <w:t>6 - 2.2. 16929_Vers des services orientés «clients» de l’administration publique grâce à la simplification et à l’amélioration des processus, à l’amélioration des systèmes et au respect des stratégies et politiques européennes</w:t>
            </w:r>
          </w:p>
        </w:tc>
        <w:tc>
          <w:tcPr>
            <w:tcW w:w="1105" w:type="dxa"/>
            <w:shd w:val="clear" w:color="auto" w:fill="C6EFCE"/>
            <w:noWrap/>
            <w:hideMark/>
          </w:tcPr>
          <w:p w14:paraId="7ED6FCCC" w14:textId="77777777" w:rsidR="00A00259" w:rsidRDefault="00371282">
            <w:pPr>
              <w:pStyle w:val="P68B1DB1-Normal12"/>
              <w:spacing w:after="0" w:line="240" w:lineRule="auto"/>
              <w:rPr>
                <w:rFonts w:eastAsia="Times New Roman"/>
                <w:noProof/>
              </w:rPr>
            </w:pPr>
            <w:r>
              <w:rPr>
                <w:noProof/>
              </w:rPr>
              <w:t>Étape</w:t>
            </w:r>
          </w:p>
        </w:tc>
        <w:tc>
          <w:tcPr>
            <w:tcW w:w="1383" w:type="dxa"/>
            <w:shd w:val="clear" w:color="auto" w:fill="C6EFCE"/>
            <w:noWrap/>
            <w:hideMark/>
          </w:tcPr>
          <w:p w14:paraId="18AD133A" w14:textId="77777777" w:rsidR="00A00259" w:rsidRDefault="00371282">
            <w:pPr>
              <w:pStyle w:val="P68B1DB1-Normal12"/>
              <w:spacing w:after="0" w:line="240" w:lineRule="auto"/>
              <w:rPr>
                <w:noProof/>
              </w:rPr>
            </w:pPr>
            <w:r>
              <w:rPr>
                <w:noProof/>
              </w:rPr>
              <w:t xml:space="preserve">Réduire la charge administrative dans l'administration publique </w:t>
            </w:r>
          </w:p>
        </w:tc>
        <w:tc>
          <w:tcPr>
            <w:tcW w:w="1701" w:type="dxa"/>
            <w:shd w:val="clear" w:color="auto" w:fill="C6EFCE"/>
            <w:noWrap/>
            <w:hideMark/>
          </w:tcPr>
          <w:p w14:paraId="42C747F3" w14:textId="04496EAD" w:rsidR="00A00259" w:rsidRDefault="00371282">
            <w:pPr>
              <w:pStyle w:val="P68B1DB1-Normal12"/>
              <w:spacing w:after="0" w:line="240" w:lineRule="auto"/>
              <w:rPr>
                <w:noProof/>
              </w:rPr>
            </w:pPr>
            <w:r>
              <w:rPr>
                <w:noProof/>
              </w:rPr>
              <w:t xml:space="preserve">Mise en œuvre d’actions de suivi et de mesure de la charge administrative et de soutien au processus d’analyse d’impact réglementaire et dispositions du code de l’administration locale unique indiquant l’entrée en vigueur </w:t>
            </w:r>
          </w:p>
        </w:tc>
        <w:tc>
          <w:tcPr>
            <w:tcW w:w="992" w:type="dxa"/>
            <w:shd w:val="clear" w:color="auto" w:fill="C6EFCE"/>
            <w:noWrap/>
            <w:hideMark/>
          </w:tcPr>
          <w:p w14:paraId="722011B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tcPr>
          <w:p w14:paraId="53555F0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hideMark/>
          </w:tcPr>
          <w:p w14:paraId="0D2C0BA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tcPr>
          <w:p w14:paraId="6DC8CE27" w14:textId="77777777" w:rsidR="00A00259" w:rsidRDefault="00371282">
            <w:pPr>
              <w:pStyle w:val="P68B1DB1-Normal12"/>
              <w:spacing w:after="0" w:line="240" w:lineRule="auto"/>
              <w:rPr>
                <w:rFonts w:eastAsia="Times New Roman"/>
                <w:noProof/>
              </w:rPr>
            </w:pPr>
            <w:r>
              <w:rPr>
                <w:noProof/>
              </w:rPr>
              <w:t>T4</w:t>
            </w:r>
          </w:p>
        </w:tc>
        <w:tc>
          <w:tcPr>
            <w:tcW w:w="723" w:type="dxa"/>
            <w:shd w:val="clear" w:color="auto" w:fill="C6EFCE"/>
            <w:noWrap/>
            <w:hideMark/>
          </w:tcPr>
          <w:p w14:paraId="4B9993FF" w14:textId="77777777" w:rsidR="00A00259" w:rsidRDefault="00371282">
            <w:pPr>
              <w:pStyle w:val="P68B1DB1-Normal12"/>
              <w:spacing w:after="0" w:line="240" w:lineRule="auto"/>
              <w:rPr>
                <w:rFonts w:eastAsia="Times New Roman"/>
                <w:noProof/>
              </w:rPr>
            </w:pPr>
            <w:r>
              <w:rPr>
                <w:noProof/>
              </w:rPr>
              <w:t>2025</w:t>
            </w:r>
          </w:p>
        </w:tc>
        <w:tc>
          <w:tcPr>
            <w:tcW w:w="3989" w:type="dxa"/>
            <w:shd w:val="clear" w:color="auto" w:fill="C6EFCE"/>
            <w:noWrap/>
            <w:hideMark/>
          </w:tcPr>
          <w:p w14:paraId="5DCF71C8" w14:textId="77777777" w:rsidR="00A00259" w:rsidRDefault="00371282">
            <w:pPr>
              <w:pStyle w:val="P68B1DB1-ListParagraph34"/>
              <w:numPr>
                <w:ilvl w:val="0"/>
                <w:numId w:val="39"/>
              </w:numPr>
              <w:spacing w:after="0" w:line="240" w:lineRule="auto"/>
              <w:ind w:left="203" w:hanging="203"/>
              <w:rPr>
                <w:noProof/>
              </w:rPr>
            </w:pPr>
            <w:r>
              <w:rPr>
                <w:noProof/>
              </w:rPr>
              <w:t>Entrée en vigueur des chapitres du code de l'administration locale unique relatifs à la réglementation des questions d'organisation et à la réglementation du fonctionnement financier et du cadre de gestion.</w:t>
            </w:r>
          </w:p>
          <w:p w14:paraId="7A4CDED1" w14:textId="77777777" w:rsidR="00A00259" w:rsidRDefault="00371282">
            <w:pPr>
              <w:pStyle w:val="P68B1DB1-ListParagraph34"/>
              <w:numPr>
                <w:ilvl w:val="0"/>
                <w:numId w:val="40"/>
              </w:numPr>
              <w:spacing w:after="0" w:line="240" w:lineRule="auto"/>
              <w:ind w:left="203" w:hanging="203"/>
              <w:rPr>
                <w:noProof/>
              </w:rPr>
            </w:pPr>
            <w:r>
              <w:rPr>
                <w:noProof/>
              </w:rPr>
              <w:t>Normalisation de la méthodologie et des procédures de mesure des charges administratives.</w:t>
            </w:r>
          </w:p>
          <w:p w14:paraId="720CFDF8" w14:textId="77777777" w:rsidR="00A00259" w:rsidRDefault="00371282">
            <w:pPr>
              <w:pStyle w:val="P68B1DB1-ListParagraph34"/>
              <w:numPr>
                <w:ilvl w:val="0"/>
                <w:numId w:val="40"/>
              </w:numPr>
              <w:ind w:left="203" w:hanging="203"/>
              <w:rPr>
                <w:noProof/>
              </w:rPr>
            </w:pPr>
            <w:r>
              <w:rPr>
                <w:noProof/>
              </w:rPr>
              <w:t>Établissement d'un indice de mesure de la bureaucratie (IMC).</w:t>
            </w:r>
          </w:p>
          <w:p w14:paraId="777811A5" w14:textId="77777777" w:rsidR="00A00259" w:rsidRDefault="00371282">
            <w:pPr>
              <w:pStyle w:val="P68B1DB1-ListParagraph34"/>
              <w:numPr>
                <w:ilvl w:val="0"/>
                <w:numId w:val="40"/>
              </w:numPr>
              <w:spacing w:after="0" w:line="240" w:lineRule="auto"/>
              <w:ind w:left="203" w:hanging="203"/>
              <w:rPr>
                <w:noProof/>
              </w:rPr>
            </w:pPr>
            <w:r>
              <w:rPr>
                <w:noProof/>
              </w:rPr>
              <w:t>Mise en place d'un mécanisme à l'appui de l'analyse d'impact de la réglementation.</w:t>
            </w:r>
          </w:p>
          <w:p w14:paraId="5449DF33" w14:textId="77777777" w:rsidR="00A00259" w:rsidRDefault="00371282">
            <w:pPr>
              <w:pStyle w:val="P68B1DB1-ListParagraph34"/>
              <w:numPr>
                <w:ilvl w:val="0"/>
                <w:numId w:val="40"/>
              </w:numPr>
              <w:spacing w:after="0" w:line="240" w:lineRule="auto"/>
              <w:ind w:left="203" w:hanging="203"/>
              <w:rPr>
                <w:rFonts w:eastAsia="Times New Roman"/>
                <w:noProof/>
              </w:rPr>
            </w:pPr>
            <w:r>
              <w:rPr>
                <w:noProof/>
              </w:rPr>
              <w:t>Publication des mesures des charges administratives à l'aide du modèle de coûts standard.</w:t>
            </w:r>
          </w:p>
        </w:tc>
      </w:tr>
    </w:tbl>
    <w:p w14:paraId="17F76163" w14:textId="77777777" w:rsidR="00A00259" w:rsidRDefault="00A00259">
      <w:pPr>
        <w:spacing w:after="0" w:line="240" w:lineRule="auto"/>
        <w:rPr>
          <w:rFonts w:ascii="Cambria" w:hAnsi="Cambria"/>
          <w:noProof/>
          <w:color w:val="365F91"/>
          <w:sz w:val="24"/>
        </w:rPr>
        <w:sectPr w:rsidR="00A00259">
          <w:headerReference w:type="even" r:id="rId138"/>
          <w:headerReference w:type="default" r:id="rId139"/>
          <w:footerReference w:type="even" r:id="rId140"/>
          <w:footerReference w:type="default" r:id="rId141"/>
          <w:headerReference w:type="first" r:id="rId142"/>
          <w:footerReference w:type="first" r:id="rId143"/>
          <w:pgSz w:w="16839" w:h="11907" w:orient="landscape"/>
          <w:pgMar w:top="1134" w:right="1134" w:bottom="1134" w:left="1134" w:header="567" w:footer="567" w:gutter="0"/>
          <w:cols w:space="720"/>
          <w:docGrid w:linePitch="360"/>
        </w:sectPr>
      </w:pPr>
    </w:p>
    <w:p w14:paraId="085FDBB9" w14:textId="77777777" w:rsidR="00A00259" w:rsidRDefault="00371282">
      <w:pPr>
        <w:pStyle w:val="P68B1DB1-Normal9"/>
        <w:spacing w:after="0" w:line="240" w:lineRule="auto"/>
        <w:rPr>
          <w:noProof/>
        </w:rPr>
      </w:pPr>
      <w:r>
        <w:rPr>
          <w:noProof/>
        </w:rPr>
        <w:t>Groupe 9: Initiatives liées à des services numériques améliorés, axés sur le client et sécurisés, utilisant des systèmes informatiques interopérables et des politiques en matière de données ouvertes</w:t>
      </w:r>
    </w:p>
    <w:p w14:paraId="607D09FE" w14:textId="77777777" w:rsidR="00A00259" w:rsidRDefault="00371282">
      <w:pPr>
        <w:pStyle w:val="P68B1DB1-Normal5"/>
        <w:spacing w:before="120" w:after="120" w:line="240" w:lineRule="auto"/>
        <w:ind w:left="709"/>
        <w:rPr>
          <w:rFonts w:cs="Times New Roman"/>
          <w:noProof/>
        </w:rPr>
      </w:pPr>
      <w:r>
        <w:rPr>
          <w:noProof/>
        </w:rPr>
        <w:t>Les mesures incluses dans ce groupe sont les suivantes:</w:t>
      </w:r>
    </w:p>
    <w:p w14:paraId="37F5418C" w14:textId="77777777" w:rsidR="00A00259" w:rsidRDefault="00371282">
      <w:pPr>
        <w:spacing w:before="120" w:after="120" w:line="240" w:lineRule="auto"/>
        <w:ind w:left="709"/>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Gestion de la relation client pour le gouvernement général (ID: 16810)</w:t>
      </w:r>
    </w:p>
    <w:p w14:paraId="56E05D64" w14:textId="77777777" w:rsidR="00A00259" w:rsidRDefault="00371282">
      <w:pPr>
        <w:spacing w:before="120" w:after="120" w:line="240" w:lineRule="auto"/>
        <w:ind w:left="709"/>
        <w:rPr>
          <w:rFonts w:ascii="Times New Roman" w:hAnsi="Times New Roman" w:cs="Times New Roman"/>
          <w:noProof/>
          <w:sz w:val="24"/>
          <w:szCs w:val="24"/>
        </w:rPr>
      </w:pPr>
      <w:r>
        <w:rPr>
          <w:rFonts w:ascii="Times New Roman" w:hAnsi="Times New Roman"/>
          <w:noProof/>
          <w:sz w:val="24"/>
          <w:szCs w:val="24"/>
        </w:rPr>
        <w:t>●</w:t>
      </w:r>
      <w:r>
        <w:rPr>
          <w:noProof/>
        </w:rPr>
        <w:t xml:space="preserve"> </w:t>
      </w:r>
      <w:r>
        <w:rPr>
          <w:rFonts w:ascii="Times New Roman" w:hAnsi="Times New Roman"/>
          <w:noProof/>
          <w:sz w:val="24"/>
          <w:szCs w:val="24"/>
        </w:rPr>
        <w:t>Modernisation des guichets uniques de l’administration publique (ID: 16780)</w:t>
      </w:r>
    </w:p>
    <w:p w14:paraId="786BB4BE" w14:textId="77777777" w:rsidR="00A00259" w:rsidRDefault="00371282">
      <w:pPr>
        <w:spacing w:before="120" w:after="120" w:line="240" w:lineRule="auto"/>
        <w:ind w:left="709"/>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Nouveau système pour les marchés publics (ID: 16736)</w:t>
      </w:r>
    </w:p>
    <w:p w14:paraId="5701E10C" w14:textId="77777777" w:rsidR="00A00259" w:rsidRDefault="00371282">
      <w:pPr>
        <w:spacing w:before="120" w:after="120" w:line="240" w:lineRule="auto"/>
        <w:ind w:left="709"/>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Transformation numérique du ministère des affaires étrangères (ID: 16742)</w:t>
      </w:r>
    </w:p>
    <w:p w14:paraId="7E23654B" w14:textId="77777777" w:rsidR="00A00259" w:rsidRDefault="00371282">
      <w:pPr>
        <w:spacing w:before="120" w:after="120" w:line="240" w:lineRule="auto"/>
        <w:ind w:left="709"/>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Programmes de mise à niveau des compétences numériques pour les conscrits (ID: 16826)</w:t>
      </w:r>
    </w:p>
    <w:p w14:paraId="2EF1E994" w14:textId="77777777" w:rsidR="00A00259" w:rsidRDefault="00371282">
      <w:pPr>
        <w:spacing w:before="120" w:after="120" w:line="240" w:lineRule="auto"/>
        <w:ind w:left="709"/>
        <w:rPr>
          <w:rFonts w:ascii="Times New Roman" w:hAnsi="Times New Roman" w:cs="Times New Roman"/>
          <w:noProof/>
          <w:sz w:val="24"/>
          <w:szCs w:val="24"/>
        </w:rPr>
      </w:pPr>
      <w:r>
        <w:rPr>
          <w:rFonts w:ascii="Times New Roman" w:hAnsi="Times New Roman"/>
          <w:noProof/>
          <w:sz w:val="24"/>
          <w:szCs w:val="24"/>
        </w:rPr>
        <w:t>●</w:t>
      </w:r>
      <w:r>
        <w:rPr>
          <w:noProof/>
        </w:rPr>
        <w:t xml:space="preserve"> </w:t>
      </w:r>
      <w:r>
        <w:rPr>
          <w:rFonts w:ascii="Times New Roman" w:hAnsi="Times New Roman"/>
          <w:noProof/>
          <w:sz w:val="24"/>
          <w:szCs w:val="24"/>
        </w:rPr>
        <w:t>Transformation numérique de l’organisation nationale grecque du tourisme (ID: 16791)</w:t>
      </w:r>
    </w:p>
    <w:p w14:paraId="119AAC02" w14:textId="77777777" w:rsidR="00A00259" w:rsidRDefault="00371282">
      <w:pPr>
        <w:spacing w:before="120" w:after="120" w:line="240" w:lineRule="auto"/>
        <w:ind w:left="709"/>
        <w:rPr>
          <w:rFonts w:ascii="Times New Roman" w:hAnsi="Times New Roman" w:cs="Times New Roman"/>
          <w:noProof/>
          <w:sz w:val="24"/>
          <w:szCs w:val="24"/>
        </w:rPr>
      </w:pPr>
      <w:r>
        <w:rPr>
          <w:rFonts w:ascii="Times New Roman" w:hAnsi="Times New Roman"/>
          <w:noProof/>
          <w:sz w:val="24"/>
          <w:szCs w:val="24"/>
        </w:rPr>
        <w:t>●</w:t>
      </w:r>
      <w:r>
        <w:rPr>
          <w:noProof/>
        </w:rPr>
        <w:t xml:space="preserve"> </w:t>
      </w:r>
      <w:r>
        <w:rPr>
          <w:rFonts w:ascii="Times New Roman" w:hAnsi="Times New Roman"/>
          <w:noProof/>
          <w:sz w:val="24"/>
          <w:szCs w:val="24"/>
        </w:rPr>
        <w:t>Stratégie de cybersécurité et centre national des opérations de cybersécurité (ID: 16823)</w:t>
      </w:r>
    </w:p>
    <w:p w14:paraId="75C58903" w14:textId="77777777" w:rsidR="00A00259" w:rsidRDefault="00371282">
      <w:pPr>
        <w:spacing w:before="120" w:after="120" w:line="240" w:lineRule="auto"/>
        <w:ind w:left="709"/>
        <w:rPr>
          <w:rFonts w:ascii="Times New Roman" w:hAnsi="Times New Roman" w:cs="Times New Roman"/>
          <w:noProof/>
          <w:sz w:val="24"/>
          <w:szCs w:val="24"/>
        </w:rPr>
      </w:pPr>
      <w:r>
        <w:rPr>
          <w:rFonts w:ascii="Times New Roman" w:hAnsi="Times New Roman"/>
          <w:noProof/>
          <w:sz w:val="24"/>
          <w:szCs w:val="24"/>
        </w:rPr>
        <w:t>●</w:t>
      </w:r>
      <w:r>
        <w:rPr>
          <w:noProof/>
        </w:rPr>
        <w:t xml:space="preserve"> </w:t>
      </w:r>
      <w:r>
        <w:rPr>
          <w:rFonts w:ascii="Times New Roman" w:hAnsi="Times New Roman"/>
          <w:noProof/>
          <w:sz w:val="24"/>
          <w:szCs w:val="24"/>
        </w:rPr>
        <w:t>Services web et centre d’interopérabilité de nouvelle génération (KED) (ID: 16779)</w:t>
      </w:r>
    </w:p>
    <w:p w14:paraId="36263273" w14:textId="200F210E" w:rsidR="00A00259" w:rsidRDefault="00371282">
      <w:pPr>
        <w:spacing w:before="120" w:after="120" w:line="240" w:lineRule="auto"/>
        <w:ind w:left="709"/>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Registres électroniques (ID: 16824)</w:t>
      </w:r>
    </w:p>
    <w:p w14:paraId="726A3114" w14:textId="77777777" w:rsidR="00A00259" w:rsidRDefault="00371282">
      <w:pPr>
        <w:spacing w:before="120" w:after="120" w:line="240" w:lineRule="auto"/>
        <w:ind w:left="709"/>
        <w:rPr>
          <w:rFonts w:ascii="Times New Roman" w:hAnsi="Times New Roman"/>
          <w:noProof/>
          <w:sz w:val="24"/>
        </w:rPr>
      </w:pPr>
      <w:r>
        <w:rPr>
          <w:rFonts w:ascii="Times New Roman" w:hAnsi="Times New Roman"/>
          <w:noProof/>
          <w:sz w:val="24"/>
          <w:szCs w:val="24"/>
        </w:rPr>
        <w:t>●</w:t>
      </w:r>
      <w:r>
        <w:rPr>
          <w:noProof/>
        </w:rPr>
        <w:t xml:space="preserve"> </w:t>
      </w:r>
      <w:r>
        <w:rPr>
          <w:rFonts w:ascii="Times New Roman" w:hAnsi="Times New Roman"/>
          <w:noProof/>
          <w:sz w:val="24"/>
        </w:rPr>
        <w:t>Système central de gestion des documents (ID: 16738)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9"/>
        <w:gridCol w:w="1876"/>
        <w:gridCol w:w="1090"/>
        <w:gridCol w:w="1422"/>
        <w:gridCol w:w="1853"/>
        <w:gridCol w:w="1012"/>
        <w:gridCol w:w="1027"/>
        <w:gridCol w:w="850"/>
        <w:gridCol w:w="992"/>
        <w:gridCol w:w="709"/>
        <w:gridCol w:w="3197"/>
      </w:tblGrid>
      <w:tr w:rsidR="00A00259" w14:paraId="1DD4AF7D" w14:textId="77777777" w:rsidTr="00CE3F9A">
        <w:trPr>
          <w:trHeight w:val="939"/>
          <w:tblHeader/>
          <w:jc w:val="center"/>
        </w:trPr>
        <w:tc>
          <w:tcPr>
            <w:tcW w:w="759" w:type="dxa"/>
            <w:vMerge w:val="restart"/>
            <w:shd w:val="clear" w:color="auto" w:fill="BDD7EE"/>
            <w:vAlign w:val="center"/>
            <w:hideMark/>
          </w:tcPr>
          <w:p w14:paraId="6EE9BB28"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Seq. </w:t>
            </w:r>
            <w:r>
              <w:rPr>
                <w:noProof/>
              </w:rPr>
              <w:br/>
              <w:t>Non.</w:t>
            </w:r>
          </w:p>
        </w:tc>
        <w:tc>
          <w:tcPr>
            <w:tcW w:w="1876" w:type="dxa"/>
            <w:vMerge w:val="restart"/>
            <w:shd w:val="clear" w:color="auto" w:fill="BDD7EE"/>
            <w:vAlign w:val="center"/>
            <w:hideMark/>
          </w:tcPr>
          <w:p w14:paraId="17BDE725"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090" w:type="dxa"/>
            <w:vMerge w:val="restart"/>
            <w:shd w:val="clear" w:color="auto" w:fill="BDD7EE"/>
            <w:vAlign w:val="center"/>
            <w:hideMark/>
          </w:tcPr>
          <w:p w14:paraId="6B59226C"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422" w:type="dxa"/>
            <w:vMerge w:val="restart"/>
            <w:shd w:val="clear" w:color="auto" w:fill="BDD7EE"/>
            <w:vAlign w:val="center"/>
            <w:hideMark/>
          </w:tcPr>
          <w:p w14:paraId="558A7AF9"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853" w:type="dxa"/>
            <w:vMerge w:val="restart"/>
            <w:shd w:val="clear" w:color="auto" w:fill="BDD7EE"/>
            <w:vAlign w:val="center"/>
            <w:hideMark/>
          </w:tcPr>
          <w:p w14:paraId="3C9C9878" w14:textId="77777777" w:rsidR="00A00259" w:rsidRDefault="00371282">
            <w:pPr>
              <w:pStyle w:val="P68B1DB1-Normal18"/>
              <w:spacing w:after="0" w:line="240" w:lineRule="auto"/>
              <w:jc w:val="center"/>
              <w:rPr>
                <w:rFonts w:ascii="Times New Roman" w:eastAsia="Times New Roman" w:hAnsi="Times New Roman" w:cs="Times New Roman"/>
                <w:bCs/>
                <w:noProof/>
                <w:szCs w:val="18"/>
              </w:rPr>
            </w:pPr>
            <w:r>
              <w:rPr>
                <w:rFonts w:ascii="Times New Roman" w:hAnsi="Times New Roman"/>
                <w:noProof/>
              </w:rPr>
              <w:t xml:space="preserve">Indicateurs qualitatifs </w:t>
            </w:r>
            <w:r>
              <w:rPr>
                <w:rFonts w:ascii="Times New Roman" w:hAnsi="Times New Roman" w:cs="Times New Roman"/>
                <w:noProof/>
                <w:szCs w:val="18"/>
              </w:rPr>
              <w:br/>
            </w:r>
            <w:r>
              <w:rPr>
                <w:rFonts w:ascii="Times New Roman" w:hAnsi="Times New Roman"/>
                <w:noProof/>
              </w:rPr>
              <w:t xml:space="preserve"> (pour les jalons)</w:t>
            </w:r>
          </w:p>
        </w:tc>
        <w:tc>
          <w:tcPr>
            <w:tcW w:w="2889" w:type="dxa"/>
            <w:gridSpan w:val="3"/>
            <w:shd w:val="clear" w:color="auto" w:fill="BDD7EE"/>
            <w:vAlign w:val="center"/>
            <w:hideMark/>
          </w:tcPr>
          <w:p w14:paraId="5E9210A7" w14:textId="77777777" w:rsidR="00A00259" w:rsidRDefault="00371282">
            <w:pPr>
              <w:pStyle w:val="P68B1DB1-Normal10"/>
              <w:spacing w:after="0" w:line="240" w:lineRule="auto"/>
              <w:jc w:val="center"/>
              <w:rPr>
                <w:rFonts w:eastAsia="Times New Roman" w:cs="Times New Roman"/>
                <w:bCs/>
                <w:noProof/>
                <w:szCs w:val="18"/>
              </w:rPr>
            </w:pPr>
            <w:r>
              <w:rPr>
                <w:noProof/>
              </w:rPr>
              <w:t>Indicateurs quantitatifs (pour les objectifs)</w:t>
            </w:r>
          </w:p>
        </w:tc>
        <w:tc>
          <w:tcPr>
            <w:tcW w:w="1701" w:type="dxa"/>
            <w:gridSpan w:val="2"/>
            <w:shd w:val="clear" w:color="auto" w:fill="BDD7EE"/>
            <w:vAlign w:val="center"/>
            <w:hideMark/>
          </w:tcPr>
          <w:p w14:paraId="2495C770"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3197" w:type="dxa"/>
            <w:vMerge w:val="restart"/>
            <w:shd w:val="clear" w:color="auto" w:fill="BDD7EE"/>
            <w:vAlign w:val="center"/>
            <w:hideMark/>
          </w:tcPr>
          <w:p w14:paraId="2110D554"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28920086" w14:textId="77777777" w:rsidTr="00CE3F9A">
        <w:trPr>
          <w:trHeight w:val="462"/>
          <w:tblHeader/>
          <w:jc w:val="center"/>
        </w:trPr>
        <w:tc>
          <w:tcPr>
            <w:tcW w:w="759" w:type="dxa"/>
            <w:vMerge/>
            <w:vAlign w:val="center"/>
            <w:hideMark/>
          </w:tcPr>
          <w:p w14:paraId="035D1C31" w14:textId="77777777" w:rsidR="00A00259" w:rsidRDefault="00A00259">
            <w:pPr>
              <w:spacing w:after="0" w:line="240" w:lineRule="auto"/>
              <w:rPr>
                <w:rFonts w:ascii="Times New Roman" w:eastAsia="Times New Roman" w:hAnsi="Times New Roman" w:cs="Times New Roman"/>
                <w:b/>
                <w:noProof/>
                <w:sz w:val="18"/>
                <w:szCs w:val="18"/>
              </w:rPr>
            </w:pPr>
          </w:p>
        </w:tc>
        <w:tc>
          <w:tcPr>
            <w:tcW w:w="1876" w:type="dxa"/>
            <w:vMerge/>
            <w:vAlign w:val="center"/>
            <w:hideMark/>
          </w:tcPr>
          <w:p w14:paraId="260F25BF" w14:textId="77777777" w:rsidR="00A00259" w:rsidRDefault="00A00259">
            <w:pPr>
              <w:spacing w:after="0" w:line="240" w:lineRule="auto"/>
              <w:rPr>
                <w:rFonts w:ascii="Times New Roman" w:eastAsia="Times New Roman" w:hAnsi="Times New Roman" w:cs="Times New Roman"/>
                <w:b/>
                <w:noProof/>
                <w:sz w:val="18"/>
                <w:szCs w:val="18"/>
              </w:rPr>
            </w:pPr>
          </w:p>
        </w:tc>
        <w:tc>
          <w:tcPr>
            <w:tcW w:w="1090" w:type="dxa"/>
            <w:vMerge/>
            <w:vAlign w:val="center"/>
            <w:hideMark/>
          </w:tcPr>
          <w:p w14:paraId="2E27CEBA" w14:textId="77777777" w:rsidR="00A00259" w:rsidRDefault="00A00259">
            <w:pPr>
              <w:spacing w:after="0" w:line="240" w:lineRule="auto"/>
              <w:rPr>
                <w:rFonts w:ascii="Times New Roman" w:eastAsia="Times New Roman" w:hAnsi="Times New Roman" w:cs="Times New Roman"/>
                <w:b/>
                <w:noProof/>
                <w:sz w:val="18"/>
                <w:szCs w:val="18"/>
              </w:rPr>
            </w:pPr>
          </w:p>
        </w:tc>
        <w:tc>
          <w:tcPr>
            <w:tcW w:w="1422" w:type="dxa"/>
            <w:vMerge/>
            <w:vAlign w:val="center"/>
            <w:hideMark/>
          </w:tcPr>
          <w:p w14:paraId="48329434" w14:textId="77777777" w:rsidR="00A00259" w:rsidRDefault="00A00259">
            <w:pPr>
              <w:spacing w:after="0" w:line="240" w:lineRule="auto"/>
              <w:rPr>
                <w:rFonts w:ascii="Times New Roman" w:eastAsia="Times New Roman" w:hAnsi="Times New Roman" w:cs="Times New Roman"/>
                <w:b/>
                <w:noProof/>
                <w:sz w:val="18"/>
                <w:szCs w:val="18"/>
              </w:rPr>
            </w:pPr>
          </w:p>
        </w:tc>
        <w:tc>
          <w:tcPr>
            <w:tcW w:w="1853" w:type="dxa"/>
            <w:vMerge/>
            <w:vAlign w:val="center"/>
            <w:hideMark/>
          </w:tcPr>
          <w:p w14:paraId="576C788A" w14:textId="77777777" w:rsidR="00A00259" w:rsidRDefault="00A00259">
            <w:pPr>
              <w:spacing w:after="0" w:line="240" w:lineRule="auto"/>
              <w:rPr>
                <w:rFonts w:ascii="Times New Roman" w:eastAsia="Times New Roman" w:hAnsi="Times New Roman" w:cs="Times New Roman"/>
                <w:b/>
                <w:noProof/>
                <w:sz w:val="18"/>
                <w:szCs w:val="18"/>
              </w:rPr>
            </w:pPr>
          </w:p>
        </w:tc>
        <w:tc>
          <w:tcPr>
            <w:tcW w:w="1012" w:type="dxa"/>
            <w:shd w:val="clear" w:color="auto" w:fill="BDD7EE"/>
            <w:vAlign w:val="center"/>
            <w:hideMark/>
          </w:tcPr>
          <w:p w14:paraId="77592451"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1027" w:type="dxa"/>
            <w:shd w:val="clear" w:color="auto" w:fill="BDD7EE"/>
            <w:vAlign w:val="center"/>
            <w:hideMark/>
          </w:tcPr>
          <w:p w14:paraId="31D31DA1"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850" w:type="dxa"/>
            <w:shd w:val="clear" w:color="auto" w:fill="BDD7EE"/>
            <w:vAlign w:val="center"/>
            <w:hideMark/>
          </w:tcPr>
          <w:p w14:paraId="0B247A0A"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992" w:type="dxa"/>
            <w:shd w:val="clear" w:color="auto" w:fill="BDD7EE"/>
            <w:vAlign w:val="center"/>
            <w:hideMark/>
          </w:tcPr>
          <w:p w14:paraId="116A8F3A"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709" w:type="dxa"/>
            <w:shd w:val="clear" w:color="auto" w:fill="BDD7EE"/>
            <w:vAlign w:val="center"/>
            <w:hideMark/>
          </w:tcPr>
          <w:p w14:paraId="40056363"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3197" w:type="dxa"/>
            <w:vMerge/>
            <w:vAlign w:val="center"/>
            <w:hideMark/>
          </w:tcPr>
          <w:p w14:paraId="29C29319" w14:textId="77777777" w:rsidR="00A00259" w:rsidRDefault="00A00259">
            <w:pPr>
              <w:spacing w:after="0" w:line="240" w:lineRule="auto"/>
              <w:rPr>
                <w:rFonts w:ascii="Times New Roman" w:eastAsia="Times New Roman" w:hAnsi="Times New Roman" w:cs="Times New Roman"/>
                <w:b/>
                <w:noProof/>
                <w:sz w:val="18"/>
                <w:szCs w:val="18"/>
              </w:rPr>
            </w:pPr>
          </w:p>
        </w:tc>
      </w:tr>
      <w:tr w:rsidR="00A00259" w14:paraId="4B223485" w14:textId="77777777" w:rsidTr="00CE3F9A">
        <w:trPr>
          <w:trHeight w:val="313"/>
          <w:jc w:val="center"/>
        </w:trPr>
        <w:tc>
          <w:tcPr>
            <w:tcW w:w="759" w:type="dxa"/>
            <w:shd w:val="clear" w:color="auto" w:fill="C6EFCE"/>
            <w:noWrap/>
          </w:tcPr>
          <w:p w14:paraId="042AD160" w14:textId="77777777" w:rsidR="00A00259" w:rsidRDefault="00371282">
            <w:pPr>
              <w:pStyle w:val="P68B1DB1-Normal12"/>
              <w:spacing w:after="0" w:line="240" w:lineRule="auto"/>
              <w:rPr>
                <w:rFonts w:eastAsia="Times New Roman"/>
                <w:noProof/>
              </w:rPr>
            </w:pPr>
            <w:r>
              <w:rPr>
                <w:noProof/>
              </w:rPr>
              <w:t>100</w:t>
            </w:r>
          </w:p>
        </w:tc>
        <w:tc>
          <w:tcPr>
            <w:tcW w:w="1876" w:type="dxa"/>
            <w:shd w:val="clear" w:color="auto" w:fill="C6EFCE"/>
            <w:noWrap/>
          </w:tcPr>
          <w:p w14:paraId="79AF084B" w14:textId="77777777" w:rsidR="00A00259" w:rsidRDefault="00371282">
            <w:pPr>
              <w:pStyle w:val="P68B1DB1-Normal12"/>
              <w:spacing w:after="0" w:line="240" w:lineRule="auto"/>
              <w:rPr>
                <w:noProof/>
              </w:rPr>
            </w:pPr>
            <w:r>
              <w:rPr>
                <w:noProof/>
              </w:rPr>
              <w:t>6 - 2.2. Moderniser - 16779_Interopérabilité et développement de services web</w:t>
            </w:r>
          </w:p>
        </w:tc>
        <w:tc>
          <w:tcPr>
            <w:tcW w:w="1090" w:type="dxa"/>
            <w:shd w:val="clear" w:color="auto" w:fill="C6EFCE"/>
            <w:noWrap/>
          </w:tcPr>
          <w:p w14:paraId="4ADE1CD5" w14:textId="77777777" w:rsidR="00A00259" w:rsidRDefault="00371282">
            <w:pPr>
              <w:pStyle w:val="P68B1DB1-Normal12"/>
              <w:spacing w:after="0" w:line="240" w:lineRule="auto"/>
              <w:rPr>
                <w:rFonts w:eastAsia="Times New Roman"/>
                <w:noProof/>
              </w:rPr>
            </w:pPr>
            <w:r>
              <w:rPr>
                <w:noProof/>
              </w:rPr>
              <w:t>Étape</w:t>
            </w:r>
          </w:p>
        </w:tc>
        <w:tc>
          <w:tcPr>
            <w:tcW w:w="1422" w:type="dxa"/>
            <w:shd w:val="clear" w:color="auto" w:fill="C6EFCE"/>
            <w:noWrap/>
          </w:tcPr>
          <w:p w14:paraId="4604ED52" w14:textId="77777777" w:rsidR="00A00259" w:rsidRDefault="00371282">
            <w:pPr>
              <w:pStyle w:val="P68B1DB1-Normal12"/>
              <w:spacing w:after="0" w:line="240" w:lineRule="auto"/>
              <w:rPr>
                <w:rFonts w:eastAsia="Times New Roman"/>
                <w:noProof/>
              </w:rPr>
            </w:pPr>
            <w:r>
              <w:rPr>
                <w:noProof/>
              </w:rPr>
              <w:t>Attribution du marché pour un projet de développement d'interopérabilité et de services web</w:t>
            </w:r>
          </w:p>
        </w:tc>
        <w:tc>
          <w:tcPr>
            <w:tcW w:w="1853" w:type="dxa"/>
            <w:shd w:val="clear" w:color="auto" w:fill="C6EFCE"/>
            <w:noWrap/>
          </w:tcPr>
          <w:p w14:paraId="461149BE" w14:textId="77777777" w:rsidR="00A00259" w:rsidRDefault="00371282">
            <w:pPr>
              <w:pStyle w:val="P68B1DB1-Normal12"/>
              <w:spacing w:after="0" w:line="240" w:lineRule="auto"/>
              <w:rPr>
                <w:rFonts w:eastAsia="Times New Roman"/>
                <w:noProof/>
              </w:rPr>
            </w:pPr>
            <w:r>
              <w:rPr>
                <w:noProof/>
              </w:rPr>
              <w:t>Notification de l'attribution du marché</w:t>
            </w:r>
          </w:p>
        </w:tc>
        <w:tc>
          <w:tcPr>
            <w:tcW w:w="1012" w:type="dxa"/>
            <w:shd w:val="clear" w:color="auto" w:fill="C6EFCE"/>
            <w:noWrap/>
          </w:tcPr>
          <w:p w14:paraId="2046C78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5661672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71BF063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85ECEB7"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782D0ED4" w14:textId="77777777" w:rsidR="00A00259" w:rsidRDefault="00371282">
            <w:pPr>
              <w:pStyle w:val="P68B1DB1-Normal12"/>
              <w:spacing w:after="0" w:line="240" w:lineRule="auto"/>
              <w:rPr>
                <w:rFonts w:eastAsia="Times New Roman"/>
                <w:noProof/>
              </w:rPr>
            </w:pPr>
            <w:r>
              <w:rPr>
                <w:noProof/>
              </w:rPr>
              <w:t>2022</w:t>
            </w:r>
          </w:p>
        </w:tc>
        <w:tc>
          <w:tcPr>
            <w:tcW w:w="3197" w:type="dxa"/>
            <w:shd w:val="clear" w:color="auto" w:fill="C6EFCE"/>
            <w:noWrap/>
          </w:tcPr>
          <w:p w14:paraId="739EDEBD" w14:textId="77777777" w:rsidR="00A00259" w:rsidRDefault="00371282">
            <w:pPr>
              <w:pStyle w:val="P68B1DB1-Normal12"/>
              <w:spacing w:after="0" w:line="240" w:lineRule="auto"/>
              <w:rPr>
                <w:rFonts w:eastAsia="Times New Roman"/>
                <w:noProof/>
              </w:rPr>
            </w:pPr>
            <w:r>
              <w:rPr>
                <w:noProof/>
              </w:rPr>
              <w:t xml:space="preserve">Attribution du marché pour le projet d'interopérabilité et de développement de services web. </w:t>
            </w:r>
          </w:p>
          <w:p w14:paraId="30D3DF17" w14:textId="77777777" w:rsidR="00A00259" w:rsidRDefault="00371282">
            <w:pPr>
              <w:pStyle w:val="P68B1DB1-Normal12"/>
              <w:spacing w:after="0" w:line="240" w:lineRule="auto"/>
              <w:rPr>
                <w:rFonts w:eastAsia="Times New Roman"/>
                <w:noProof/>
              </w:rPr>
            </w:pPr>
            <w:r>
              <w:rPr>
                <w:noProof/>
              </w:rPr>
              <w:t>Le ministère/secrétariat général des systèmes d'information pour le secteur public/société de l'information SA examine toutes les propositions soumises et confirme si les demandes répondent correctement aux demandes de DP. Après la sélection de l'entrepreneur approprié, le ministère procède à l'attribution du contrat qui définit les obligations, les rôles et les responsabilités des deux parties à la mission.</w:t>
            </w:r>
          </w:p>
        </w:tc>
      </w:tr>
      <w:tr w:rsidR="00A00259" w14:paraId="5626FBBE" w14:textId="77777777" w:rsidTr="00CE3F9A">
        <w:trPr>
          <w:trHeight w:val="313"/>
          <w:jc w:val="center"/>
        </w:trPr>
        <w:tc>
          <w:tcPr>
            <w:tcW w:w="759" w:type="dxa"/>
            <w:shd w:val="clear" w:color="auto" w:fill="C6EFCE"/>
            <w:noWrap/>
          </w:tcPr>
          <w:p w14:paraId="7A45B0DF" w14:textId="77777777" w:rsidR="00A00259" w:rsidRDefault="00371282">
            <w:pPr>
              <w:pStyle w:val="P68B1DB1-Normal12"/>
              <w:spacing w:after="0" w:line="240" w:lineRule="auto"/>
              <w:rPr>
                <w:rFonts w:eastAsia="Times New Roman"/>
                <w:noProof/>
              </w:rPr>
            </w:pPr>
            <w:r>
              <w:rPr>
                <w:noProof/>
              </w:rPr>
              <w:t>101</w:t>
            </w:r>
          </w:p>
        </w:tc>
        <w:tc>
          <w:tcPr>
            <w:tcW w:w="1876" w:type="dxa"/>
            <w:shd w:val="clear" w:color="auto" w:fill="C6EFCE"/>
            <w:noWrap/>
          </w:tcPr>
          <w:p w14:paraId="5E9F640E" w14:textId="77777777" w:rsidR="00A00259" w:rsidRDefault="00371282">
            <w:pPr>
              <w:pStyle w:val="P68B1DB1-Normal12"/>
              <w:spacing w:after="0" w:line="240" w:lineRule="auto"/>
              <w:rPr>
                <w:rFonts w:eastAsia="Times New Roman"/>
                <w:noProof/>
              </w:rPr>
            </w:pPr>
            <w:r>
              <w:rPr>
                <w:noProof/>
              </w:rPr>
              <w:t>6 - 2.2. Moderniser - 16810_CRM pour le gouvernement général</w:t>
            </w:r>
          </w:p>
        </w:tc>
        <w:tc>
          <w:tcPr>
            <w:tcW w:w="1090" w:type="dxa"/>
            <w:shd w:val="clear" w:color="auto" w:fill="C6EFCE"/>
            <w:noWrap/>
          </w:tcPr>
          <w:p w14:paraId="23CE4F78" w14:textId="77777777" w:rsidR="00A00259" w:rsidRDefault="00371282">
            <w:pPr>
              <w:pStyle w:val="P68B1DB1-Normal12"/>
              <w:spacing w:after="0" w:line="240" w:lineRule="auto"/>
              <w:rPr>
                <w:rFonts w:eastAsia="Times New Roman"/>
                <w:noProof/>
              </w:rPr>
            </w:pPr>
            <w:r>
              <w:rPr>
                <w:noProof/>
              </w:rPr>
              <w:t>Étape</w:t>
            </w:r>
          </w:p>
        </w:tc>
        <w:tc>
          <w:tcPr>
            <w:tcW w:w="1422" w:type="dxa"/>
            <w:shd w:val="clear" w:color="auto" w:fill="C6EFCE"/>
            <w:noWrap/>
          </w:tcPr>
          <w:p w14:paraId="3CCB7507" w14:textId="77777777" w:rsidR="00A00259" w:rsidRDefault="00371282">
            <w:pPr>
              <w:pStyle w:val="P68B1DB1-Normal12"/>
              <w:spacing w:after="0" w:line="240" w:lineRule="auto"/>
              <w:rPr>
                <w:rFonts w:eastAsia="Times New Roman"/>
                <w:noProof/>
              </w:rPr>
            </w:pPr>
            <w:r>
              <w:rPr>
                <w:noProof/>
              </w:rPr>
              <w:t xml:space="preserve">Attribution du contrat de CRM pour le gouvernement général </w:t>
            </w:r>
          </w:p>
        </w:tc>
        <w:tc>
          <w:tcPr>
            <w:tcW w:w="1853" w:type="dxa"/>
            <w:shd w:val="clear" w:color="auto" w:fill="C6EFCE"/>
            <w:noWrap/>
          </w:tcPr>
          <w:p w14:paraId="64555D7D" w14:textId="77777777" w:rsidR="00A00259" w:rsidRDefault="00371282">
            <w:pPr>
              <w:pStyle w:val="P68B1DB1-Normal12"/>
              <w:spacing w:after="0" w:line="240" w:lineRule="auto"/>
              <w:rPr>
                <w:rFonts w:eastAsia="Times New Roman"/>
                <w:noProof/>
              </w:rPr>
            </w:pPr>
            <w:r>
              <w:rPr>
                <w:noProof/>
              </w:rPr>
              <w:t>Notification de l'attribution du marché</w:t>
            </w:r>
          </w:p>
        </w:tc>
        <w:tc>
          <w:tcPr>
            <w:tcW w:w="1012" w:type="dxa"/>
            <w:shd w:val="clear" w:color="auto" w:fill="C6EFCE"/>
            <w:noWrap/>
          </w:tcPr>
          <w:p w14:paraId="39F07D5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5A05794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1F0975C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8F716FF"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4A3A2315" w14:textId="77777777" w:rsidR="00A00259" w:rsidRDefault="00371282">
            <w:pPr>
              <w:pStyle w:val="P68B1DB1-Normal12"/>
              <w:spacing w:after="0" w:line="240" w:lineRule="auto"/>
              <w:rPr>
                <w:rFonts w:eastAsia="Times New Roman"/>
                <w:noProof/>
              </w:rPr>
            </w:pPr>
            <w:r>
              <w:rPr>
                <w:noProof/>
              </w:rPr>
              <w:t>2022</w:t>
            </w:r>
          </w:p>
        </w:tc>
        <w:tc>
          <w:tcPr>
            <w:tcW w:w="3197" w:type="dxa"/>
            <w:shd w:val="clear" w:color="auto" w:fill="C6EFCE"/>
            <w:noWrap/>
          </w:tcPr>
          <w:p w14:paraId="3360AC6E" w14:textId="77777777" w:rsidR="00A00259" w:rsidRDefault="00371282">
            <w:pPr>
              <w:pStyle w:val="P68B1DB1-Normal12"/>
              <w:spacing w:after="0" w:line="240" w:lineRule="auto"/>
              <w:rPr>
                <w:rFonts w:eastAsia="Times New Roman"/>
                <w:noProof/>
              </w:rPr>
            </w:pPr>
            <w:r>
              <w:rPr>
                <w:noProof/>
              </w:rPr>
              <w:t xml:space="preserve">Attribution du contrat de MRC pour le gouvernement général. Le ministère/secrétariat général des systèmes d'information pour le secteur public/société de l'information SA examine toutes les propositions soumises et confirme si les demandes répondent correctement aux demandes de DP. </w:t>
            </w:r>
          </w:p>
          <w:p w14:paraId="1EC3BC99" w14:textId="77777777" w:rsidR="00A00259" w:rsidRDefault="00371282">
            <w:pPr>
              <w:pStyle w:val="P68B1DB1-Normal12"/>
              <w:spacing w:after="0" w:line="240" w:lineRule="auto"/>
              <w:rPr>
                <w:rFonts w:eastAsia="Times New Roman"/>
                <w:noProof/>
              </w:rPr>
            </w:pPr>
            <w:r>
              <w:rPr>
                <w:noProof/>
              </w:rPr>
              <w:t>Après la sélection du partenaire externe approprié, le ministère procède à l'attribution du contrat qui définit les obligations, les rôles et les responsabilités des deux parties à la mission.</w:t>
            </w:r>
          </w:p>
        </w:tc>
      </w:tr>
      <w:tr w:rsidR="00A00259" w14:paraId="2C71BB0A" w14:textId="77777777" w:rsidTr="00CE3F9A">
        <w:trPr>
          <w:trHeight w:val="313"/>
          <w:jc w:val="center"/>
        </w:trPr>
        <w:tc>
          <w:tcPr>
            <w:tcW w:w="759" w:type="dxa"/>
            <w:shd w:val="clear" w:color="auto" w:fill="C6EFCE"/>
            <w:noWrap/>
          </w:tcPr>
          <w:p w14:paraId="309490C6" w14:textId="77777777" w:rsidR="00A00259" w:rsidRDefault="00371282">
            <w:pPr>
              <w:pStyle w:val="P68B1DB1-Normal12"/>
              <w:spacing w:after="0" w:line="240" w:lineRule="auto"/>
              <w:rPr>
                <w:rFonts w:eastAsia="Times New Roman"/>
                <w:noProof/>
              </w:rPr>
            </w:pPr>
            <w:r>
              <w:rPr>
                <w:noProof/>
              </w:rPr>
              <w:t>102</w:t>
            </w:r>
          </w:p>
        </w:tc>
        <w:tc>
          <w:tcPr>
            <w:tcW w:w="1876" w:type="dxa"/>
            <w:shd w:val="clear" w:color="auto" w:fill="C6EFCE"/>
            <w:noWrap/>
          </w:tcPr>
          <w:p w14:paraId="4E82D338" w14:textId="77777777" w:rsidR="00A00259" w:rsidRDefault="00371282">
            <w:pPr>
              <w:pStyle w:val="P68B1DB1-Normal12"/>
              <w:spacing w:after="0" w:line="240" w:lineRule="auto"/>
              <w:rPr>
                <w:rFonts w:eastAsia="Times New Roman"/>
                <w:noProof/>
              </w:rPr>
            </w:pPr>
            <w:r>
              <w:rPr>
                <w:noProof/>
              </w:rPr>
              <w:t>6 - 2.2. 16780_Modernisation des guichets uniques de l’administration publique</w:t>
            </w:r>
          </w:p>
        </w:tc>
        <w:tc>
          <w:tcPr>
            <w:tcW w:w="1090" w:type="dxa"/>
            <w:shd w:val="clear" w:color="auto" w:fill="C6EFCE"/>
            <w:noWrap/>
          </w:tcPr>
          <w:p w14:paraId="0BEDFCA4" w14:textId="77777777" w:rsidR="00A00259" w:rsidRDefault="00371282">
            <w:pPr>
              <w:pStyle w:val="P68B1DB1-Normal12"/>
              <w:spacing w:after="0" w:line="240" w:lineRule="auto"/>
              <w:rPr>
                <w:rFonts w:eastAsia="Times New Roman"/>
                <w:noProof/>
              </w:rPr>
            </w:pPr>
            <w:r>
              <w:rPr>
                <w:noProof/>
              </w:rPr>
              <w:t>Étape</w:t>
            </w:r>
          </w:p>
        </w:tc>
        <w:tc>
          <w:tcPr>
            <w:tcW w:w="1422" w:type="dxa"/>
            <w:shd w:val="clear" w:color="auto" w:fill="C6EFCE"/>
            <w:noWrap/>
          </w:tcPr>
          <w:p w14:paraId="4401C544" w14:textId="77777777" w:rsidR="00A00259" w:rsidRDefault="00371282">
            <w:pPr>
              <w:pStyle w:val="P68B1DB1-Normal12"/>
              <w:spacing w:after="0" w:line="240" w:lineRule="auto"/>
              <w:rPr>
                <w:rFonts w:eastAsia="Times New Roman"/>
                <w:noProof/>
              </w:rPr>
            </w:pPr>
            <w:r>
              <w:rPr>
                <w:noProof/>
              </w:rPr>
              <w:t>Attribution du marché pour la poursuite de la modernisation des guichets uniques de l’administration publique</w:t>
            </w:r>
          </w:p>
        </w:tc>
        <w:tc>
          <w:tcPr>
            <w:tcW w:w="1853" w:type="dxa"/>
            <w:shd w:val="clear" w:color="auto" w:fill="C6EFCE"/>
            <w:noWrap/>
          </w:tcPr>
          <w:p w14:paraId="12F9A98F" w14:textId="77777777" w:rsidR="00A00259" w:rsidRDefault="00371282">
            <w:pPr>
              <w:pStyle w:val="P68B1DB1-Normal12"/>
              <w:spacing w:after="0" w:line="240" w:lineRule="auto"/>
              <w:rPr>
                <w:rFonts w:eastAsia="Times New Roman"/>
                <w:noProof/>
              </w:rPr>
            </w:pPr>
            <w:r>
              <w:rPr>
                <w:noProof/>
              </w:rPr>
              <w:t>Notification de l'attribution du marché</w:t>
            </w:r>
          </w:p>
        </w:tc>
        <w:tc>
          <w:tcPr>
            <w:tcW w:w="1012" w:type="dxa"/>
            <w:shd w:val="clear" w:color="auto" w:fill="C6EFCE"/>
            <w:noWrap/>
          </w:tcPr>
          <w:p w14:paraId="0EEA7CF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54C9A59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56E1733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220E8A2F"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22D7E832" w14:textId="77777777" w:rsidR="00A00259" w:rsidRDefault="00371282">
            <w:pPr>
              <w:pStyle w:val="P68B1DB1-Normal12"/>
              <w:spacing w:after="0" w:line="240" w:lineRule="auto"/>
              <w:rPr>
                <w:rFonts w:eastAsia="Times New Roman"/>
                <w:noProof/>
              </w:rPr>
            </w:pPr>
            <w:r>
              <w:rPr>
                <w:noProof/>
              </w:rPr>
              <w:t>2022</w:t>
            </w:r>
          </w:p>
        </w:tc>
        <w:tc>
          <w:tcPr>
            <w:tcW w:w="3197" w:type="dxa"/>
            <w:shd w:val="clear" w:color="auto" w:fill="C6EFCE"/>
            <w:noWrap/>
          </w:tcPr>
          <w:p w14:paraId="4FF385B4" w14:textId="77777777" w:rsidR="00A00259" w:rsidRDefault="00371282">
            <w:pPr>
              <w:pStyle w:val="P68B1DB1-Normal12"/>
              <w:spacing w:after="0" w:line="240" w:lineRule="auto"/>
              <w:rPr>
                <w:rFonts w:eastAsia="Times New Roman"/>
                <w:noProof/>
              </w:rPr>
            </w:pPr>
            <w:r>
              <w:rPr>
                <w:noProof/>
              </w:rPr>
              <w:t xml:space="preserve">Attribution du marché pour la modernisation des guichets uniques de l’administration publique. </w:t>
            </w:r>
          </w:p>
          <w:p w14:paraId="4C5D256E" w14:textId="77777777" w:rsidR="00A00259" w:rsidRDefault="00371282">
            <w:pPr>
              <w:pStyle w:val="P68B1DB1-Normal12"/>
              <w:spacing w:after="0" w:line="240" w:lineRule="auto"/>
              <w:rPr>
                <w:rFonts w:eastAsia="Times New Roman"/>
                <w:noProof/>
              </w:rPr>
            </w:pPr>
            <w:r>
              <w:rPr>
                <w:noProof/>
              </w:rPr>
              <w:t>Le ministère/secrétariat général des systèmes d’information pour le secteur public/société de l’information SA veille à ce que toutes les propositions soumises soient examinées et confirme si les demandes répondent correctement aux demandes de propositions. Après la sélection du partenaire externe approprié, le ministère procède à l'attribution du contrat qui définit les obligations, les rôles et les responsabilités des deux parties à la mission.</w:t>
            </w:r>
          </w:p>
        </w:tc>
      </w:tr>
      <w:tr w:rsidR="00A00259" w14:paraId="58F050FA" w14:textId="77777777" w:rsidTr="00CE3F9A">
        <w:trPr>
          <w:trHeight w:val="313"/>
          <w:jc w:val="center"/>
        </w:trPr>
        <w:tc>
          <w:tcPr>
            <w:tcW w:w="759" w:type="dxa"/>
            <w:shd w:val="clear" w:color="auto" w:fill="C6EFCE"/>
            <w:noWrap/>
          </w:tcPr>
          <w:p w14:paraId="22212C73" w14:textId="77777777" w:rsidR="00A00259" w:rsidRDefault="00371282">
            <w:pPr>
              <w:pStyle w:val="P68B1DB1-Normal12"/>
              <w:spacing w:after="0" w:line="240" w:lineRule="auto"/>
              <w:rPr>
                <w:rFonts w:eastAsia="Times New Roman"/>
                <w:noProof/>
              </w:rPr>
            </w:pPr>
            <w:r>
              <w:rPr>
                <w:noProof/>
              </w:rPr>
              <w:t>103</w:t>
            </w:r>
          </w:p>
        </w:tc>
        <w:tc>
          <w:tcPr>
            <w:tcW w:w="1876" w:type="dxa"/>
            <w:shd w:val="clear" w:color="auto" w:fill="C6EFCE"/>
            <w:noWrap/>
          </w:tcPr>
          <w:p w14:paraId="6DB30BFF" w14:textId="77777777" w:rsidR="00A00259" w:rsidRDefault="00371282">
            <w:pPr>
              <w:pStyle w:val="P68B1DB1-Normal12"/>
              <w:spacing w:after="0" w:line="240" w:lineRule="auto"/>
              <w:rPr>
                <w:rFonts w:eastAsia="Times New Roman"/>
                <w:noProof/>
              </w:rPr>
            </w:pPr>
            <w:r>
              <w:rPr>
                <w:noProof/>
              </w:rPr>
              <w:t>6 - 2.2. Moderniser - 16736_Nouveau système pour les marchés publics</w:t>
            </w:r>
          </w:p>
        </w:tc>
        <w:tc>
          <w:tcPr>
            <w:tcW w:w="1090" w:type="dxa"/>
            <w:shd w:val="clear" w:color="auto" w:fill="C6EFCE"/>
            <w:noWrap/>
          </w:tcPr>
          <w:p w14:paraId="08E015C6" w14:textId="77777777" w:rsidR="00A00259" w:rsidRDefault="00371282">
            <w:pPr>
              <w:pStyle w:val="P68B1DB1-Normal12"/>
              <w:spacing w:after="0" w:line="240" w:lineRule="auto"/>
              <w:rPr>
                <w:rFonts w:eastAsia="Times New Roman"/>
                <w:noProof/>
              </w:rPr>
            </w:pPr>
            <w:r>
              <w:rPr>
                <w:noProof/>
              </w:rPr>
              <w:t>Étape</w:t>
            </w:r>
          </w:p>
        </w:tc>
        <w:tc>
          <w:tcPr>
            <w:tcW w:w="1422" w:type="dxa"/>
            <w:shd w:val="clear" w:color="auto" w:fill="C6EFCE"/>
            <w:noWrap/>
          </w:tcPr>
          <w:p w14:paraId="17B00235" w14:textId="77777777" w:rsidR="00A00259" w:rsidRDefault="00371282">
            <w:pPr>
              <w:pStyle w:val="P68B1DB1-Normal12"/>
              <w:spacing w:after="0" w:line="240" w:lineRule="auto"/>
              <w:rPr>
                <w:rFonts w:eastAsia="Times New Roman"/>
                <w:noProof/>
              </w:rPr>
            </w:pPr>
            <w:r>
              <w:rPr>
                <w:noProof/>
              </w:rPr>
              <w:t>Attribution du marché pour le nouveau système de passation des marchés publics</w:t>
            </w:r>
          </w:p>
        </w:tc>
        <w:tc>
          <w:tcPr>
            <w:tcW w:w="1853" w:type="dxa"/>
            <w:shd w:val="clear" w:color="auto" w:fill="C6EFCE"/>
            <w:noWrap/>
          </w:tcPr>
          <w:p w14:paraId="56516459" w14:textId="77777777" w:rsidR="00A00259" w:rsidRDefault="00371282">
            <w:pPr>
              <w:pStyle w:val="P68B1DB1-Normal12"/>
              <w:spacing w:after="0" w:line="240" w:lineRule="auto"/>
              <w:rPr>
                <w:rFonts w:eastAsia="Times New Roman"/>
                <w:noProof/>
              </w:rPr>
            </w:pPr>
            <w:r>
              <w:rPr>
                <w:noProof/>
              </w:rPr>
              <w:t>Notification de l'attribution du marché</w:t>
            </w:r>
          </w:p>
        </w:tc>
        <w:tc>
          <w:tcPr>
            <w:tcW w:w="1012" w:type="dxa"/>
            <w:shd w:val="clear" w:color="auto" w:fill="C6EFCE"/>
            <w:noWrap/>
          </w:tcPr>
          <w:p w14:paraId="0B8393E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51CE027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6742AC7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03DEFB0B"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1C51961C" w14:textId="77777777" w:rsidR="00A00259" w:rsidRDefault="00371282">
            <w:pPr>
              <w:pStyle w:val="P68B1DB1-Normal12"/>
              <w:spacing w:after="0" w:line="240" w:lineRule="auto"/>
              <w:rPr>
                <w:rFonts w:eastAsia="Times New Roman"/>
                <w:noProof/>
              </w:rPr>
            </w:pPr>
            <w:r>
              <w:rPr>
                <w:noProof/>
              </w:rPr>
              <w:t>2022</w:t>
            </w:r>
          </w:p>
        </w:tc>
        <w:tc>
          <w:tcPr>
            <w:tcW w:w="3197" w:type="dxa"/>
            <w:shd w:val="clear" w:color="auto" w:fill="C6EFCE"/>
            <w:noWrap/>
          </w:tcPr>
          <w:p w14:paraId="00F88419" w14:textId="77777777" w:rsidR="00A00259" w:rsidRDefault="00371282">
            <w:pPr>
              <w:pStyle w:val="P68B1DB1-Normal12"/>
              <w:spacing w:after="0" w:line="240" w:lineRule="auto"/>
              <w:rPr>
                <w:noProof/>
              </w:rPr>
            </w:pPr>
            <w:r>
              <w:rPr>
                <w:noProof/>
              </w:rPr>
              <w:t>Attribution du marché pour le nouveau système de passation des marchés publics du projet. Le ministère/secrétariat général des systèmes d’information pour le secteur public/société de l’information SA examine toutes les propositions soumises et confirme si les demandes répondent correctement aux demandes de RdP. Lors de la sélection du contractant approprié, l’organisme responsable procède à l’attribution du marché qui définit les obligations, les rôles et les responsabilités des deux parties à la mission.</w:t>
            </w:r>
          </w:p>
        </w:tc>
      </w:tr>
      <w:tr w:rsidR="00A00259" w14:paraId="78E8E8CF" w14:textId="77777777" w:rsidTr="00CE3F9A">
        <w:trPr>
          <w:trHeight w:val="313"/>
          <w:jc w:val="center"/>
        </w:trPr>
        <w:tc>
          <w:tcPr>
            <w:tcW w:w="759" w:type="dxa"/>
            <w:shd w:val="clear" w:color="auto" w:fill="C6EFCE"/>
            <w:noWrap/>
          </w:tcPr>
          <w:p w14:paraId="165F72DF" w14:textId="77777777" w:rsidR="00A00259" w:rsidRDefault="00371282">
            <w:pPr>
              <w:pStyle w:val="P68B1DB1-Normal12"/>
              <w:spacing w:after="0" w:line="240" w:lineRule="auto"/>
              <w:rPr>
                <w:rFonts w:eastAsia="Times New Roman"/>
                <w:noProof/>
              </w:rPr>
            </w:pPr>
            <w:r>
              <w:rPr>
                <w:noProof/>
              </w:rPr>
              <w:t>104</w:t>
            </w:r>
          </w:p>
        </w:tc>
        <w:tc>
          <w:tcPr>
            <w:tcW w:w="1876" w:type="dxa"/>
            <w:shd w:val="clear" w:color="auto" w:fill="C6EFCE"/>
            <w:noWrap/>
          </w:tcPr>
          <w:p w14:paraId="66C6911A" w14:textId="77777777" w:rsidR="00A00259" w:rsidRDefault="00371282">
            <w:pPr>
              <w:pStyle w:val="P68B1DB1-Normal12"/>
              <w:spacing w:after="0" w:line="240" w:lineRule="auto"/>
              <w:rPr>
                <w:rFonts w:eastAsia="Times New Roman"/>
                <w:noProof/>
              </w:rPr>
            </w:pPr>
            <w:r>
              <w:rPr>
                <w:noProof/>
              </w:rPr>
              <w:t>6 - 2.2. 16823_Stratégie et politiques de cybersécurité pour le secteur public &amp; services de sécurité avancés pour les infrastructures critiques nationales</w:t>
            </w:r>
          </w:p>
        </w:tc>
        <w:tc>
          <w:tcPr>
            <w:tcW w:w="1090" w:type="dxa"/>
            <w:shd w:val="clear" w:color="auto" w:fill="C6EFCE"/>
            <w:noWrap/>
          </w:tcPr>
          <w:p w14:paraId="6AB98635" w14:textId="77777777" w:rsidR="00A00259" w:rsidRDefault="00371282">
            <w:pPr>
              <w:pStyle w:val="P68B1DB1-Normal12"/>
              <w:spacing w:after="0" w:line="240" w:lineRule="auto"/>
              <w:rPr>
                <w:rFonts w:eastAsia="Times New Roman"/>
                <w:noProof/>
              </w:rPr>
            </w:pPr>
            <w:r>
              <w:rPr>
                <w:noProof/>
              </w:rPr>
              <w:t>Étape</w:t>
            </w:r>
          </w:p>
        </w:tc>
        <w:tc>
          <w:tcPr>
            <w:tcW w:w="1422" w:type="dxa"/>
            <w:shd w:val="clear" w:color="auto" w:fill="C6EFCE"/>
            <w:noWrap/>
          </w:tcPr>
          <w:p w14:paraId="6A5E9171" w14:textId="77777777" w:rsidR="00A00259" w:rsidRDefault="00371282">
            <w:pPr>
              <w:pStyle w:val="P68B1DB1-Normal12"/>
              <w:spacing w:after="0" w:line="240" w:lineRule="auto"/>
              <w:rPr>
                <w:rFonts w:eastAsia="Times New Roman"/>
                <w:noProof/>
              </w:rPr>
            </w:pPr>
            <w:r>
              <w:rPr>
                <w:noProof/>
              </w:rPr>
              <w:t>Attribution du marché pour la stratégie de cybersécurité</w:t>
            </w:r>
          </w:p>
        </w:tc>
        <w:tc>
          <w:tcPr>
            <w:tcW w:w="1853" w:type="dxa"/>
            <w:shd w:val="clear" w:color="auto" w:fill="C6EFCE"/>
            <w:noWrap/>
          </w:tcPr>
          <w:p w14:paraId="48FE955C" w14:textId="77777777" w:rsidR="00A00259" w:rsidRDefault="00371282">
            <w:pPr>
              <w:pStyle w:val="P68B1DB1-Normal12"/>
              <w:spacing w:after="0" w:line="240" w:lineRule="auto"/>
              <w:rPr>
                <w:rFonts w:eastAsia="Times New Roman"/>
                <w:noProof/>
              </w:rPr>
            </w:pPr>
            <w:r>
              <w:rPr>
                <w:noProof/>
              </w:rPr>
              <w:t>Notification de l'attribution du marché</w:t>
            </w:r>
          </w:p>
        </w:tc>
        <w:tc>
          <w:tcPr>
            <w:tcW w:w="1012" w:type="dxa"/>
            <w:shd w:val="clear" w:color="auto" w:fill="C6EFCE"/>
            <w:noWrap/>
          </w:tcPr>
          <w:p w14:paraId="69B4C72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574A2AF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535F3E3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07E2A0D2"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1C404DCA" w14:textId="77777777" w:rsidR="00A00259" w:rsidRDefault="00371282">
            <w:pPr>
              <w:pStyle w:val="P68B1DB1-Normal12"/>
              <w:spacing w:after="0" w:line="240" w:lineRule="auto"/>
              <w:rPr>
                <w:rFonts w:eastAsia="Times New Roman"/>
                <w:noProof/>
              </w:rPr>
            </w:pPr>
            <w:r>
              <w:rPr>
                <w:noProof/>
              </w:rPr>
              <w:t>2022</w:t>
            </w:r>
          </w:p>
        </w:tc>
        <w:tc>
          <w:tcPr>
            <w:tcW w:w="3197" w:type="dxa"/>
            <w:shd w:val="clear" w:color="auto" w:fill="C6EFCE"/>
            <w:noWrap/>
          </w:tcPr>
          <w:p w14:paraId="69F50C62" w14:textId="77777777" w:rsidR="00A00259" w:rsidRDefault="00371282">
            <w:pPr>
              <w:pStyle w:val="P68B1DB1-Normal12"/>
              <w:spacing w:after="0" w:line="240" w:lineRule="auto"/>
              <w:rPr>
                <w:rFonts w:eastAsia="Times New Roman"/>
                <w:noProof/>
              </w:rPr>
            </w:pPr>
            <w:r>
              <w:rPr>
                <w:noProof/>
              </w:rPr>
              <w:t>Attribution du contrat pour la stratégie et les politiques de cybersécurité du projet pour le secteur public &amp; services de sécurité avancés pour les infrastructures critiques nationales. Après la sélection du consultant externe approprié, le ministère procède à l'attribution du contrat qui définit les obligations, les rôles et les responsabilités des deux parties à la mission.</w:t>
            </w:r>
          </w:p>
        </w:tc>
      </w:tr>
      <w:tr w:rsidR="00A00259" w14:paraId="680E52C5" w14:textId="77777777" w:rsidTr="00CE3F9A">
        <w:trPr>
          <w:trHeight w:val="313"/>
          <w:jc w:val="center"/>
        </w:trPr>
        <w:tc>
          <w:tcPr>
            <w:tcW w:w="759" w:type="dxa"/>
            <w:shd w:val="clear" w:color="auto" w:fill="C6EFCE"/>
            <w:noWrap/>
          </w:tcPr>
          <w:p w14:paraId="1A384BE8" w14:textId="77777777" w:rsidR="00A00259" w:rsidRDefault="00371282">
            <w:pPr>
              <w:pStyle w:val="P68B1DB1-Normal12"/>
              <w:spacing w:after="0" w:line="240" w:lineRule="auto"/>
              <w:rPr>
                <w:rFonts w:eastAsia="Times New Roman"/>
                <w:noProof/>
              </w:rPr>
            </w:pPr>
            <w:r>
              <w:rPr>
                <w:noProof/>
              </w:rPr>
              <w:t>105</w:t>
            </w:r>
          </w:p>
        </w:tc>
        <w:tc>
          <w:tcPr>
            <w:tcW w:w="1876" w:type="dxa"/>
            <w:shd w:val="clear" w:color="auto" w:fill="C6EFCE"/>
            <w:noWrap/>
          </w:tcPr>
          <w:p w14:paraId="7CC4BCBF" w14:textId="77777777" w:rsidR="00A00259" w:rsidRDefault="00371282">
            <w:pPr>
              <w:pStyle w:val="P68B1DB1-Normal12"/>
              <w:spacing w:after="0" w:line="240" w:lineRule="auto"/>
              <w:rPr>
                <w:rFonts w:eastAsia="Times New Roman"/>
                <w:noProof/>
              </w:rPr>
            </w:pPr>
            <w:r>
              <w:rPr>
                <w:noProof/>
              </w:rPr>
              <w:t>6 - 2.2. Moderniser - 16826_Programmes de mise à niveau des compétences numériques pour les conscrits</w:t>
            </w:r>
          </w:p>
        </w:tc>
        <w:tc>
          <w:tcPr>
            <w:tcW w:w="1090" w:type="dxa"/>
            <w:shd w:val="clear" w:color="auto" w:fill="C6EFCE"/>
            <w:noWrap/>
          </w:tcPr>
          <w:p w14:paraId="2289F7CE" w14:textId="77777777" w:rsidR="00A00259" w:rsidRDefault="00371282">
            <w:pPr>
              <w:pStyle w:val="P68B1DB1-Normal12"/>
              <w:spacing w:after="0" w:line="240" w:lineRule="auto"/>
              <w:rPr>
                <w:rFonts w:eastAsia="Times New Roman"/>
                <w:noProof/>
              </w:rPr>
            </w:pPr>
            <w:r>
              <w:rPr>
                <w:noProof/>
              </w:rPr>
              <w:t>Étape</w:t>
            </w:r>
          </w:p>
        </w:tc>
        <w:tc>
          <w:tcPr>
            <w:tcW w:w="1422" w:type="dxa"/>
            <w:shd w:val="clear" w:color="auto" w:fill="C6EFCE"/>
            <w:noWrap/>
          </w:tcPr>
          <w:p w14:paraId="21F45C99" w14:textId="77777777" w:rsidR="00A00259" w:rsidRDefault="00371282">
            <w:pPr>
              <w:pStyle w:val="P68B1DB1-Normal12"/>
              <w:spacing w:after="0" w:line="240" w:lineRule="auto"/>
              <w:rPr>
                <w:rFonts w:eastAsia="Times New Roman"/>
                <w:noProof/>
              </w:rPr>
            </w:pPr>
            <w:r>
              <w:rPr>
                <w:noProof/>
              </w:rPr>
              <w:t>Attribution d'un contrat pour des programmes de mise à niveau des compétences numériques pour les conscrits</w:t>
            </w:r>
          </w:p>
        </w:tc>
        <w:tc>
          <w:tcPr>
            <w:tcW w:w="1853" w:type="dxa"/>
            <w:shd w:val="clear" w:color="auto" w:fill="C6EFCE"/>
            <w:noWrap/>
          </w:tcPr>
          <w:p w14:paraId="36912D5A" w14:textId="77777777" w:rsidR="00A00259" w:rsidRDefault="00371282">
            <w:pPr>
              <w:pStyle w:val="P68B1DB1-Normal12"/>
              <w:spacing w:after="0" w:line="240" w:lineRule="auto"/>
              <w:rPr>
                <w:rFonts w:eastAsia="Times New Roman"/>
                <w:noProof/>
              </w:rPr>
            </w:pPr>
            <w:r>
              <w:rPr>
                <w:noProof/>
              </w:rPr>
              <w:t>Notification de l'attribution du marché</w:t>
            </w:r>
          </w:p>
        </w:tc>
        <w:tc>
          <w:tcPr>
            <w:tcW w:w="1012" w:type="dxa"/>
            <w:shd w:val="clear" w:color="auto" w:fill="C6EFCE"/>
            <w:noWrap/>
          </w:tcPr>
          <w:p w14:paraId="7A85B26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7619278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3E0E3C4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32B990E"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7A9B946F" w14:textId="77777777" w:rsidR="00A00259" w:rsidRDefault="00371282">
            <w:pPr>
              <w:pStyle w:val="P68B1DB1-Normal12"/>
              <w:spacing w:after="0" w:line="240" w:lineRule="auto"/>
              <w:rPr>
                <w:rFonts w:eastAsia="Times New Roman"/>
                <w:noProof/>
              </w:rPr>
            </w:pPr>
            <w:r>
              <w:rPr>
                <w:noProof/>
              </w:rPr>
              <w:t>2022</w:t>
            </w:r>
          </w:p>
        </w:tc>
        <w:tc>
          <w:tcPr>
            <w:tcW w:w="3197" w:type="dxa"/>
            <w:shd w:val="clear" w:color="auto" w:fill="C6EFCE"/>
            <w:noWrap/>
          </w:tcPr>
          <w:p w14:paraId="3D9A6B2C" w14:textId="77777777" w:rsidR="00A00259" w:rsidRDefault="00371282">
            <w:pPr>
              <w:pStyle w:val="P68B1DB1-Normal12"/>
              <w:spacing w:after="0" w:line="240" w:lineRule="auto"/>
              <w:rPr>
                <w:rFonts w:eastAsia="Times New Roman"/>
                <w:noProof/>
              </w:rPr>
            </w:pPr>
            <w:r>
              <w:rPr>
                <w:noProof/>
              </w:rPr>
              <w:t>Attribution du contrat pour les programmes de mise à niveau des compétences numériques pour les conscrits. Le ministère doit examiner toutes les propositions soumises et confirmer si les demandes répondent correctement aux demandes de DP. Après la sélection du partenaire externe approprié, le ministère procède à l'attribution du contrat qui définit les obligations, les rôles et les responsabilités des deux parties à la mission.</w:t>
            </w:r>
          </w:p>
        </w:tc>
      </w:tr>
      <w:tr w:rsidR="00A00259" w14:paraId="42242F57" w14:textId="77777777" w:rsidTr="00CE3F9A">
        <w:trPr>
          <w:trHeight w:val="313"/>
          <w:jc w:val="center"/>
        </w:trPr>
        <w:tc>
          <w:tcPr>
            <w:tcW w:w="759" w:type="dxa"/>
            <w:shd w:val="clear" w:color="auto" w:fill="C6EFCE"/>
            <w:noWrap/>
          </w:tcPr>
          <w:p w14:paraId="088A3CF7" w14:textId="77777777" w:rsidR="00A00259" w:rsidRDefault="00371282">
            <w:pPr>
              <w:pStyle w:val="P68B1DB1-Normal12"/>
              <w:spacing w:after="0" w:line="240" w:lineRule="auto"/>
              <w:rPr>
                <w:rFonts w:eastAsia="Times New Roman"/>
                <w:noProof/>
              </w:rPr>
            </w:pPr>
            <w:r>
              <w:rPr>
                <w:noProof/>
              </w:rPr>
              <w:t>106</w:t>
            </w:r>
          </w:p>
        </w:tc>
        <w:tc>
          <w:tcPr>
            <w:tcW w:w="1876" w:type="dxa"/>
            <w:shd w:val="clear" w:color="auto" w:fill="C6EFCE"/>
            <w:noWrap/>
          </w:tcPr>
          <w:p w14:paraId="3A518AB3" w14:textId="77777777" w:rsidR="00A00259" w:rsidRDefault="00371282">
            <w:pPr>
              <w:pStyle w:val="P68B1DB1-Normal12"/>
              <w:spacing w:after="0" w:line="240" w:lineRule="auto"/>
              <w:rPr>
                <w:rFonts w:eastAsia="Times New Roman"/>
                <w:noProof/>
              </w:rPr>
            </w:pPr>
            <w:r>
              <w:rPr>
                <w:noProof/>
              </w:rPr>
              <w:t>6 - 2.2. Moderniser - 16742_Transformation numérique du ministère des Affaires étrangères</w:t>
            </w:r>
          </w:p>
        </w:tc>
        <w:tc>
          <w:tcPr>
            <w:tcW w:w="1090" w:type="dxa"/>
            <w:shd w:val="clear" w:color="auto" w:fill="C6EFCE"/>
            <w:noWrap/>
          </w:tcPr>
          <w:p w14:paraId="6542CCFE" w14:textId="77777777" w:rsidR="00A00259" w:rsidRDefault="00371282">
            <w:pPr>
              <w:pStyle w:val="P68B1DB1-Normal12"/>
              <w:spacing w:after="0" w:line="240" w:lineRule="auto"/>
              <w:rPr>
                <w:rFonts w:eastAsia="Times New Roman"/>
                <w:noProof/>
              </w:rPr>
            </w:pPr>
            <w:r>
              <w:rPr>
                <w:noProof/>
              </w:rPr>
              <w:t>Étape</w:t>
            </w:r>
          </w:p>
        </w:tc>
        <w:tc>
          <w:tcPr>
            <w:tcW w:w="1422" w:type="dxa"/>
            <w:shd w:val="clear" w:color="auto" w:fill="C6EFCE"/>
            <w:noWrap/>
          </w:tcPr>
          <w:p w14:paraId="4EBF0F8E" w14:textId="77777777" w:rsidR="00A00259" w:rsidRDefault="00371282">
            <w:pPr>
              <w:pStyle w:val="P68B1DB1-Normal12"/>
              <w:spacing w:after="0" w:line="240" w:lineRule="auto"/>
              <w:rPr>
                <w:rFonts w:eastAsia="Times New Roman"/>
                <w:noProof/>
              </w:rPr>
            </w:pPr>
            <w:r>
              <w:rPr>
                <w:noProof/>
              </w:rPr>
              <w:t>Attribution du contrat pour la transformation numérique du ministère des affaires étrangères</w:t>
            </w:r>
          </w:p>
        </w:tc>
        <w:tc>
          <w:tcPr>
            <w:tcW w:w="1853" w:type="dxa"/>
            <w:shd w:val="clear" w:color="auto" w:fill="C6EFCE"/>
            <w:noWrap/>
          </w:tcPr>
          <w:p w14:paraId="12C487EA" w14:textId="77777777" w:rsidR="00A00259" w:rsidRDefault="00371282">
            <w:pPr>
              <w:pStyle w:val="P68B1DB1-Normal12"/>
              <w:spacing w:after="0" w:line="240" w:lineRule="auto"/>
              <w:rPr>
                <w:rFonts w:eastAsia="Times New Roman"/>
                <w:noProof/>
              </w:rPr>
            </w:pPr>
            <w:r>
              <w:rPr>
                <w:noProof/>
              </w:rPr>
              <w:t>Notification de l'attribution du marché</w:t>
            </w:r>
          </w:p>
        </w:tc>
        <w:tc>
          <w:tcPr>
            <w:tcW w:w="1012" w:type="dxa"/>
            <w:shd w:val="clear" w:color="auto" w:fill="C6EFCE"/>
            <w:noWrap/>
          </w:tcPr>
          <w:p w14:paraId="189EE0D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22257BB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1307F7D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33BCD811"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6EB9C489" w14:textId="77777777" w:rsidR="00A00259" w:rsidRDefault="00371282">
            <w:pPr>
              <w:pStyle w:val="P68B1DB1-Normal12"/>
              <w:spacing w:after="0" w:line="240" w:lineRule="auto"/>
              <w:rPr>
                <w:rFonts w:eastAsia="Times New Roman"/>
                <w:noProof/>
              </w:rPr>
            </w:pPr>
            <w:r>
              <w:rPr>
                <w:noProof/>
              </w:rPr>
              <w:t>2022</w:t>
            </w:r>
          </w:p>
        </w:tc>
        <w:tc>
          <w:tcPr>
            <w:tcW w:w="3197" w:type="dxa"/>
            <w:shd w:val="clear" w:color="auto" w:fill="C6EFCE"/>
            <w:noWrap/>
          </w:tcPr>
          <w:p w14:paraId="67B5BD18" w14:textId="77777777" w:rsidR="00A00259" w:rsidRDefault="00371282">
            <w:pPr>
              <w:pStyle w:val="P68B1DB1-Normal12"/>
              <w:spacing w:after="0" w:line="240" w:lineRule="auto"/>
              <w:rPr>
                <w:rFonts w:eastAsia="Times New Roman"/>
                <w:noProof/>
              </w:rPr>
            </w:pPr>
            <w:r>
              <w:rPr>
                <w:noProof/>
              </w:rPr>
              <w:t>Attribution du contrat de transformation numérique du ministère des Affaires étrangères. Le ministère doit examiner toutes les propositions soumises et confirmer si les demandes répondent correctement aux demandes de DP. Après la sélection du partenaire externe approprié, le ministère procède à l'attribution du contrat qui définit les obligations, les rôles et les responsabilités des deux parties à la mission.</w:t>
            </w:r>
          </w:p>
        </w:tc>
      </w:tr>
      <w:tr w:rsidR="00A00259" w14:paraId="08FFFC19" w14:textId="77777777" w:rsidTr="00CE3F9A">
        <w:trPr>
          <w:trHeight w:val="313"/>
          <w:jc w:val="center"/>
        </w:trPr>
        <w:tc>
          <w:tcPr>
            <w:tcW w:w="759" w:type="dxa"/>
            <w:shd w:val="clear" w:color="auto" w:fill="C6EFCE"/>
            <w:noWrap/>
          </w:tcPr>
          <w:p w14:paraId="0138EC7C" w14:textId="77777777" w:rsidR="00A00259" w:rsidRDefault="00371282">
            <w:pPr>
              <w:pStyle w:val="P68B1DB1-Normal12"/>
              <w:spacing w:after="0" w:line="240" w:lineRule="auto"/>
              <w:rPr>
                <w:rFonts w:eastAsia="Times New Roman"/>
                <w:noProof/>
              </w:rPr>
            </w:pPr>
            <w:r>
              <w:rPr>
                <w:noProof/>
              </w:rPr>
              <w:t>107</w:t>
            </w:r>
          </w:p>
        </w:tc>
        <w:tc>
          <w:tcPr>
            <w:tcW w:w="1876" w:type="dxa"/>
            <w:shd w:val="clear" w:color="auto" w:fill="C6EFCE"/>
            <w:noWrap/>
          </w:tcPr>
          <w:p w14:paraId="7FD4F648" w14:textId="7F73D71F" w:rsidR="00A00259" w:rsidRDefault="00371282">
            <w:pPr>
              <w:pStyle w:val="P68B1DB1-Normal12"/>
              <w:spacing w:after="0" w:line="240" w:lineRule="auto"/>
              <w:rPr>
                <w:rFonts w:eastAsia="Times New Roman"/>
                <w:noProof/>
              </w:rPr>
            </w:pPr>
            <w:r>
              <w:rPr>
                <w:noProof/>
              </w:rPr>
              <w:t>6 - 2.2. Moderniser - 16824_E-Registres</w:t>
            </w:r>
          </w:p>
        </w:tc>
        <w:tc>
          <w:tcPr>
            <w:tcW w:w="1090" w:type="dxa"/>
            <w:shd w:val="clear" w:color="auto" w:fill="C6EFCE"/>
            <w:noWrap/>
          </w:tcPr>
          <w:p w14:paraId="27F932ED" w14:textId="77777777" w:rsidR="00A00259" w:rsidRDefault="00371282">
            <w:pPr>
              <w:pStyle w:val="P68B1DB1-Normal12"/>
              <w:spacing w:after="0" w:line="240" w:lineRule="auto"/>
              <w:rPr>
                <w:rFonts w:eastAsia="Times New Roman"/>
                <w:noProof/>
              </w:rPr>
            </w:pPr>
            <w:r>
              <w:rPr>
                <w:noProof/>
              </w:rPr>
              <w:t>Étape</w:t>
            </w:r>
          </w:p>
        </w:tc>
        <w:tc>
          <w:tcPr>
            <w:tcW w:w="1422" w:type="dxa"/>
            <w:shd w:val="clear" w:color="auto" w:fill="C6EFCE"/>
            <w:noWrap/>
          </w:tcPr>
          <w:p w14:paraId="1E237C66" w14:textId="77777777" w:rsidR="00A00259" w:rsidRDefault="00371282">
            <w:pPr>
              <w:pStyle w:val="P68B1DB1-Normal12"/>
              <w:spacing w:after="0" w:line="240" w:lineRule="auto"/>
              <w:rPr>
                <w:rFonts w:eastAsia="Times New Roman"/>
                <w:noProof/>
              </w:rPr>
            </w:pPr>
            <w:r>
              <w:rPr>
                <w:noProof/>
              </w:rPr>
              <w:t>Attribution du marché pour les registres électroniques</w:t>
            </w:r>
          </w:p>
        </w:tc>
        <w:tc>
          <w:tcPr>
            <w:tcW w:w="1853" w:type="dxa"/>
            <w:shd w:val="clear" w:color="auto" w:fill="C6EFCE"/>
            <w:noWrap/>
          </w:tcPr>
          <w:p w14:paraId="526827C6" w14:textId="77777777" w:rsidR="00A00259" w:rsidRDefault="00371282">
            <w:pPr>
              <w:pStyle w:val="P68B1DB1-Normal12"/>
              <w:spacing w:after="0" w:line="240" w:lineRule="auto"/>
              <w:rPr>
                <w:rFonts w:eastAsia="Times New Roman"/>
                <w:noProof/>
              </w:rPr>
            </w:pPr>
            <w:r>
              <w:rPr>
                <w:noProof/>
              </w:rPr>
              <w:t>Notification de l'attribution du marché</w:t>
            </w:r>
          </w:p>
        </w:tc>
        <w:tc>
          <w:tcPr>
            <w:tcW w:w="1012" w:type="dxa"/>
            <w:shd w:val="clear" w:color="auto" w:fill="C6EFCE"/>
            <w:noWrap/>
          </w:tcPr>
          <w:p w14:paraId="00CAC52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7DFA240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00464AD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23B0DA37"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52B042DA" w14:textId="77777777" w:rsidR="00A00259" w:rsidRDefault="00371282">
            <w:pPr>
              <w:pStyle w:val="P68B1DB1-Normal12"/>
              <w:spacing w:after="0" w:line="240" w:lineRule="auto"/>
              <w:rPr>
                <w:rFonts w:eastAsia="Times New Roman"/>
                <w:noProof/>
              </w:rPr>
            </w:pPr>
            <w:r>
              <w:rPr>
                <w:noProof/>
              </w:rPr>
              <w:t>2022</w:t>
            </w:r>
          </w:p>
        </w:tc>
        <w:tc>
          <w:tcPr>
            <w:tcW w:w="3197" w:type="dxa"/>
            <w:shd w:val="clear" w:color="auto" w:fill="C6EFCE"/>
            <w:noWrap/>
          </w:tcPr>
          <w:p w14:paraId="4F018960" w14:textId="77777777" w:rsidR="00A00259" w:rsidRDefault="00371282">
            <w:pPr>
              <w:pStyle w:val="P68B1DB1-Normal12"/>
              <w:spacing w:after="0" w:line="240" w:lineRule="auto"/>
              <w:rPr>
                <w:rFonts w:eastAsia="Times New Roman"/>
                <w:noProof/>
              </w:rPr>
            </w:pPr>
            <w:r>
              <w:rPr>
                <w:noProof/>
              </w:rPr>
              <w:t>Attribution du marché pour le projet de registres électroniques. Le ministère/secrétariat général des systèmes d'information pour le secteur public/société de l'information SA examine toutes les propositions soumises et confirme si les demandes répondent correctement aux demandes de DP. Après la sélection du partenaire externe approprié, le ministère procède à l'attribution du contrat qui définit les obligations, les rôles et les responsabilités des deux parties à la mission.</w:t>
            </w:r>
          </w:p>
        </w:tc>
      </w:tr>
      <w:tr w:rsidR="00A00259" w14:paraId="3B2ABF57" w14:textId="77777777" w:rsidTr="00CE3F9A">
        <w:trPr>
          <w:trHeight w:val="313"/>
          <w:jc w:val="center"/>
        </w:trPr>
        <w:tc>
          <w:tcPr>
            <w:tcW w:w="759" w:type="dxa"/>
            <w:shd w:val="clear" w:color="auto" w:fill="C6EFCE"/>
            <w:noWrap/>
          </w:tcPr>
          <w:p w14:paraId="5F7704DA" w14:textId="77777777" w:rsidR="00A00259" w:rsidRDefault="00371282">
            <w:pPr>
              <w:pStyle w:val="P68B1DB1-Normal12"/>
              <w:spacing w:after="0" w:line="240" w:lineRule="auto"/>
              <w:rPr>
                <w:rFonts w:eastAsia="Times New Roman"/>
                <w:noProof/>
              </w:rPr>
            </w:pPr>
            <w:r>
              <w:rPr>
                <w:noProof/>
              </w:rPr>
              <w:t>108</w:t>
            </w:r>
          </w:p>
        </w:tc>
        <w:tc>
          <w:tcPr>
            <w:tcW w:w="1876" w:type="dxa"/>
            <w:shd w:val="clear" w:color="auto" w:fill="C6EFCE"/>
            <w:noWrap/>
          </w:tcPr>
          <w:p w14:paraId="7401FAC1" w14:textId="77777777" w:rsidR="00A00259" w:rsidRPr="00D64FD7" w:rsidRDefault="00371282">
            <w:pPr>
              <w:pStyle w:val="P68B1DB1-Normal12"/>
              <w:spacing w:after="0" w:line="240" w:lineRule="auto"/>
              <w:rPr>
                <w:noProof/>
                <w:lang w:val="en-GB"/>
              </w:rPr>
            </w:pPr>
            <w:r w:rsidRPr="00D64FD7">
              <w:rPr>
                <w:noProof/>
                <w:lang w:val="en-GB"/>
              </w:rPr>
              <w:t>6 - 2.2. 16779_ Web services and Next-Generation Interoperability Centre (KED) (en anglais seulement)</w:t>
            </w:r>
          </w:p>
        </w:tc>
        <w:tc>
          <w:tcPr>
            <w:tcW w:w="1090" w:type="dxa"/>
            <w:shd w:val="clear" w:color="auto" w:fill="C6EFCE"/>
            <w:noWrap/>
          </w:tcPr>
          <w:p w14:paraId="0AFDBCF8" w14:textId="77777777" w:rsidR="00A00259" w:rsidRDefault="00371282">
            <w:pPr>
              <w:pStyle w:val="P68B1DB1-Normal12"/>
              <w:spacing w:after="0" w:line="240" w:lineRule="auto"/>
              <w:rPr>
                <w:rFonts w:eastAsia="Times New Roman"/>
                <w:noProof/>
              </w:rPr>
            </w:pPr>
            <w:r>
              <w:rPr>
                <w:noProof/>
              </w:rPr>
              <w:t>Étape</w:t>
            </w:r>
          </w:p>
        </w:tc>
        <w:tc>
          <w:tcPr>
            <w:tcW w:w="1422" w:type="dxa"/>
            <w:shd w:val="clear" w:color="auto" w:fill="C6EFCE"/>
            <w:noWrap/>
          </w:tcPr>
          <w:p w14:paraId="43473D80" w14:textId="77777777" w:rsidR="00A00259" w:rsidRDefault="00371282">
            <w:pPr>
              <w:pStyle w:val="P68B1DB1-Normal12"/>
              <w:spacing w:after="0" w:line="240" w:lineRule="auto"/>
              <w:rPr>
                <w:rFonts w:eastAsia="Times New Roman"/>
                <w:noProof/>
              </w:rPr>
            </w:pPr>
            <w:r>
              <w:rPr>
                <w:noProof/>
              </w:rPr>
              <w:t>Fourniture de services web et centre d’interopérabilité de nouvelle génération (KED)</w:t>
            </w:r>
          </w:p>
        </w:tc>
        <w:tc>
          <w:tcPr>
            <w:tcW w:w="1853" w:type="dxa"/>
            <w:shd w:val="clear" w:color="auto" w:fill="C6EFCE"/>
            <w:noWrap/>
          </w:tcPr>
          <w:p w14:paraId="1F0F3550" w14:textId="77777777" w:rsidR="00A00259" w:rsidRDefault="00371282">
            <w:pPr>
              <w:pStyle w:val="P68B1DB1-Normal12"/>
              <w:spacing w:after="0" w:line="240" w:lineRule="auto"/>
              <w:rPr>
                <w:rFonts w:eastAsia="Times New Roman"/>
                <w:noProof/>
              </w:rPr>
            </w:pPr>
            <w:r>
              <w:rPr>
                <w:noProof/>
              </w:rPr>
              <w:t xml:space="preserve">Fourniture de services web et centre d’interopérabilité de nouvelle génération (KED) </w:t>
            </w:r>
          </w:p>
        </w:tc>
        <w:tc>
          <w:tcPr>
            <w:tcW w:w="1012" w:type="dxa"/>
            <w:shd w:val="clear" w:color="auto" w:fill="C6EFCE"/>
            <w:noWrap/>
          </w:tcPr>
          <w:p w14:paraId="257D016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47AC716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3D86C50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76422E47"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63F66096" w14:textId="77777777" w:rsidR="00A00259" w:rsidRDefault="00371282">
            <w:pPr>
              <w:pStyle w:val="P68B1DB1-Normal12"/>
              <w:spacing w:after="0" w:line="240" w:lineRule="auto"/>
              <w:rPr>
                <w:rFonts w:eastAsia="Times New Roman"/>
                <w:noProof/>
              </w:rPr>
            </w:pPr>
            <w:r>
              <w:rPr>
                <w:noProof/>
              </w:rPr>
              <w:t>2025</w:t>
            </w:r>
          </w:p>
        </w:tc>
        <w:tc>
          <w:tcPr>
            <w:tcW w:w="3197" w:type="dxa"/>
            <w:shd w:val="clear" w:color="auto" w:fill="C6EFCE"/>
            <w:noWrap/>
          </w:tcPr>
          <w:p w14:paraId="7DE45200" w14:textId="77777777" w:rsidR="00A00259" w:rsidRDefault="00371282">
            <w:pPr>
              <w:pStyle w:val="P68B1DB1-Normal12"/>
              <w:spacing w:after="0" w:line="240" w:lineRule="auto"/>
              <w:rPr>
                <w:noProof/>
              </w:rPr>
            </w:pPr>
            <w:r>
              <w:rPr>
                <w:noProof/>
              </w:rPr>
              <w:t xml:space="preserve">Mise à disposition du centre d’interopérabilité de nouvelle génération (KED) et des services web. </w:t>
            </w:r>
          </w:p>
        </w:tc>
      </w:tr>
      <w:tr w:rsidR="00A00259" w14:paraId="21266F5D" w14:textId="77777777" w:rsidTr="00CE3F9A">
        <w:trPr>
          <w:trHeight w:val="313"/>
          <w:jc w:val="center"/>
        </w:trPr>
        <w:tc>
          <w:tcPr>
            <w:tcW w:w="759" w:type="dxa"/>
            <w:shd w:val="clear" w:color="auto" w:fill="C6EFCE"/>
            <w:noWrap/>
          </w:tcPr>
          <w:p w14:paraId="71FB3176" w14:textId="77777777" w:rsidR="00A00259" w:rsidRDefault="00371282">
            <w:pPr>
              <w:pStyle w:val="P68B1DB1-Normal12"/>
              <w:spacing w:after="0" w:line="240" w:lineRule="auto"/>
              <w:rPr>
                <w:rFonts w:eastAsia="Times New Roman"/>
                <w:noProof/>
              </w:rPr>
            </w:pPr>
            <w:r>
              <w:rPr>
                <w:noProof/>
              </w:rPr>
              <w:t>109</w:t>
            </w:r>
          </w:p>
        </w:tc>
        <w:tc>
          <w:tcPr>
            <w:tcW w:w="1876" w:type="dxa"/>
            <w:shd w:val="clear" w:color="auto" w:fill="C6EFCE"/>
            <w:noWrap/>
          </w:tcPr>
          <w:p w14:paraId="4CA5794C" w14:textId="77777777" w:rsidR="00A00259" w:rsidRDefault="00371282">
            <w:pPr>
              <w:pStyle w:val="P68B1DB1-Normal12"/>
              <w:spacing w:after="0" w:line="240" w:lineRule="auto"/>
              <w:rPr>
                <w:rFonts w:eastAsia="Times New Roman"/>
                <w:noProof/>
              </w:rPr>
            </w:pPr>
            <w:r>
              <w:rPr>
                <w:noProof/>
              </w:rPr>
              <w:t>6 - 2.2. Moderniser - 16810_CRM pour le gouvernement général</w:t>
            </w:r>
          </w:p>
        </w:tc>
        <w:tc>
          <w:tcPr>
            <w:tcW w:w="1090" w:type="dxa"/>
            <w:shd w:val="clear" w:color="auto" w:fill="C6EFCE"/>
            <w:noWrap/>
          </w:tcPr>
          <w:p w14:paraId="032B3526" w14:textId="77777777" w:rsidR="00A00259" w:rsidRDefault="00371282">
            <w:pPr>
              <w:pStyle w:val="P68B1DB1-Normal12"/>
              <w:spacing w:after="0" w:line="240" w:lineRule="auto"/>
              <w:rPr>
                <w:rFonts w:eastAsia="Times New Roman"/>
                <w:noProof/>
              </w:rPr>
            </w:pPr>
            <w:r>
              <w:rPr>
                <w:noProof/>
              </w:rPr>
              <w:t>Étape</w:t>
            </w:r>
          </w:p>
        </w:tc>
        <w:tc>
          <w:tcPr>
            <w:tcW w:w="1422" w:type="dxa"/>
            <w:shd w:val="clear" w:color="auto" w:fill="C6EFCE"/>
            <w:noWrap/>
          </w:tcPr>
          <w:p w14:paraId="2BA2B2CC" w14:textId="77777777" w:rsidR="00A00259" w:rsidRDefault="00371282">
            <w:pPr>
              <w:pStyle w:val="P68B1DB1-Normal12"/>
              <w:spacing w:after="0" w:line="240" w:lineRule="auto"/>
              <w:rPr>
                <w:rFonts w:eastAsia="Times New Roman"/>
                <w:noProof/>
              </w:rPr>
            </w:pPr>
            <w:r>
              <w:rPr>
                <w:noProof/>
              </w:rPr>
              <w:t xml:space="preserve">Système de gestion de la relation client pour le gouvernement général et Gov.gr – messenger </w:t>
            </w:r>
          </w:p>
        </w:tc>
        <w:tc>
          <w:tcPr>
            <w:tcW w:w="1853" w:type="dxa"/>
            <w:shd w:val="clear" w:color="auto" w:fill="C6EFCE"/>
            <w:noWrap/>
          </w:tcPr>
          <w:p w14:paraId="1BB1F43C" w14:textId="77777777" w:rsidR="00A00259" w:rsidRDefault="00371282">
            <w:pPr>
              <w:pStyle w:val="P68B1DB1-Normal12"/>
              <w:spacing w:after="0" w:line="240" w:lineRule="auto"/>
              <w:rPr>
                <w:rFonts w:eastAsia="Times New Roman"/>
                <w:noProof/>
              </w:rPr>
            </w:pPr>
            <w:r>
              <w:rPr>
                <w:noProof/>
              </w:rPr>
              <w:t>Livraison du système CRM et du Gov. gr – messenger</w:t>
            </w:r>
          </w:p>
        </w:tc>
        <w:tc>
          <w:tcPr>
            <w:tcW w:w="1012" w:type="dxa"/>
            <w:shd w:val="clear" w:color="auto" w:fill="C6EFCE"/>
            <w:noWrap/>
          </w:tcPr>
          <w:p w14:paraId="14F36E2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59D5852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6F62828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31369949" w14:textId="77777777" w:rsidR="00A00259" w:rsidRDefault="00371282">
            <w:pPr>
              <w:pStyle w:val="P68B1DB1-Normal12"/>
              <w:spacing w:after="0" w:line="240" w:lineRule="auto"/>
              <w:rPr>
                <w:rFonts w:eastAsia="Times New Roman"/>
                <w:noProof/>
              </w:rPr>
            </w:pPr>
            <w:r>
              <w:rPr>
                <w:noProof/>
              </w:rPr>
              <w:t>T2</w:t>
            </w:r>
          </w:p>
        </w:tc>
        <w:tc>
          <w:tcPr>
            <w:tcW w:w="709" w:type="dxa"/>
            <w:shd w:val="clear" w:color="auto" w:fill="C6EFCE"/>
            <w:noWrap/>
          </w:tcPr>
          <w:p w14:paraId="16A3655B" w14:textId="77777777" w:rsidR="00A00259" w:rsidRDefault="00371282">
            <w:pPr>
              <w:pStyle w:val="P68B1DB1-Normal12"/>
              <w:spacing w:after="0" w:line="240" w:lineRule="auto"/>
              <w:rPr>
                <w:rFonts w:eastAsia="Times New Roman"/>
                <w:noProof/>
              </w:rPr>
            </w:pPr>
            <w:r>
              <w:rPr>
                <w:noProof/>
              </w:rPr>
              <w:t>2025</w:t>
            </w:r>
          </w:p>
        </w:tc>
        <w:tc>
          <w:tcPr>
            <w:tcW w:w="3197" w:type="dxa"/>
            <w:shd w:val="clear" w:color="auto" w:fill="C6EFCE"/>
            <w:noWrap/>
          </w:tcPr>
          <w:p w14:paraId="157413C0" w14:textId="77777777" w:rsidR="00A00259" w:rsidRDefault="00371282">
            <w:pPr>
              <w:pStyle w:val="P68B1DB1-Normal12"/>
              <w:spacing w:after="0" w:line="240" w:lineRule="auto"/>
              <w:rPr>
                <w:noProof/>
              </w:rPr>
            </w:pPr>
            <w:r>
              <w:rPr>
                <w:noProof/>
              </w:rPr>
              <w:t>Le jalon nécessite la livraison de: a) un système de gestion de la relation client pour les administrations publiques, permettant la gestion des interactions de l’administration publique avec les citoyens et les entreprises, et b) un système intégré de communication électronique entre les systèmes et services du secteur public et les citoyens grecs (Gov. gr – messenger).</w:t>
            </w:r>
          </w:p>
        </w:tc>
      </w:tr>
      <w:tr w:rsidR="00A00259" w14:paraId="521C610A" w14:textId="77777777" w:rsidTr="00CE3F9A">
        <w:trPr>
          <w:trHeight w:val="313"/>
          <w:jc w:val="center"/>
        </w:trPr>
        <w:tc>
          <w:tcPr>
            <w:tcW w:w="759" w:type="dxa"/>
            <w:shd w:val="clear" w:color="auto" w:fill="C6EFCE"/>
            <w:noWrap/>
          </w:tcPr>
          <w:p w14:paraId="5A8B089E" w14:textId="77777777" w:rsidR="00A00259" w:rsidRDefault="00371282">
            <w:pPr>
              <w:pStyle w:val="P68B1DB1-Normal12"/>
              <w:spacing w:after="0" w:line="240" w:lineRule="auto"/>
              <w:rPr>
                <w:noProof/>
              </w:rPr>
            </w:pPr>
            <w:r>
              <w:rPr>
                <w:noProof/>
              </w:rPr>
              <w:t>110a</w:t>
            </w:r>
          </w:p>
        </w:tc>
        <w:tc>
          <w:tcPr>
            <w:tcW w:w="1876" w:type="dxa"/>
            <w:shd w:val="clear" w:color="auto" w:fill="C6EFCE"/>
            <w:noWrap/>
          </w:tcPr>
          <w:p w14:paraId="22D67A54" w14:textId="77777777" w:rsidR="00A00259" w:rsidRDefault="00371282">
            <w:pPr>
              <w:pStyle w:val="P68B1DB1-Normal12"/>
              <w:spacing w:after="0" w:line="240" w:lineRule="auto"/>
              <w:rPr>
                <w:rFonts w:eastAsia="Times New Roman"/>
                <w:noProof/>
              </w:rPr>
            </w:pPr>
            <w:r>
              <w:rPr>
                <w:noProof/>
              </w:rPr>
              <w:t>6 - 2.2. 16780_Modernisation des guichets uniques de l’administration publique</w:t>
            </w:r>
          </w:p>
        </w:tc>
        <w:tc>
          <w:tcPr>
            <w:tcW w:w="1090" w:type="dxa"/>
            <w:shd w:val="clear" w:color="auto" w:fill="C6EFCE"/>
            <w:noWrap/>
          </w:tcPr>
          <w:p w14:paraId="191FB5B2" w14:textId="77777777" w:rsidR="00A00259" w:rsidRDefault="00371282">
            <w:pPr>
              <w:pStyle w:val="P68B1DB1-Normal12"/>
              <w:spacing w:after="0" w:line="240" w:lineRule="auto"/>
              <w:rPr>
                <w:rFonts w:eastAsia="Times New Roman"/>
                <w:noProof/>
              </w:rPr>
            </w:pPr>
            <w:r>
              <w:rPr>
                <w:noProof/>
              </w:rPr>
              <w:t>Étape</w:t>
            </w:r>
          </w:p>
        </w:tc>
        <w:tc>
          <w:tcPr>
            <w:tcW w:w="1422" w:type="dxa"/>
            <w:shd w:val="clear" w:color="auto" w:fill="C6EFCE"/>
            <w:noWrap/>
          </w:tcPr>
          <w:p w14:paraId="708A2495" w14:textId="5A31BAA6" w:rsidR="00A00259" w:rsidRDefault="00371282">
            <w:pPr>
              <w:pStyle w:val="P68B1DB1-Normal12"/>
              <w:spacing w:after="0" w:line="240" w:lineRule="auto"/>
              <w:rPr>
                <w:rFonts w:eastAsia="Times New Roman"/>
                <w:noProof/>
              </w:rPr>
            </w:pPr>
            <w:r>
              <w:rPr>
                <w:noProof/>
              </w:rPr>
              <w:t xml:space="preserve">Réalisation du projet de modernisation des guichets uniques </w:t>
            </w:r>
          </w:p>
        </w:tc>
        <w:tc>
          <w:tcPr>
            <w:tcW w:w="1853" w:type="dxa"/>
            <w:shd w:val="clear" w:color="auto" w:fill="C6EFCE"/>
            <w:noWrap/>
          </w:tcPr>
          <w:p w14:paraId="7EAA6DCC" w14:textId="77777777" w:rsidR="00A00259" w:rsidRDefault="00371282">
            <w:pPr>
              <w:pStyle w:val="P68B1DB1-Normal12"/>
              <w:spacing w:after="0" w:line="240" w:lineRule="auto"/>
              <w:rPr>
                <w:rFonts w:eastAsia="Times New Roman"/>
                <w:noProof/>
              </w:rPr>
            </w:pPr>
            <w:r>
              <w:rPr>
                <w:noProof/>
              </w:rPr>
              <w:t>Livraison d’équipements pour la modernisation des guichets uniques de l’administration publique</w:t>
            </w:r>
          </w:p>
        </w:tc>
        <w:tc>
          <w:tcPr>
            <w:tcW w:w="1012" w:type="dxa"/>
            <w:shd w:val="clear" w:color="auto" w:fill="C6EFCE"/>
            <w:noWrap/>
          </w:tcPr>
          <w:p w14:paraId="6B432D1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0B266AB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5BD86C0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8B462CB"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5B3EC5F5" w14:textId="77777777" w:rsidR="00A00259" w:rsidRDefault="00371282">
            <w:pPr>
              <w:pStyle w:val="P68B1DB1-Normal12"/>
              <w:spacing w:after="0" w:line="240" w:lineRule="auto"/>
              <w:rPr>
                <w:rFonts w:eastAsia="Times New Roman"/>
                <w:noProof/>
              </w:rPr>
            </w:pPr>
            <w:r>
              <w:rPr>
                <w:noProof/>
              </w:rPr>
              <w:t>2024</w:t>
            </w:r>
          </w:p>
        </w:tc>
        <w:tc>
          <w:tcPr>
            <w:tcW w:w="3197" w:type="dxa"/>
            <w:shd w:val="clear" w:color="auto" w:fill="C6EFCE"/>
            <w:noWrap/>
          </w:tcPr>
          <w:p w14:paraId="123D3B66" w14:textId="62B98B55" w:rsidR="00A00259" w:rsidRDefault="00371282">
            <w:pPr>
              <w:pStyle w:val="P68B1DB1-Normal12"/>
              <w:spacing w:after="0" w:line="240" w:lineRule="auto"/>
              <w:rPr>
                <w:noProof/>
              </w:rPr>
            </w:pPr>
            <w:r>
              <w:rPr>
                <w:noProof/>
              </w:rPr>
              <w:t xml:space="preserve">Livraison de i) 6 325 PC/imprimantes/tablettes, ii) 145 systèmes de gestion des files d'attente et de notification, iii) 730 terminaux de rétroaction. </w:t>
            </w:r>
          </w:p>
        </w:tc>
      </w:tr>
      <w:tr w:rsidR="00A00259" w14:paraId="6E315F35" w14:textId="77777777" w:rsidTr="00CE3F9A">
        <w:trPr>
          <w:trHeight w:val="300"/>
          <w:jc w:val="center"/>
        </w:trPr>
        <w:tc>
          <w:tcPr>
            <w:tcW w:w="759" w:type="dxa"/>
            <w:shd w:val="clear" w:color="auto" w:fill="C6EFCE"/>
            <w:noWrap/>
          </w:tcPr>
          <w:p w14:paraId="25C3A430" w14:textId="77777777" w:rsidR="00A00259" w:rsidRDefault="00371282">
            <w:pPr>
              <w:pStyle w:val="P68B1DB1-Normal12"/>
              <w:spacing w:line="240" w:lineRule="auto"/>
              <w:rPr>
                <w:noProof/>
              </w:rPr>
            </w:pPr>
            <w:r>
              <w:rPr>
                <w:noProof/>
              </w:rPr>
              <w:t>110b</w:t>
            </w:r>
          </w:p>
        </w:tc>
        <w:tc>
          <w:tcPr>
            <w:tcW w:w="1876" w:type="dxa"/>
            <w:shd w:val="clear" w:color="auto" w:fill="C6EFCE"/>
            <w:noWrap/>
          </w:tcPr>
          <w:p w14:paraId="5D7E79F6" w14:textId="77777777" w:rsidR="00A00259" w:rsidRDefault="00371282">
            <w:pPr>
              <w:pStyle w:val="P68B1DB1-Normal12"/>
              <w:spacing w:after="0" w:line="240" w:lineRule="auto"/>
              <w:rPr>
                <w:rFonts w:eastAsia="Times New Roman"/>
                <w:noProof/>
              </w:rPr>
            </w:pPr>
            <w:r>
              <w:rPr>
                <w:noProof/>
              </w:rPr>
              <w:t>6 - 2.2. 16780_Modernisation des guichets uniques de l’administration publique</w:t>
            </w:r>
          </w:p>
        </w:tc>
        <w:tc>
          <w:tcPr>
            <w:tcW w:w="1090" w:type="dxa"/>
            <w:shd w:val="clear" w:color="auto" w:fill="C6EFCE"/>
            <w:noWrap/>
          </w:tcPr>
          <w:p w14:paraId="5819B8DE" w14:textId="77777777" w:rsidR="00A00259" w:rsidRDefault="00371282">
            <w:pPr>
              <w:pStyle w:val="P68B1DB1-Normal12"/>
              <w:spacing w:line="240" w:lineRule="auto"/>
              <w:rPr>
                <w:noProof/>
              </w:rPr>
            </w:pPr>
            <w:r>
              <w:rPr>
                <w:noProof/>
              </w:rPr>
              <w:t>Étape</w:t>
            </w:r>
          </w:p>
        </w:tc>
        <w:tc>
          <w:tcPr>
            <w:tcW w:w="1422" w:type="dxa"/>
            <w:shd w:val="clear" w:color="auto" w:fill="C6EFCE"/>
            <w:noWrap/>
          </w:tcPr>
          <w:p w14:paraId="6DD60911" w14:textId="77777777" w:rsidR="00A00259" w:rsidRDefault="00371282">
            <w:pPr>
              <w:pStyle w:val="P68B1DB1-Normal12"/>
              <w:spacing w:line="240" w:lineRule="auto"/>
              <w:rPr>
                <w:noProof/>
              </w:rPr>
            </w:pPr>
            <w:r>
              <w:rPr>
                <w:noProof/>
              </w:rPr>
              <w:t>Rénovation des guichets uniques de l’administration publique</w:t>
            </w:r>
          </w:p>
        </w:tc>
        <w:tc>
          <w:tcPr>
            <w:tcW w:w="1853" w:type="dxa"/>
            <w:shd w:val="clear" w:color="auto" w:fill="C6EFCE"/>
            <w:noWrap/>
          </w:tcPr>
          <w:p w14:paraId="4726CB02" w14:textId="77777777" w:rsidR="00A00259" w:rsidRDefault="00371282">
            <w:pPr>
              <w:pStyle w:val="P68B1DB1-Normal12"/>
              <w:spacing w:line="240" w:lineRule="auto"/>
              <w:rPr>
                <w:noProof/>
              </w:rPr>
            </w:pPr>
            <w:r>
              <w:rPr>
                <w:noProof/>
              </w:rPr>
              <w:t>Rénovation des guichets uniques de l’administration publique</w:t>
            </w:r>
          </w:p>
        </w:tc>
        <w:tc>
          <w:tcPr>
            <w:tcW w:w="1012" w:type="dxa"/>
            <w:shd w:val="clear" w:color="auto" w:fill="C6EFCE"/>
            <w:noWrap/>
          </w:tcPr>
          <w:p w14:paraId="3646F30E" w14:textId="77777777" w:rsidR="00A00259" w:rsidRDefault="00A00259">
            <w:pPr>
              <w:spacing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5AE72611" w14:textId="77777777" w:rsidR="00A00259" w:rsidRDefault="00A00259">
            <w:pPr>
              <w:spacing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70AC4D0A" w14:textId="77777777" w:rsidR="00A00259" w:rsidRDefault="00A00259">
            <w:pPr>
              <w:spacing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D1463EF" w14:textId="77777777" w:rsidR="00A00259" w:rsidRDefault="00371282">
            <w:pPr>
              <w:pStyle w:val="P68B1DB1-Normal12"/>
              <w:spacing w:line="240" w:lineRule="auto"/>
              <w:rPr>
                <w:noProof/>
              </w:rPr>
            </w:pPr>
            <w:r>
              <w:rPr>
                <w:noProof/>
              </w:rPr>
              <w:t>T4</w:t>
            </w:r>
          </w:p>
        </w:tc>
        <w:tc>
          <w:tcPr>
            <w:tcW w:w="709" w:type="dxa"/>
            <w:shd w:val="clear" w:color="auto" w:fill="C6EFCE"/>
            <w:noWrap/>
          </w:tcPr>
          <w:p w14:paraId="324A7F7F" w14:textId="77777777" w:rsidR="00A00259" w:rsidRDefault="00371282">
            <w:pPr>
              <w:pStyle w:val="P68B1DB1-Normal12"/>
              <w:spacing w:line="240" w:lineRule="auto"/>
              <w:rPr>
                <w:noProof/>
              </w:rPr>
            </w:pPr>
            <w:r>
              <w:rPr>
                <w:noProof/>
              </w:rPr>
              <w:t>2025</w:t>
            </w:r>
          </w:p>
        </w:tc>
        <w:tc>
          <w:tcPr>
            <w:tcW w:w="3197" w:type="dxa"/>
            <w:shd w:val="clear" w:color="auto" w:fill="C6EFCE"/>
            <w:noWrap/>
          </w:tcPr>
          <w:p w14:paraId="6F0A0366" w14:textId="77777777" w:rsidR="00A00259" w:rsidRDefault="00371282">
            <w:pPr>
              <w:pStyle w:val="P68B1DB1-Normal12"/>
              <w:spacing w:line="240" w:lineRule="auto"/>
              <w:rPr>
                <w:noProof/>
              </w:rPr>
            </w:pPr>
            <w:r>
              <w:rPr>
                <w:noProof/>
              </w:rPr>
              <w:t>Rénovation de 360 guichets uniques de l’administration publique.</w:t>
            </w:r>
          </w:p>
        </w:tc>
      </w:tr>
      <w:tr w:rsidR="00A00259" w14:paraId="2D040CB6" w14:textId="77777777" w:rsidTr="00CE3F9A">
        <w:trPr>
          <w:trHeight w:val="313"/>
          <w:jc w:val="center"/>
        </w:trPr>
        <w:tc>
          <w:tcPr>
            <w:tcW w:w="759" w:type="dxa"/>
            <w:shd w:val="clear" w:color="auto" w:fill="C6EFCE"/>
            <w:noWrap/>
          </w:tcPr>
          <w:p w14:paraId="771E5788" w14:textId="77777777" w:rsidR="00A00259" w:rsidRDefault="00371282">
            <w:pPr>
              <w:pStyle w:val="P68B1DB1-Normal12"/>
              <w:spacing w:after="0" w:line="240" w:lineRule="auto"/>
              <w:rPr>
                <w:rFonts w:eastAsia="Times New Roman"/>
                <w:noProof/>
              </w:rPr>
            </w:pPr>
            <w:r>
              <w:rPr>
                <w:noProof/>
              </w:rPr>
              <w:t>112</w:t>
            </w:r>
          </w:p>
        </w:tc>
        <w:tc>
          <w:tcPr>
            <w:tcW w:w="1876" w:type="dxa"/>
            <w:shd w:val="clear" w:color="auto" w:fill="C6EFCE"/>
            <w:noWrap/>
          </w:tcPr>
          <w:p w14:paraId="6210F02B" w14:textId="77777777" w:rsidR="00A00259" w:rsidRDefault="00371282">
            <w:pPr>
              <w:pStyle w:val="P68B1DB1-Normal12"/>
              <w:spacing w:after="0" w:line="240" w:lineRule="auto"/>
              <w:rPr>
                <w:rFonts w:eastAsia="Times New Roman"/>
                <w:noProof/>
              </w:rPr>
            </w:pPr>
            <w:r>
              <w:rPr>
                <w:noProof/>
              </w:rPr>
              <w:t>6 - 2.2. 16823_Stratégie de cybersécurité et Centre national des opérations de sécurité</w:t>
            </w:r>
          </w:p>
        </w:tc>
        <w:tc>
          <w:tcPr>
            <w:tcW w:w="1090" w:type="dxa"/>
            <w:shd w:val="clear" w:color="auto" w:fill="C6EFCE"/>
            <w:noWrap/>
          </w:tcPr>
          <w:p w14:paraId="3EDA93E3" w14:textId="77777777" w:rsidR="00A00259" w:rsidRDefault="00371282">
            <w:pPr>
              <w:pStyle w:val="P68B1DB1-Normal12"/>
              <w:spacing w:after="0" w:line="240" w:lineRule="auto"/>
              <w:rPr>
                <w:rFonts w:eastAsia="Times New Roman"/>
                <w:noProof/>
              </w:rPr>
            </w:pPr>
            <w:r>
              <w:rPr>
                <w:noProof/>
              </w:rPr>
              <w:t>Étape</w:t>
            </w:r>
          </w:p>
        </w:tc>
        <w:tc>
          <w:tcPr>
            <w:tcW w:w="1422" w:type="dxa"/>
            <w:shd w:val="clear" w:color="auto" w:fill="C6EFCE"/>
            <w:noWrap/>
          </w:tcPr>
          <w:p w14:paraId="62684561" w14:textId="77777777" w:rsidR="00A00259" w:rsidRDefault="00371282">
            <w:pPr>
              <w:pStyle w:val="P68B1DB1-Normal12"/>
              <w:spacing w:after="0" w:line="240" w:lineRule="auto"/>
              <w:rPr>
                <w:noProof/>
              </w:rPr>
            </w:pPr>
            <w:r>
              <w:rPr>
                <w:noProof/>
              </w:rPr>
              <w:t xml:space="preserve">Mise en œuvre de la stratégie de cybersécurité et du Centre des opérations de sécurité nationale </w:t>
            </w:r>
          </w:p>
        </w:tc>
        <w:tc>
          <w:tcPr>
            <w:tcW w:w="1853" w:type="dxa"/>
            <w:shd w:val="clear" w:color="auto" w:fill="C6EFCE"/>
            <w:noWrap/>
          </w:tcPr>
          <w:p w14:paraId="553A72E1" w14:textId="6100345F" w:rsidR="00A00259" w:rsidRDefault="00371282">
            <w:pPr>
              <w:pStyle w:val="P68B1DB1-Normal12"/>
              <w:spacing w:after="0" w:line="240" w:lineRule="auto"/>
              <w:rPr>
                <w:noProof/>
              </w:rPr>
            </w:pPr>
            <w:r>
              <w:rPr>
                <w:noProof/>
              </w:rPr>
              <w:t>Mise en œuvre de la stratégie de cybersécurité et du Centre des opérations de sécurité nationale</w:t>
            </w:r>
          </w:p>
        </w:tc>
        <w:tc>
          <w:tcPr>
            <w:tcW w:w="1012" w:type="dxa"/>
            <w:shd w:val="clear" w:color="auto" w:fill="C6EFCE"/>
            <w:noWrap/>
          </w:tcPr>
          <w:p w14:paraId="3E55F70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02F1D65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12B81CC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3C33A920"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24EC0406" w14:textId="77777777" w:rsidR="00A00259" w:rsidRDefault="00371282">
            <w:pPr>
              <w:pStyle w:val="P68B1DB1-Normal12"/>
              <w:spacing w:after="0" w:line="240" w:lineRule="auto"/>
              <w:rPr>
                <w:rFonts w:eastAsia="Times New Roman"/>
                <w:noProof/>
              </w:rPr>
            </w:pPr>
            <w:r>
              <w:rPr>
                <w:noProof/>
              </w:rPr>
              <w:t>2024</w:t>
            </w:r>
          </w:p>
        </w:tc>
        <w:tc>
          <w:tcPr>
            <w:tcW w:w="3197" w:type="dxa"/>
            <w:shd w:val="clear" w:color="auto" w:fill="C6EFCE"/>
            <w:noWrap/>
          </w:tcPr>
          <w:p w14:paraId="0D631407" w14:textId="77777777" w:rsidR="00A00259" w:rsidRDefault="00371282">
            <w:pPr>
              <w:pStyle w:val="P68B1DB1-Normal12"/>
              <w:spacing w:after="0" w:line="240" w:lineRule="auto"/>
              <w:rPr>
                <w:noProof/>
              </w:rPr>
            </w:pPr>
            <w:r>
              <w:rPr>
                <w:noProof/>
              </w:rPr>
              <w:t>Mise en œuvre i) de la stratégie de cybersécurité ii) du Centre des opérations de sécurité nationale (COS)</w:t>
            </w:r>
          </w:p>
        </w:tc>
      </w:tr>
      <w:tr w:rsidR="00A00259" w14:paraId="70BF36BD" w14:textId="77777777" w:rsidTr="00CE3F9A">
        <w:trPr>
          <w:trHeight w:val="313"/>
          <w:jc w:val="center"/>
        </w:trPr>
        <w:tc>
          <w:tcPr>
            <w:tcW w:w="759" w:type="dxa"/>
            <w:shd w:val="clear" w:color="auto" w:fill="C6EFCE"/>
            <w:noWrap/>
          </w:tcPr>
          <w:p w14:paraId="0F68767D" w14:textId="77777777" w:rsidR="00A00259" w:rsidRDefault="00371282">
            <w:pPr>
              <w:pStyle w:val="P68B1DB1-Normal12"/>
              <w:spacing w:after="0" w:line="240" w:lineRule="auto"/>
              <w:rPr>
                <w:rFonts w:eastAsia="Times New Roman"/>
                <w:noProof/>
              </w:rPr>
            </w:pPr>
            <w:r>
              <w:rPr>
                <w:noProof/>
              </w:rPr>
              <w:t>113</w:t>
            </w:r>
          </w:p>
        </w:tc>
        <w:tc>
          <w:tcPr>
            <w:tcW w:w="1876" w:type="dxa"/>
            <w:shd w:val="clear" w:color="auto" w:fill="C6EFCE"/>
            <w:noWrap/>
          </w:tcPr>
          <w:p w14:paraId="3596611E" w14:textId="77777777" w:rsidR="00A00259" w:rsidRDefault="00371282">
            <w:pPr>
              <w:pStyle w:val="P68B1DB1-Normal12"/>
              <w:spacing w:after="0" w:line="240" w:lineRule="auto"/>
              <w:rPr>
                <w:rFonts w:eastAsia="Times New Roman"/>
                <w:noProof/>
              </w:rPr>
            </w:pPr>
            <w:r>
              <w:rPr>
                <w:noProof/>
              </w:rPr>
              <w:t>6 - 2.2. Moderniser - 16738_Central Document Management System</w:t>
            </w:r>
          </w:p>
        </w:tc>
        <w:tc>
          <w:tcPr>
            <w:tcW w:w="1090" w:type="dxa"/>
            <w:shd w:val="clear" w:color="auto" w:fill="C6EFCE"/>
            <w:noWrap/>
          </w:tcPr>
          <w:p w14:paraId="65188F37" w14:textId="77777777" w:rsidR="00A00259" w:rsidRDefault="00371282">
            <w:pPr>
              <w:pStyle w:val="P68B1DB1-Normal12"/>
              <w:spacing w:after="0" w:line="240" w:lineRule="auto"/>
              <w:rPr>
                <w:rFonts w:eastAsia="Times New Roman"/>
                <w:noProof/>
              </w:rPr>
            </w:pPr>
            <w:r>
              <w:rPr>
                <w:noProof/>
              </w:rPr>
              <w:t>Étape</w:t>
            </w:r>
          </w:p>
        </w:tc>
        <w:tc>
          <w:tcPr>
            <w:tcW w:w="1422" w:type="dxa"/>
            <w:shd w:val="clear" w:color="auto" w:fill="C6EFCE"/>
            <w:noWrap/>
          </w:tcPr>
          <w:p w14:paraId="7A3B3095" w14:textId="77777777" w:rsidR="00A00259" w:rsidRDefault="00371282">
            <w:pPr>
              <w:pStyle w:val="P68B1DB1-Normal12"/>
              <w:spacing w:after="0" w:line="240" w:lineRule="auto"/>
              <w:rPr>
                <w:rFonts w:eastAsia="Times New Roman"/>
                <w:noProof/>
              </w:rPr>
            </w:pPr>
            <w:r>
              <w:rPr>
                <w:noProof/>
              </w:rPr>
              <w:t xml:space="preserve">Achèvement du projet de système central de gestion des documents </w:t>
            </w:r>
          </w:p>
        </w:tc>
        <w:tc>
          <w:tcPr>
            <w:tcW w:w="1853" w:type="dxa"/>
            <w:shd w:val="clear" w:color="auto" w:fill="C6EFCE"/>
            <w:noWrap/>
          </w:tcPr>
          <w:p w14:paraId="4BC3AAC8" w14:textId="77777777" w:rsidR="00A00259" w:rsidRDefault="00371282">
            <w:pPr>
              <w:pStyle w:val="P68B1DB1-Normal12"/>
              <w:spacing w:after="0" w:line="240" w:lineRule="auto"/>
              <w:rPr>
                <w:rFonts w:eastAsia="Times New Roman"/>
                <w:noProof/>
              </w:rPr>
            </w:pPr>
            <w:r>
              <w:rPr>
                <w:noProof/>
              </w:rPr>
              <w:t>Rapport final du ministère de la gouvernance numérique documentant l’achèvement du système central de gestion des documents</w:t>
            </w:r>
          </w:p>
        </w:tc>
        <w:tc>
          <w:tcPr>
            <w:tcW w:w="1012" w:type="dxa"/>
            <w:shd w:val="clear" w:color="auto" w:fill="C6EFCE"/>
            <w:noWrap/>
          </w:tcPr>
          <w:p w14:paraId="2C7B8EC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1B2227A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085777E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E9F8AAC" w14:textId="77777777" w:rsidR="00A00259" w:rsidRDefault="00371282">
            <w:pPr>
              <w:pStyle w:val="P68B1DB1-Normal12"/>
              <w:spacing w:after="0" w:line="240" w:lineRule="auto"/>
              <w:rPr>
                <w:rFonts w:eastAsia="Times New Roman"/>
                <w:noProof/>
              </w:rPr>
            </w:pPr>
            <w:r>
              <w:rPr>
                <w:noProof/>
              </w:rPr>
              <w:t>T2</w:t>
            </w:r>
          </w:p>
        </w:tc>
        <w:tc>
          <w:tcPr>
            <w:tcW w:w="709" w:type="dxa"/>
            <w:shd w:val="clear" w:color="auto" w:fill="C6EFCE"/>
            <w:noWrap/>
          </w:tcPr>
          <w:p w14:paraId="6997B356" w14:textId="77777777" w:rsidR="00A00259" w:rsidRDefault="00371282">
            <w:pPr>
              <w:pStyle w:val="P68B1DB1-Normal12"/>
              <w:spacing w:after="0" w:line="240" w:lineRule="auto"/>
              <w:rPr>
                <w:rFonts w:eastAsia="Times New Roman"/>
                <w:noProof/>
              </w:rPr>
            </w:pPr>
            <w:r>
              <w:rPr>
                <w:noProof/>
              </w:rPr>
              <w:t>2024</w:t>
            </w:r>
          </w:p>
        </w:tc>
        <w:tc>
          <w:tcPr>
            <w:tcW w:w="3197" w:type="dxa"/>
            <w:shd w:val="clear" w:color="auto" w:fill="C6EFCE"/>
            <w:noWrap/>
          </w:tcPr>
          <w:p w14:paraId="7BC7D5B0" w14:textId="77777777" w:rsidR="00A00259" w:rsidRDefault="00371282">
            <w:pPr>
              <w:pStyle w:val="P68B1DB1-Normal12"/>
              <w:spacing w:after="0" w:line="240" w:lineRule="auto"/>
              <w:rPr>
                <w:noProof/>
              </w:rPr>
            </w:pPr>
            <w:r>
              <w:rPr>
                <w:noProof/>
              </w:rPr>
              <w:t xml:space="preserve">Le système central de gestion des documents est opérationnel, y compris la fourniture de </w:t>
            </w:r>
          </w:p>
          <w:p w14:paraId="3C5DACE9" w14:textId="77777777" w:rsidR="00A00259" w:rsidRDefault="00371282">
            <w:pPr>
              <w:pStyle w:val="P68B1DB1-Normal12"/>
              <w:spacing w:after="0" w:line="240" w:lineRule="auto"/>
              <w:rPr>
                <w:rFonts w:eastAsia="Times New Roman"/>
                <w:noProof/>
              </w:rPr>
            </w:pPr>
            <w:r>
              <w:rPr>
                <w:noProof/>
              </w:rPr>
              <w:t>20 000 signatures numériques à distance approuvées, soutenues par des applications et un service d’assistance.</w:t>
            </w:r>
          </w:p>
        </w:tc>
      </w:tr>
      <w:tr w:rsidR="00A00259" w14:paraId="718C8C14" w14:textId="77777777" w:rsidTr="00CE3F9A">
        <w:trPr>
          <w:trHeight w:val="313"/>
          <w:jc w:val="center"/>
        </w:trPr>
        <w:tc>
          <w:tcPr>
            <w:tcW w:w="759" w:type="dxa"/>
            <w:shd w:val="clear" w:color="auto" w:fill="C6EFCE"/>
            <w:noWrap/>
          </w:tcPr>
          <w:p w14:paraId="72A3F787" w14:textId="77777777" w:rsidR="00A00259" w:rsidRDefault="00371282">
            <w:pPr>
              <w:pStyle w:val="P68B1DB1-Normal12"/>
              <w:spacing w:after="0" w:line="240" w:lineRule="auto"/>
              <w:rPr>
                <w:rFonts w:eastAsia="Times New Roman"/>
                <w:noProof/>
              </w:rPr>
            </w:pPr>
            <w:r>
              <w:rPr>
                <w:noProof/>
              </w:rPr>
              <w:t>114</w:t>
            </w:r>
          </w:p>
        </w:tc>
        <w:tc>
          <w:tcPr>
            <w:tcW w:w="1876" w:type="dxa"/>
            <w:shd w:val="clear" w:color="auto" w:fill="C6EFCE"/>
            <w:noWrap/>
          </w:tcPr>
          <w:p w14:paraId="175BF473" w14:textId="77777777" w:rsidR="00A00259" w:rsidRDefault="00371282">
            <w:pPr>
              <w:pStyle w:val="P68B1DB1-Normal12"/>
              <w:spacing w:after="0" w:line="240" w:lineRule="auto"/>
              <w:rPr>
                <w:rFonts w:eastAsia="Times New Roman"/>
                <w:noProof/>
              </w:rPr>
            </w:pPr>
            <w:r>
              <w:rPr>
                <w:noProof/>
              </w:rPr>
              <w:t>6 - 2.2. Moderniser - 16742_Transformation numérique du ministère des Affaires étrangères</w:t>
            </w:r>
          </w:p>
        </w:tc>
        <w:tc>
          <w:tcPr>
            <w:tcW w:w="1090" w:type="dxa"/>
            <w:shd w:val="clear" w:color="auto" w:fill="C6EFCE"/>
            <w:noWrap/>
          </w:tcPr>
          <w:p w14:paraId="3DBDA3BD" w14:textId="77777777" w:rsidR="00A00259" w:rsidRDefault="00371282">
            <w:pPr>
              <w:pStyle w:val="P68B1DB1-Normal12"/>
              <w:spacing w:after="0" w:line="240" w:lineRule="auto"/>
              <w:rPr>
                <w:rFonts w:eastAsia="Times New Roman"/>
                <w:noProof/>
              </w:rPr>
            </w:pPr>
            <w:r>
              <w:rPr>
                <w:noProof/>
              </w:rPr>
              <w:t>Étape</w:t>
            </w:r>
          </w:p>
        </w:tc>
        <w:tc>
          <w:tcPr>
            <w:tcW w:w="1422" w:type="dxa"/>
            <w:shd w:val="clear" w:color="auto" w:fill="C6EFCE"/>
            <w:noWrap/>
          </w:tcPr>
          <w:p w14:paraId="2F3F59D6" w14:textId="77777777" w:rsidR="00A00259" w:rsidRDefault="00371282">
            <w:pPr>
              <w:pStyle w:val="P68B1DB1-Normal12"/>
              <w:spacing w:after="0" w:line="240" w:lineRule="auto"/>
              <w:rPr>
                <w:rFonts w:eastAsia="Times New Roman"/>
                <w:noProof/>
              </w:rPr>
            </w:pPr>
            <w:r>
              <w:rPr>
                <w:noProof/>
              </w:rPr>
              <w:t>Transformation numérique du ministère des Affaires étrangères</w:t>
            </w:r>
          </w:p>
        </w:tc>
        <w:tc>
          <w:tcPr>
            <w:tcW w:w="1853" w:type="dxa"/>
            <w:shd w:val="clear" w:color="auto" w:fill="C6EFCE"/>
            <w:noWrap/>
          </w:tcPr>
          <w:p w14:paraId="2C6627DB" w14:textId="77777777" w:rsidR="00A00259" w:rsidRDefault="00371282">
            <w:pPr>
              <w:pStyle w:val="P68B1DB1-Normal12"/>
              <w:spacing w:after="0" w:line="240" w:lineRule="auto"/>
              <w:rPr>
                <w:rFonts w:eastAsia="Times New Roman"/>
                <w:noProof/>
              </w:rPr>
            </w:pPr>
            <w:r>
              <w:rPr>
                <w:noProof/>
              </w:rPr>
              <w:t>Réalisation de sous-projets du projet «Numérisation du ministère des affaires étrangères»</w:t>
            </w:r>
          </w:p>
        </w:tc>
        <w:tc>
          <w:tcPr>
            <w:tcW w:w="1012" w:type="dxa"/>
            <w:shd w:val="clear" w:color="auto" w:fill="C6EFCE"/>
            <w:noWrap/>
          </w:tcPr>
          <w:p w14:paraId="6613D07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2131C2F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0D10839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D955B93" w14:textId="77777777" w:rsidR="00A00259" w:rsidRDefault="00371282">
            <w:pPr>
              <w:pStyle w:val="P68B1DB1-Normal12"/>
              <w:spacing w:after="0" w:line="240" w:lineRule="auto"/>
              <w:rPr>
                <w:rFonts w:eastAsia="Times New Roman"/>
                <w:noProof/>
              </w:rPr>
            </w:pPr>
            <w:r>
              <w:rPr>
                <w:noProof/>
              </w:rPr>
              <w:t>T2</w:t>
            </w:r>
          </w:p>
        </w:tc>
        <w:tc>
          <w:tcPr>
            <w:tcW w:w="709" w:type="dxa"/>
            <w:shd w:val="clear" w:color="auto" w:fill="C6EFCE"/>
            <w:noWrap/>
          </w:tcPr>
          <w:p w14:paraId="75E6EBD1" w14:textId="77777777" w:rsidR="00A00259" w:rsidRDefault="00371282">
            <w:pPr>
              <w:pStyle w:val="P68B1DB1-Normal12"/>
              <w:spacing w:after="0" w:line="240" w:lineRule="auto"/>
              <w:rPr>
                <w:rFonts w:eastAsia="Times New Roman"/>
                <w:noProof/>
              </w:rPr>
            </w:pPr>
            <w:r>
              <w:rPr>
                <w:noProof/>
              </w:rPr>
              <w:t>2025</w:t>
            </w:r>
          </w:p>
        </w:tc>
        <w:tc>
          <w:tcPr>
            <w:tcW w:w="3197" w:type="dxa"/>
            <w:shd w:val="clear" w:color="auto" w:fill="C6EFCE"/>
            <w:noWrap/>
          </w:tcPr>
          <w:p w14:paraId="36F1B3D4" w14:textId="24D53E51" w:rsidR="00A00259" w:rsidRDefault="00371282">
            <w:pPr>
              <w:pStyle w:val="P68B1DB1-Normal35"/>
              <w:spacing w:after="0" w:line="240" w:lineRule="auto"/>
              <w:rPr>
                <w:rFonts w:ascii="Times New Roman" w:eastAsia="Times New Roman" w:hAnsi="Times New Roman" w:cs="Times New Roman"/>
                <w:noProof/>
                <w:sz w:val="18"/>
                <w:szCs w:val="18"/>
              </w:rPr>
            </w:pPr>
            <w:r>
              <w:rPr>
                <w:rFonts w:ascii="Times New Roman" w:hAnsi="Times New Roman" w:cs="Times New Roman"/>
                <w:noProof/>
                <w:sz w:val="18"/>
                <w:szCs w:val="18"/>
              </w:rPr>
              <w:t xml:space="preserve">Fourniture (1) d'un système de soutien à la planification stratégique et opérationnelle, (2) de la numérisation de </w:t>
            </w:r>
            <w:r>
              <w:rPr>
                <w:rFonts w:ascii="Times New Roman" w:eastAsia="Times New Roman" w:hAnsi="Times New Roman" w:cs="Times New Roman"/>
                <w:noProof/>
                <w:sz w:val="20"/>
                <w:szCs w:val="20"/>
              </w:rPr>
              <w:t>31 269 486 pages des archives diplomatiques et historiques, (3) de</w:t>
            </w:r>
            <w:r>
              <w:rPr>
                <w:rFonts w:ascii="Times New Roman" w:hAnsi="Times New Roman" w:cs="Times New Roman"/>
                <w:noProof/>
                <w:sz w:val="18"/>
                <w:szCs w:val="18"/>
              </w:rPr>
              <w:t xml:space="preserve"> la plate-forme mondiale du centre d'information numérique et (4) de l'infrastructure cryptographique et de télécommunications.</w:t>
            </w:r>
          </w:p>
        </w:tc>
      </w:tr>
      <w:tr w:rsidR="00A00259" w14:paraId="389C1642" w14:textId="77777777" w:rsidTr="00CE3F9A">
        <w:trPr>
          <w:trHeight w:val="313"/>
          <w:jc w:val="center"/>
        </w:trPr>
        <w:tc>
          <w:tcPr>
            <w:tcW w:w="759" w:type="dxa"/>
            <w:shd w:val="clear" w:color="auto" w:fill="C6EFCE"/>
            <w:noWrap/>
          </w:tcPr>
          <w:p w14:paraId="37E6C0B8" w14:textId="77777777" w:rsidR="00A00259" w:rsidRDefault="00371282">
            <w:pPr>
              <w:pStyle w:val="P68B1DB1-Normal12"/>
              <w:spacing w:after="0" w:line="240" w:lineRule="auto"/>
              <w:rPr>
                <w:rFonts w:eastAsia="Times New Roman"/>
                <w:noProof/>
              </w:rPr>
            </w:pPr>
            <w:r>
              <w:rPr>
                <w:noProof/>
              </w:rPr>
              <w:t>115</w:t>
            </w:r>
          </w:p>
        </w:tc>
        <w:tc>
          <w:tcPr>
            <w:tcW w:w="1876" w:type="dxa"/>
            <w:shd w:val="clear" w:color="auto" w:fill="C6EFCE"/>
            <w:noWrap/>
          </w:tcPr>
          <w:p w14:paraId="2A7C2A96" w14:textId="77777777" w:rsidR="00A00259" w:rsidRDefault="00371282">
            <w:pPr>
              <w:pStyle w:val="P68B1DB1-Normal12"/>
              <w:spacing w:after="0" w:line="240" w:lineRule="auto"/>
              <w:rPr>
                <w:rFonts w:eastAsia="Times New Roman"/>
                <w:noProof/>
              </w:rPr>
            </w:pPr>
            <w:r>
              <w:rPr>
                <w:noProof/>
              </w:rPr>
              <w:t>6 - 2.2. Moderniser - 16791_Transformation numérique de l'Organisation nationale grecque du tourisme</w:t>
            </w:r>
          </w:p>
        </w:tc>
        <w:tc>
          <w:tcPr>
            <w:tcW w:w="1090" w:type="dxa"/>
            <w:shd w:val="clear" w:color="auto" w:fill="C6EFCE"/>
            <w:noWrap/>
          </w:tcPr>
          <w:p w14:paraId="787A8ADD" w14:textId="77777777" w:rsidR="00A00259" w:rsidRDefault="00371282">
            <w:pPr>
              <w:pStyle w:val="P68B1DB1-Normal12"/>
              <w:spacing w:after="0" w:line="240" w:lineRule="auto"/>
              <w:rPr>
                <w:rFonts w:eastAsia="Times New Roman"/>
                <w:noProof/>
              </w:rPr>
            </w:pPr>
            <w:r>
              <w:rPr>
                <w:noProof/>
              </w:rPr>
              <w:t>Étape</w:t>
            </w:r>
          </w:p>
        </w:tc>
        <w:tc>
          <w:tcPr>
            <w:tcW w:w="1422" w:type="dxa"/>
            <w:shd w:val="clear" w:color="auto" w:fill="C6EFCE"/>
            <w:noWrap/>
          </w:tcPr>
          <w:p w14:paraId="102E4057" w14:textId="77777777" w:rsidR="00A00259" w:rsidRDefault="00371282">
            <w:pPr>
              <w:pStyle w:val="P68B1DB1-Normal12"/>
              <w:spacing w:after="0" w:line="240" w:lineRule="auto"/>
              <w:rPr>
                <w:rFonts w:eastAsia="Times New Roman"/>
                <w:noProof/>
              </w:rPr>
            </w:pPr>
            <w:r>
              <w:rPr>
                <w:noProof/>
              </w:rPr>
              <w:t xml:space="preserve">Numérisation de l’organisation nationale grecque du tourisme </w:t>
            </w:r>
          </w:p>
        </w:tc>
        <w:tc>
          <w:tcPr>
            <w:tcW w:w="1853" w:type="dxa"/>
            <w:shd w:val="clear" w:color="auto" w:fill="C6EFCE"/>
            <w:noWrap/>
          </w:tcPr>
          <w:p w14:paraId="59670D6A" w14:textId="77777777" w:rsidR="00A00259" w:rsidRDefault="00371282">
            <w:pPr>
              <w:pStyle w:val="P68B1DB1-Normal12"/>
              <w:spacing w:after="0" w:line="240" w:lineRule="auto"/>
              <w:rPr>
                <w:rFonts w:eastAsia="Times New Roman"/>
                <w:noProof/>
              </w:rPr>
            </w:pPr>
            <w:r>
              <w:rPr>
                <w:noProof/>
              </w:rPr>
              <w:t>Mise en œuvre du projet «Transformation numérique de l’organisation nationale grecque du tourisme»</w:t>
            </w:r>
          </w:p>
        </w:tc>
        <w:tc>
          <w:tcPr>
            <w:tcW w:w="1012" w:type="dxa"/>
            <w:shd w:val="clear" w:color="auto" w:fill="C6EFCE"/>
            <w:noWrap/>
          </w:tcPr>
          <w:p w14:paraId="617A841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342AEF8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6E33E13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5753C648" w14:textId="77777777" w:rsidR="00A00259" w:rsidRDefault="00371282">
            <w:pPr>
              <w:pStyle w:val="P68B1DB1-Normal12"/>
              <w:spacing w:after="0" w:line="240" w:lineRule="auto"/>
              <w:rPr>
                <w:rFonts w:eastAsia="Times New Roman"/>
                <w:noProof/>
              </w:rPr>
            </w:pPr>
            <w:r>
              <w:rPr>
                <w:noProof/>
              </w:rPr>
              <w:t>T2</w:t>
            </w:r>
          </w:p>
        </w:tc>
        <w:tc>
          <w:tcPr>
            <w:tcW w:w="709" w:type="dxa"/>
            <w:shd w:val="clear" w:color="auto" w:fill="C6EFCE"/>
            <w:noWrap/>
          </w:tcPr>
          <w:p w14:paraId="43EAA720" w14:textId="77777777" w:rsidR="00A00259" w:rsidRDefault="00371282">
            <w:pPr>
              <w:pStyle w:val="P68B1DB1-Normal12"/>
              <w:spacing w:after="0" w:line="240" w:lineRule="auto"/>
              <w:rPr>
                <w:rFonts w:eastAsia="Times New Roman"/>
                <w:noProof/>
              </w:rPr>
            </w:pPr>
            <w:r>
              <w:rPr>
                <w:noProof/>
              </w:rPr>
              <w:t>2025</w:t>
            </w:r>
          </w:p>
        </w:tc>
        <w:tc>
          <w:tcPr>
            <w:tcW w:w="3197" w:type="dxa"/>
            <w:shd w:val="clear" w:color="auto" w:fill="C6EFCE"/>
            <w:noWrap/>
          </w:tcPr>
          <w:p w14:paraId="1C1A50D7" w14:textId="77777777" w:rsidR="00A00259" w:rsidRDefault="00371282">
            <w:pPr>
              <w:pStyle w:val="P68B1DB1-Normal12"/>
              <w:spacing w:after="0" w:line="240" w:lineRule="auto"/>
              <w:rPr>
                <w:rFonts w:eastAsia="Times New Roman"/>
                <w:noProof/>
              </w:rPr>
            </w:pPr>
            <w:r>
              <w:rPr>
                <w:noProof/>
              </w:rPr>
              <w:t>la création 1) d’une carte touristique numérique, 2) d’un répertoire numérique des biens culturels de la Grèce et 3) d’un nouveau système d’information touristique.</w:t>
            </w:r>
          </w:p>
        </w:tc>
      </w:tr>
      <w:tr w:rsidR="00A00259" w14:paraId="2EEFC947" w14:textId="77777777" w:rsidTr="00CE3F9A">
        <w:trPr>
          <w:trHeight w:val="313"/>
          <w:jc w:val="center"/>
        </w:trPr>
        <w:tc>
          <w:tcPr>
            <w:tcW w:w="759" w:type="dxa"/>
            <w:shd w:val="clear" w:color="auto" w:fill="C6EFCE"/>
            <w:noWrap/>
          </w:tcPr>
          <w:p w14:paraId="570EA6C2" w14:textId="77777777" w:rsidR="00A00259" w:rsidRDefault="00371282">
            <w:pPr>
              <w:pStyle w:val="P68B1DB1-Normal12"/>
              <w:spacing w:after="0" w:line="240" w:lineRule="auto"/>
              <w:rPr>
                <w:rFonts w:eastAsia="Times New Roman"/>
                <w:noProof/>
              </w:rPr>
            </w:pPr>
            <w:r>
              <w:rPr>
                <w:noProof/>
              </w:rPr>
              <w:t>119</w:t>
            </w:r>
          </w:p>
        </w:tc>
        <w:tc>
          <w:tcPr>
            <w:tcW w:w="1876" w:type="dxa"/>
            <w:shd w:val="clear" w:color="auto" w:fill="C6EFCE"/>
            <w:noWrap/>
          </w:tcPr>
          <w:p w14:paraId="682056F0" w14:textId="77777777" w:rsidR="00A00259" w:rsidRDefault="00371282">
            <w:pPr>
              <w:pStyle w:val="P68B1DB1-Normal12"/>
              <w:spacing w:after="0" w:line="240" w:lineRule="auto"/>
              <w:rPr>
                <w:rFonts w:eastAsia="Times New Roman"/>
                <w:noProof/>
              </w:rPr>
            </w:pPr>
            <w:r>
              <w:rPr>
                <w:noProof/>
              </w:rPr>
              <w:t>6 - 2.2. Moderniser - 16736_Nouveau système pour les marchés publics</w:t>
            </w:r>
          </w:p>
        </w:tc>
        <w:tc>
          <w:tcPr>
            <w:tcW w:w="1090" w:type="dxa"/>
            <w:shd w:val="clear" w:color="auto" w:fill="C6EFCE"/>
            <w:noWrap/>
          </w:tcPr>
          <w:p w14:paraId="3BB415B2" w14:textId="77777777" w:rsidR="00A00259" w:rsidRDefault="00371282">
            <w:pPr>
              <w:pStyle w:val="P68B1DB1-Normal12"/>
              <w:spacing w:after="0" w:line="240" w:lineRule="auto"/>
              <w:rPr>
                <w:rFonts w:eastAsia="Times New Roman"/>
                <w:noProof/>
              </w:rPr>
            </w:pPr>
            <w:r>
              <w:rPr>
                <w:noProof/>
              </w:rPr>
              <w:t>Étape</w:t>
            </w:r>
          </w:p>
        </w:tc>
        <w:tc>
          <w:tcPr>
            <w:tcW w:w="1422" w:type="dxa"/>
            <w:shd w:val="clear" w:color="auto" w:fill="C6EFCE"/>
            <w:noWrap/>
          </w:tcPr>
          <w:p w14:paraId="06B125B5" w14:textId="77777777" w:rsidR="00A00259" w:rsidRDefault="00371282">
            <w:pPr>
              <w:pStyle w:val="P68B1DB1-Normal12"/>
              <w:spacing w:after="0" w:line="240" w:lineRule="auto"/>
              <w:rPr>
                <w:rFonts w:eastAsia="Times New Roman"/>
                <w:noProof/>
              </w:rPr>
            </w:pPr>
            <w:r>
              <w:rPr>
                <w:noProof/>
              </w:rPr>
              <w:t xml:space="preserve">Mise en place du nouveau système de passation des marchés publics </w:t>
            </w:r>
          </w:p>
        </w:tc>
        <w:tc>
          <w:tcPr>
            <w:tcW w:w="1853" w:type="dxa"/>
            <w:shd w:val="clear" w:color="auto" w:fill="C6EFCE"/>
            <w:noWrap/>
          </w:tcPr>
          <w:p w14:paraId="550054A3" w14:textId="77777777" w:rsidR="00A00259" w:rsidRDefault="00371282">
            <w:pPr>
              <w:pStyle w:val="P68B1DB1-Normal12"/>
              <w:spacing w:after="0" w:line="240" w:lineRule="auto"/>
              <w:rPr>
                <w:rFonts w:eastAsia="Times New Roman"/>
                <w:noProof/>
              </w:rPr>
            </w:pPr>
            <w:r>
              <w:rPr>
                <w:noProof/>
              </w:rPr>
              <w:t>Mise en place du «nouveau système de passation des marchés publics»</w:t>
            </w:r>
          </w:p>
        </w:tc>
        <w:tc>
          <w:tcPr>
            <w:tcW w:w="1012" w:type="dxa"/>
            <w:shd w:val="clear" w:color="auto" w:fill="C6EFCE"/>
            <w:noWrap/>
          </w:tcPr>
          <w:p w14:paraId="08BBE0C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2AAB444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0766452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7977FDAC"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0B4BB024" w14:textId="77777777" w:rsidR="00A00259" w:rsidRDefault="00371282">
            <w:pPr>
              <w:pStyle w:val="P68B1DB1-Normal12"/>
              <w:spacing w:after="0" w:line="240" w:lineRule="auto"/>
              <w:rPr>
                <w:rFonts w:eastAsia="Times New Roman"/>
                <w:noProof/>
              </w:rPr>
            </w:pPr>
            <w:r>
              <w:rPr>
                <w:noProof/>
              </w:rPr>
              <w:t>2025</w:t>
            </w:r>
          </w:p>
        </w:tc>
        <w:tc>
          <w:tcPr>
            <w:tcW w:w="3197" w:type="dxa"/>
            <w:shd w:val="clear" w:color="auto" w:fill="C6EFCE"/>
            <w:noWrap/>
          </w:tcPr>
          <w:p w14:paraId="71B103E8" w14:textId="4E8990EB" w:rsidR="00A00259" w:rsidRDefault="00371282">
            <w:pPr>
              <w:pStyle w:val="P68B1DB1-Normal12"/>
              <w:spacing w:after="0" w:line="240" w:lineRule="auto"/>
              <w:rPr>
                <w:noProof/>
              </w:rPr>
            </w:pPr>
            <w:r>
              <w:rPr>
                <w:noProof/>
              </w:rPr>
              <w:t>Mise en place du nouveau système de passation des marchés publics en vue de la mise en place d’un nouveau portail de passation électronique des marchés publics (ESIDIS), avec des sous-systèmes améliorés, l’interopérabilité avec d’autres systèmes, de nouveaux dispositifs de sécurité et des outils de soutien pour les opérateurs économiques et les pouvoirs adjudicateurs.</w:t>
            </w:r>
          </w:p>
        </w:tc>
      </w:tr>
      <w:tr w:rsidR="00A00259" w14:paraId="6D512DCF" w14:textId="77777777" w:rsidTr="00CE3F9A">
        <w:trPr>
          <w:trHeight w:val="313"/>
          <w:jc w:val="center"/>
        </w:trPr>
        <w:tc>
          <w:tcPr>
            <w:tcW w:w="759" w:type="dxa"/>
            <w:shd w:val="clear" w:color="auto" w:fill="C6EFCE"/>
            <w:noWrap/>
          </w:tcPr>
          <w:p w14:paraId="40097525" w14:textId="77777777" w:rsidR="00A00259" w:rsidRDefault="00371282">
            <w:pPr>
              <w:pStyle w:val="P68B1DB1-Normal12"/>
              <w:spacing w:after="0" w:line="240" w:lineRule="auto"/>
              <w:rPr>
                <w:rFonts w:eastAsia="Times New Roman"/>
                <w:noProof/>
              </w:rPr>
            </w:pPr>
            <w:r>
              <w:rPr>
                <w:noProof/>
              </w:rPr>
              <w:t>120</w:t>
            </w:r>
          </w:p>
        </w:tc>
        <w:tc>
          <w:tcPr>
            <w:tcW w:w="1876" w:type="dxa"/>
            <w:shd w:val="clear" w:color="auto" w:fill="C6EFCE"/>
            <w:noWrap/>
          </w:tcPr>
          <w:p w14:paraId="45DFE9CD" w14:textId="1A10B394" w:rsidR="00A00259" w:rsidRDefault="00371282">
            <w:pPr>
              <w:pStyle w:val="P68B1DB1-Normal12"/>
              <w:spacing w:after="0" w:line="240" w:lineRule="auto"/>
              <w:rPr>
                <w:rFonts w:eastAsia="Times New Roman"/>
                <w:noProof/>
              </w:rPr>
            </w:pPr>
            <w:r>
              <w:rPr>
                <w:noProof/>
              </w:rPr>
              <w:t>6 - 2.2. Moderniser - 16824_E-Registres</w:t>
            </w:r>
          </w:p>
        </w:tc>
        <w:tc>
          <w:tcPr>
            <w:tcW w:w="1090" w:type="dxa"/>
            <w:shd w:val="clear" w:color="auto" w:fill="C6EFCE"/>
            <w:noWrap/>
          </w:tcPr>
          <w:p w14:paraId="3A1943C0" w14:textId="77777777" w:rsidR="00A00259" w:rsidRDefault="00371282">
            <w:pPr>
              <w:pStyle w:val="P68B1DB1-Normal12"/>
              <w:spacing w:after="0" w:line="240" w:lineRule="auto"/>
              <w:rPr>
                <w:rFonts w:eastAsia="Times New Roman"/>
                <w:noProof/>
              </w:rPr>
            </w:pPr>
            <w:r>
              <w:rPr>
                <w:noProof/>
              </w:rPr>
              <w:t>Étape</w:t>
            </w:r>
          </w:p>
        </w:tc>
        <w:tc>
          <w:tcPr>
            <w:tcW w:w="1422" w:type="dxa"/>
            <w:shd w:val="clear" w:color="auto" w:fill="C6EFCE"/>
            <w:noWrap/>
          </w:tcPr>
          <w:p w14:paraId="7648F443" w14:textId="62E2BA79" w:rsidR="00A00259" w:rsidRDefault="00371282">
            <w:pPr>
              <w:pStyle w:val="P68B1DB1-Normal12"/>
              <w:spacing w:after="0" w:line="240" w:lineRule="auto"/>
              <w:rPr>
                <w:rFonts w:eastAsia="Times New Roman"/>
                <w:noProof/>
              </w:rPr>
            </w:pPr>
            <w:r>
              <w:rPr>
                <w:noProof/>
              </w:rPr>
              <w:t>Livraison de registres électroniques et/ou de plateformes</w:t>
            </w:r>
          </w:p>
        </w:tc>
        <w:tc>
          <w:tcPr>
            <w:tcW w:w="1853" w:type="dxa"/>
            <w:shd w:val="clear" w:color="auto" w:fill="C6EFCE"/>
            <w:noWrap/>
          </w:tcPr>
          <w:p w14:paraId="67CFB489" w14:textId="4FAB0830" w:rsidR="00A00259" w:rsidRDefault="00371282">
            <w:pPr>
              <w:pStyle w:val="P68B1DB1-Normal12"/>
              <w:spacing w:after="0" w:line="240" w:lineRule="auto"/>
              <w:rPr>
                <w:noProof/>
              </w:rPr>
            </w:pPr>
            <w:r>
              <w:rPr>
                <w:noProof/>
              </w:rPr>
              <w:t>Livraison de registres électroniques et/ou de plateformes</w:t>
            </w:r>
          </w:p>
        </w:tc>
        <w:tc>
          <w:tcPr>
            <w:tcW w:w="1012" w:type="dxa"/>
            <w:shd w:val="clear" w:color="auto" w:fill="C6EFCE"/>
            <w:noWrap/>
          </w:tcPr>
          <w:p w14:paraId="264DD1E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127A2E2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7448B66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248B58E7"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10DE5F93" w14:textId="77777777" w:rsidR="00A00259" w:rsidRDefault="00371282">
            <w:pPr>
              <w:pStyle w:val="P68B1DB1-Normal12"/>
              <w:spacing w:after="0" w:line="240" w:lineRule="auto"/>
              <w:rPr>
                <w:rFonts w:eastAsia="Times New Roman"/>
                <w:noProof/>
              </w:rPr>
            </w:pPr>
            <w:r>
              <w:rPr>
                <w:noProof/>
              </w:rPr>
              <w:t>2025</w:t>
            </w:r>
          </w:p>
        </w:tc>
        <w:tc>
          <w:tcPr>
            <w:tcW w:w="3197" w:type="dxa"/>
            <w:shd w:val="clear" w:color="auto" w:fill="C6EFCE"/>
            <w:noWrap/>
          </w:tcPr>
          <w:p w14:paraId="3E055315" w14:textId="38FC7BFD" w:rsidR="00A00259" w:rsidRDefault="00371282">
            <w:pPr>
              <w:pStyle w:val="P68B1DB1-Normal12"/>
              <w:spacing w:after="0" w:line="240" w:lineRule="auto"/>
              <w:rPr>
                <w:rFonts w:eastAsia="Times New Roman"/>
                <w:noProof/>
              </w:rPr>
            </w:pPr>
            <w:r>
              <w:rPr>
                <w:noProof/>
              </w:rPr>
              <w:t>Livraison des registres électroniques et/ou des plateformes dans les domaines suivants: registre des citoyens, bien-être animal, infrastructures d’électromobilité, santé et sécurité sociale.</w:t>
            </w:r>
          </w:p>
        </w:tc>
      </w:tr>
    </w:tbl>
    <w:p w14:paraId="5E574E97" w14:textId="77777777" w:rsidR="00A00259" w:rsidRDefault="00A00259">
      <w:pPr>
        <w:spacing w:before="120" w:after="120" w:line="240" w:lineRule="auto"/>
        <w:ind w:left="709"/>
        <w:rPr>
          <w:rFonts w:ascii="Times New Roman" w:hAnsi="Times New Roman" w:cs="Times New Roman"/>
          <w:noProof/>
          <w:sz w:val="24"/>
        </w:rPr>
      </w:pPr>
    </w:p>
    <w:p w14:paraId="566EE260" w14:textId="77777777" w:rsidR="00A00259" w:rsidRDefault="00A00259">
      <w:pPr>
        <w:keepNext/>
        <w:keepLines/>
        <w:spacing w:before="40" w:after="0" w:line="240" w:lineRule="auto"/>
        <w:jc w:val="both"/>
        <w:outlineLvl w:val="4"/>
        <w:rPr>
          <w:rFonts w:ascii="Cambria" w:hAnsi="Cambria"/>
          <w:noProof/>
          <w:color w:val="365F91"/>
          <w:sz w:val="24"/>
        </w:rPr>
        <w:sectPr w:rsidR="00A00259">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76EF6FD0" w14:textId="77777777" w:rsidR="00A00259" w:rsidRDefault="00371282">
      <w:pPr>
        <w:pStyle w:val="P68B1DB1-Normal9"/>
        <w:keepNext/>
        <w:keepLines/>
        <w:spacing w:before="40" w:after="0" w:line="240" w:lineRule="auto"/>
        <w:jc w:val="both"/>
        <w:outlineLvl w:val="4"/>
        <w:rPr>
          <w:rFonts w:eastAsia="Times New Roman"/>
          <w:noProof/>
        </w:rPr>
      </w:pPr>
      <w:r>
        <w:rPr>
          <w:noProof/>
        </w:rPr>
        <w:t>Groupe 10: Initiatives liées à l’intégration des nouvelles technologies dans la transition numérique et la modernisation de l’administration publique</w:t>
      </w:r>
    </w:p>
    <w:p w14:paraId="5AA170D4" w14:textId="77777777" w:rsidR="00A00259" w:rsidRDefault="00371282">
      <w:pPr>
        <w:pStyle w:val="P68B1DB1-Normal5"/>
        <w:numPr>
          <w:ilvl w:val="0"/>
          <w:numId w:val="41"/>
        </w:numPr>
        <w:spacing w:before="120" w:after="0" w:line="240" w:lineRule="auto"/>
        <w:jc w:val="both"/>
        <w:rPr>
          <w:rFonts w:cs="Times New Roman"/>
          <w:noProof/>
        </w:rPr>
      </w:pPr>
      <w:r>
        <w:rPr>
          <w:noProof/>
        </w:rPr>
        <w:t>Intégration de nouvelles technologies et tendances vers les services avancés de l’administration publique, augmentation de l’efficience et de l’efficacité et diminution des coûts d’exploitation, de mise à niveau et de maintenance des systèmes (ID: 16928)</w:t>
      </w:r>
    </w:p>
    <w:p w14:paraId="7E724F00" w14:textId="77777777" w:rsidR="00A00259" w:rsidRDefault="00371282">
      <w:pPr>
        <w:pStyle w:val="P68B1DB1-Normal5"/>
        <w:numPr>
          <w:ilvl w:val="0"/>
          <w:numId w:val="41"/>
        </w:numPr>
        <w:spacing w:before="120" w:after="0" w:line="240" w:lineRule="auto"/>
        <w:jc w:val="both"/>
        <w:rPr>
          <w:rFonts w:cs="Times New Roman"/>
          <w:noProof/>
        </w:rPr>
      </w:pPr>
      <w:r>
        <w:rPr>
          <w:noProof/>
        </w:rPr>
        <w:t>Villes intelligentes (ID: 16854)</w:t>
      </w:r>
    </w:p>
    <w:p w14:paraId="024DB8FA" w14:textId="77777777" w:rsidR="00A00259" w:rsidRDefault="00371282">
      <w:pPr>
        <w:pStyle w:val="P68B1DB1-Normal5"/>
        <w:numPr>
          <w:ilvl w:val="0"/>
          <w:numId w:val="41"/>
        </w:numPr>
        <w:spacing w:before="120" w:after="0" w:line="240" w:lineRule="auto"/>
        <w:jc w:val="both"/>
        <w:rPr>
          <w:rFonts w:cs="Times New Roman"/>
          <w:noProof/>
        </w:rPr>
      </w:pPr>
      <w:r>
        <w:rPr>
          <w:noProof/>
        </w:rPr>
        <w:t>Fourniture d’infrastructures et de services centraux d’informatique en nuage (ID: 16853)</w:t>
      </w:r>
    </w:p>
    <w:p w14:paraId="7ABDF99A" w14:textId="77777777" w:rsidR="00A00259" w:rsidRDefault="00371282">
      <w:pPr>
        <w:pStyle w:val="P68B1DB1-Normal5"/>
        <w:numPr>
          <w:ilvl w:val="0"/>
          <w:numId w:val="41"/>
        </w:numPr>
        <w:spacing w:before="120" w:after="0" w:line="240" w:lineRule="auto"/>
        <w:jc w:val="both"/>
        <w:rPr>
          <w:rFonts w:cs="Times New Roman"/>
          <w:noProof/>
        </w:rPr>
      </w:pPr>
      <w:r>
        <w:rPr>
          <w:noProof/>
        </w:rPr>
        <w:t>Mise à niveau de l’infrastructure informatique en nuage et des services des infrastructures nationales de recherche et de technologie (GRNET) (ID: 16955)</w:t>
      </w:r>
    </w:p>
    <w:p w14:paraId="651D7E49" w14:textId="596C7D57" w:rsidR="00A00259" w:rsidRDefault="00371282">
      <w:pPr>
        <w:pStyle w:val="P68B1DB1-Normal5"/>
        <w:numPr>
          <w:ilvl w:val="0"/>
          <w:numId w:val="41"/>
        </w:numPr>
        <w:spacing w:before="120" w:after="0" w:line="240" w:lineRule="auto"/>
        <w:jc w:val="both"/>
        <w:rPr>
          <w:rFonts w:cs="Times New Roman"/>
          <w:noProof/>
        </w:rPr>
      </w:pPr>
      <w:r>
        <w:rPr>
          <w:noProof/>
        </w:rPr>
        <w:t>Extension de Syzefxis II (ID: 16956)</w:t>
      </w:r>
    </w:p>
    <w:p w14:paraId="2733A7BC" w14:textId="15DAA0C6" w:rsidR="00A00259" w:rsidRDefault="00371282">
      <w:pPr>
        <w:pStyle w:val="P68B1DB1-Normal7"/>
        <w:numPr>
          <w:ilvl w:val="0"/>
          <w:numId w:val="41"/>
        </w:numPr>
        <w:spacing w:before="120" w:after="0" w:line="240" w:lineRule="auto"/>
        <w:jc w:val="both"/>
        <w:rPr>
          <w:noProof/>
        </w:rPr>
      </w:pPr>
      <w:r>
        <w:rPr>
          <w:noProof/>
        </w:rPr>
        <w:t>BI centrale - Analyse des données (ID: 16842)</w:t>
      </w:r>
    </w:p>
    <w:p w14:paraId="5E906CCD" w14:textId="41A20D81" w:rsidR="00A00259" w:rsidRDefault="00371282">
      <w:pPr>
        <w:pStyle w:val="NormalWeb"/>
        <w:numPr>
          <w:ilvl w:val="0"/>
          <w:numId w:val="41"/>
        </w:numPr>
        <w:spacing w:before="120" w:after="0" w:line="240" w:lineRule="auto"/>
        <w:jc w:val="both"/>
        <w:rPr>
          <w:noProof/>
        </w:rPr>
      </w:pPr>
      <w:r>
        <w:rPr>
          <w:noProof/>
        </w:rPr>
        <w:t>Contribution volontaire à l’entreprise commune EuroHPC (ID: 16859)</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
        <w:gridCol w:w="2072"/>
        <w:gridCol w:w="1134"/>
        <w:gridCol w:w="1417"/>
        <w:gridCol w:w="1701"/>
        <w:gridCol w:w="1322"/>
        <w:gridCol w:w="1134"/>
        <w:gridCol w:w="993"/>
        <w:gridCol w:w="1076"/>
        <w:gridCol w:w="766"/>
        <w:gridCol w:w="3398"/>
      </w:tblGrid>
      <w:tr w:rsidR="00A00259" w14:paraId="0D70AE79" w14:textId="77777777">
        <w:trPr>
          <w:trHeight w:val="939"/>
          <w:tblHeader/>
          <w:jc w:val="center"/>
        </w:trPr>
        <w:tc>
          <w:tcPr>
            <w:tcW w:w="575" w:type="dxa"/>
            <w:vMerge w:val="restart"/>
            <w:shd w:val="clear" w:color="auto" w:fill="BDD7EE"/>
            <w:vAlign w:val="center"/>
            <w:hideMark/>
          </w:tcPr>
          <w:p w14:paraId="03B69245"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Seq. </w:t>
            </w:r>
            <w:r>
              <w:rPr>
                <w:noProof/>
              </w:rPr>
              <w:br/>
              <w:t>Non.</w:t>
            </w:r>
          </w:p>
        </w:tc>
        <w:tc>
          <w:tcPr>
            <w:tcW w:w="2072" w:type="dxa"/>
            <w:vMerge w:val="restart"/>
            <w:shd w:val="clear" w:color="auto" w:fill="BDD7EE"/>
            <w:vAlign w:val="center"/>
            <w:hideMark/>
          </w:tcPr>
          <w:p w14:paraId="0E1612AC" w14:textId="77777777" w:rsidR="00A00259" w:rsidRDefault="00371282">
            <w:pPr>
              <w:pStyle w:val="P68B1DB1-Normal15"/>
              <w:spacing w:after="0" w:line="240" w:lineRule="auto"/>
              <w:jc w:val="center"/>
              <w:rPr>
                <w:noProof/>
              </w:rPr>
            </w:pPr>
            <w:r>
              <w:rPr>
                <w:noProof/>
              </w:rPr>
              <w:t xml:space="preserve">Mesure connexe </w:t>
            </w:r>
          </w:p>
          <w:p w14:paraId="7FD70D66" w14:textId="77777777" w:rsidR="00A00259" w:rsidRDefault="00371282">
            <w:pPr>
              <w:pStyle w:val="P68B1DB1-Normal15"/>
              <w:spacing w:after="0" w:line="240" w:lineRule="auto"/>
              <w:jc w:val="center"/>
              <w:rPr>
                <w:rFonts w:eastAsia="Times New Roman"/>
                <w:bCs/>
                <w:noProof/>
              </w:rPr>
            </w:pPr>
            <w:r>
              <w:rPr>
                <w:noProof/>
              </w:rPr>
              <w:t>(Réforme ou investissement)</w:t>
            </w:r>
          </w:p>
        </w:tc>
        <w:tc>
          <w:tcPr>
            <w:tcW w:w="1134" w:type="dxa"/>
            <w:vMerge w:val="restart"/>
            <w:shd w:val="clear" w:color="auto" w:fill="BDD7EE"/>
            <w:vAlign w:val="center"/>
            <w:hideMark/>
          </w:tcPr>
          <w:p w14:paraId="7829F5BE" w14:textId="77777777" w:rsidR="00A00259" w:rsidRDefault="00371282">
            <w:pPr>
              <w:pStyle w:val="P68B1DB1-Normal15"/>
              <w:spacing w:after="0" w:line="240" w:lineRule="auto"/>
              <w:jc w:val="center"/>
              <w:rPr>
                <w:rFonts w:eastAsia="Times New Roman"/>
                <w:bCs/>
                <w:noProof/>
              </w:rPr>
            </w:pPr>
            <w:r>
              <w:rPr>
                <w:noProof/>
              </w:rPr>
              <w:t>Étape/cible</w:t>
            </w:r>
          </w:p>
        </w:tc>
        <w:tc>
          <w:tcPr>
            <w:tcW w:w="1417" w:type="dxa"/>
            <w:vMerge w:val="restart"/>
            <w:shd w:val="clear" w:color="auto" w:fill="BDD7EE"/>
            <w:vAlign w:val="center"/>
            <w:hideMark/>
          </w:tcPr>
          <w:p w14:paraId="7CC5653E" w14:textId="77777777" w:rsidR="00A00259" w:rsidRDefault="00371282">
            <w:pPr>
              <w:pStyle w:val="P68B1DB1-Normal15"/>
              <w:spacing w:after="0" w:line="240" w:lineRule="auto"/>
              <w:jc w:val="center"/>
              <w:rPr>
                <w:rFonts w:eastAsia="Times New Roman"/>
                <w:bCs/>
                <w:noProof/>
              </w:rPr>
            </w:pPr>
            <w:r>
              <w:rPr>
                <w:noProof/>
              </w:rPr>
              <w:t>Nom</w:t>
            </w:r>
          </w:p>
        </w:tc>
        <w:tc>
          <w:tcPr>
            <w:tcW w:w="1701" w:type="dxa"/>
            <w:vMerge w:val="restart"/>
            <w:shd w:val="clear" w:color="auto" w:fill="BDD7EE"/>
            <w:vAlign w:val="center"/>
            <w:hideMark/>
          </w:tcPr>
          <w:p w14:paraId="3BC9F907" w14:textId="77777777" w:rsidR="00A00259" w:rsidRDefault="00371282">
            <w:pPr>
              <w:pStyle w:val="P68B1DB1-Normal15"/>
              <w:spacing w:after="0" w:line="240" w:lineRule="auto"/>
              <w:jc w:val="center"/>
              <w:rPr>
                <w:rFonts w:eastAsia="Times New Roman"/>
                <w:bCs/>
                <w:noProof/>
              </w:rPr>
            </w:pPr>
            <w:r>
              <w:rPr>
                <w:noProof/>
              </w:rPr>
              <w:t>Indicateurs qualitatifs (pour les jalons)</w:t>
            </w:r>
          </w:p>
        </w:tc>
        <w:tc>
          <w:tcPr>
            <w:tcW w:w="3449" w:type="dxa"/>
            <w:gridSpan w:val="3"/>
            <w:shd w:val="clear" w:color="auto" w:fill="BDD7EE"/>
            <w:vAlign w:val="center"/>
            <w:hideMark/>
          </w:tcPr>
          <w:p w14:paraId="4E6364F9" w14:textId="1A4DF2A8" w:rsidR="00A00259" w:rsidRDefault="00371282">
            <w:pPr>
              <w:pStyle w:val="P68B1DB1-Normal15"/>
              <w:spacing w:after="0" w:line="240" w:lineRule="auto"/>
              <w:jc w:val="center"/>
              <w:rPr>
                <w:rFonts w:eastAsia="Times New Roman"/>
                <w:bCs/>
                <w:noProof/>
              </w:rPr>
            </w:pPr>
            <w:r>
              <w:rPr>
                <w:noProof/>
              </w:rPr>
              <w:t>Indicateurs quantitatifs (pour les objectifs)</w:t>
            </w:r>
          </w:p>
        </w:tc>
        <w:tc>
          <w:tcPr>
            <w:tcW w:w="1842" w:type="dxa"/>
            <w:gridSpan w:val="2"/>
            <w:shd w:val="clear" w:color="auto" w:fill="BDD7EE"/>
            <w:vAlign w:val="center"/>
            <w:hideMark/>
          </w:tcPr>
          <w:p w14:paraId="56257FB8" w14:textId="77777777" w:rsidR="00A00259" w:rsidRDefault="00371282">
            <w:pPr>
              <w:pStyle w:val="P68B1DB1-Normal15"/>
              <w:spacing w:after="0" w:line="240" w:lineRule="auto"/>
              <w:jc w:val="center"/>
              <w:rPr>
                <w:rFonts w:eastAsia="Times New Roman"/>
                <w:bCs/>
                <w:noProof/>
              </w:rPr>
            </w:pPr>
            <w:r>
              <w:rPr>
                <w:noProof/>
              </w:rPr>
              <w:t xml:space="preserve">Calendrier indicatif d'achèvement </w:t>
            </w:r>
          </w:p>
        </w:tc>
        <w:tc>
          <w:tcPr>
            <w:tcW w:w="3398" w:type="dxa"/>
            <w:vMerge w:val="restart"/>
            <w:shd w:val="clear" w:color="auto" w:fill="BDD7EE"/>
            <w:vAlign w:val="center"/>
            <w:hideMark/>
          </w:tcPr>
          <w:p w14:paraId="77A198D2" w14:textId="77777777" w:rsidR="00A00259" w:rsidRDefault="00371282">
            <w:pPr>
              <w:pStyle w:val="P68B1DB1-Normal15"/>
              <w:spacing w:after="0" w:line="240" w:lineRule="auto"/>
              <w:jc w:val="center"/>
              <w:rPr>
                <w:rFonts w:eastAsia="Times New Roman"/>
                <w:bCs/>
                <w:noProof/>
              </w:rPr>
            </w:pPr>
            <w:r>
              <w:rPr>
                <w:noProof/>
              </w:rPr>
              <w:t>Description de chaque jalon et cible</w:t>
            </w:r>
          </w:p>
        </w:tc>
      </w:tr>
      <w:tr w:rsidR="00A00259" w14:paraId="00FB30A9" w14:textId="77777777" w:rsidTr="00CE3F9A">
        <w:trPr>
          <w:trHeight w:val="356"/>
          <w:tblHeader/>
          <w:jc w:val="center"/>
        </w:trPr>
        <w:tc>
          <w:tcPr>
            <w:tcW w:w="575" w:type="dxa"/>
            <w:vMerge/>
            <w:vAlign w:val="center"/>
            <w:hideMark/>
          </w:tcPr>
          <w:p w14:paraId="36E206F0" w14:textId="77777777" w:rsidR="00A00259" w:rsidRDefault="00A00259">
            <w:pPr>
              <w:spacing w:after="0" w:line="240" w:lineRule="auto"/>
              <w:rPr>
                <w:rFonts w:ascii="Times New Roman" w:eastAsia="Times New Roman" w:hAnsi="Times New Roman" w:cs="Times New Roman"/>
                <w:b/>
                <w:noProof/>
                <w:sz w:val="18"/>
                <w:szCs w:val="18"/>
              </w:rPr>
            </w:pPr>
          </w:p>
        </w:tc>
        <w:tc>
          <w:tcPr>
            <w:tcW w:w="2072" w:type="dxa"/>
            <w:vMerge/>
            <w:vAlign w:val="center"/>
            <w:hideMark/>
          </w:tcPr>
          <w:p w14:paraId="1830FAC2" w14:textId="77777777" w:rsidR="00A00259" w:rsidRDefault="00A00259">
            <w:pPr>
              <w:spacing w:after="0" w:line="240" w:lineRule="auto"/>
              <w:rPr>
                <w:rFonts w:ascii="Times New Roman" w:eastAsia="Times New Roman" w:hAnsi="Times New Roman" w:cs="Times New Roman"/>
                <w:b/>
                <w:noProof/>
                <w:sz w:val="18"/>
                <w:szCs w:val="18"/>
              </w:rPr>
            </w:pPr>
          </w:p>
        </w:tc>
        <w:tc>
          <w:tcPr>
            <w:tcW w:w="1134" w:type="dxa"/>
            <w:vMerge/>
            <w:vAlign w:val="center"/>
            <w:hideMark/>
          </w:tcPr>
          <w:p w14:paraId="2A10A897" w14:textId="77777777" w:rsidR="00A00259" w:rsidRDefault="00A00259">
            <w:pPr>
              <w:spacing w:after="0" w:line="240" w:lineRule="auto"/>
              <w:rPr>
                <w:rFonts w:ascii="Times New Roman" w:eastAsia="Times New Roman" w:hAnsi="Times New Roman" w:cs="Times New Roman"/>
                <w:b/>
                <w:noProof/>
                <w:sz w:val="18"/>
                <w:szCs w:val="18"/>
              </w:rPr>
            </w:pPr>
          </w:p>
        </w:tc>
        <w:tc>
          <w:tcPr>
            <w:tcW w:w="1417" w:type="dxa"/>
            <w:vMerge/>
            <w:vAlign w:val="center"/>
            <w:hideMark/>
          </w:tcPr>
          <w:p w14:paraId="5C20609A" w14:textId="77777777" w:rsidR="00A00259" w:rsidRDefault="00A00259">
            <w:pPr>
              <w:spacing w:after="0" w:line="240" w:lineRule="auto"/>
              <w:rPr>
                <w:rFonts w:ascii="Times New Roman" w:eastAsia="Times New Roman" w:hAnsi="Times New Roman" w:cs="Times New Roman"/>
                <w:b/>
                <w:noProof/>
                <w:sz w:val="18"/>
                <w:szCs w:val="18"/>
              </w:rPr>
            </w:pPr>
          </w:p>
        </w:tc>
        <w:tc>
          <w:tcPr>
            <w:tcW w:w="1701" w:type="dxa"/>
            <w:vMerge/>
            <w:vAlign w:val="center"/>
            <w:hideMark/>
          </w:tcPr>
          <w:p w14:paraId="6126D32D" w14:textId="77777777" w:rsidR="00A00259" w:rsidRDefault="00A00259">
            <w:pPr>
              <w:spacing w:after="0" w:line="240" w:lineRule="auto"/>
              <w:rPr>
                <w:rFonts w:ascii="Times New Roman" w:eastAsia="Times New Roman" w:hAnsi="Times New Roman" w:cs="Times New Roman"/>
                <w:b/>
                <w:noProof/>
                <w:sz w:val="18"/>
                <w:szCs w:val="18"/>
              </w:rPr>
            </w:pPr>
          </w:p>
        </w:tc>
        <w:tc>
          <w:tcPr>
            <w:tcW w:w="1322" w:type="dxa"/>
            <w:shd w:val="clear" w:color="auto" w:fill="BDD7EE"/>
            <w:vAlign w:val="center"/>
            <w:hideMark/>
          </w:tcPr>
          <w:p w14:paraId="29806062" w14:textId="77777777" w:rsidR="00A00259" w:rsidRDefault="00371282">
            <w:pPr>
              <w:pStyle w:val="P68B1DB1-Normal15"/>
              <w:spacing w:after="0" w:line="240" w:lineRule="auto"/>
              <w:jc w:val="center"/>
              <w:rPr>
                <w:rFonts w:eastAsia="Times New Roman"/>
                <w:bCs/>
                <w:noProof/>
              </w:rPr>
            </w:pPr>
            <w:r>
              <w:rPr>
                <w:noProof/>
              </w:rPr>
              <w:t>Unité de mesure</w:t>
            </w:r>
          </w:p>
        </w:tc>
        <w:tc>
          <w:tcPr>
            <w:tcW w:w="1134" w:type="dxa"/>
            <w:shd w:val="clear" w:color="auto" w:fill="BDD7EE"/>
            <w:vAlign w:val="center"/>
            <w:hideMark/>
          </w:tcPr>
          <w:p w14:paraId="3CFE4CD2" w14:textId="77777777" w:rsidR="00A00259" w:rsidRDefault="00371282">
            <w:pPr>
              <w:pStyle w:val="P68B1DB1-Normal15"/>
              <w:spacing w:after="0" w:line="240" w:lineRule="auto"/>
              <w:jc w:val="center"/>
              <w:rPr>
                <w:rFonts w:eastAsia="Times New Roman"/>
                <w:bCs/>
                <w:noProof/>
              </w:rPr>
            </w:pPr>
            <w:r>
              <w:rPr>
                <w:noProof/>
              </w:rPr>
              <w:t xml:space="preserve">Données de référence </w:t>
            </w:r>
          </w:p>
        </w:tc>
        <w:tc>
          <w:tcPr>
            <w:tcW w:w="993" w:type="dxa"/>
            <w:shd w:val="clear" w:color="auto" w:fill="BDD7EE"/>
            <w:vAlign w:val="center"/>
            <w:hideMark/>
          </w:tcPr>
          <w:p w14:paraId="02D5D721" w14:textId="77777777" w:rsidR="00A00259" w:rsidRDefault="00371282">
            <w:pPr>
              <w:pStyle w:val="P68B1DB1-Normal15"/>
              <w:spacing w:after="0" w:line="240" w:lineRule="auto"/>
              <w:jc w:val="center"/>
              <w:rPr>
                <w:rFonts w:eastAsia="Times New Roman"/>
                <w:bCs/>
                <w:noProof/>
              </w:rPr>
            </w:pPr>
            <w:r>
              <w:rPr>
                <w:noProof/>
              </w:rPr>
              <w:t xml:space="preserve">Objectif </w:t>
            </w:r>
          </w:p>
        </w:tc>
        <w:tc>
          <w:tcPr>
            <w:tcW w:w="1076" w:type="dxa"/>
            <w:shd w:val="clear" w:color="auto" w:fill="BDD7EE"/>
            <w:vAlign w:val="center"/>
            <w:hideMark/>
          </w:tcPr>
          <w:p w14:paraId="60AAC15D" w14:textId="77777777" w:rsidR="00A00259" w:rsidRDefault="00371282">
            <w:pPr>
              <w:pStyle w:val="P68B1DB1-Normal15"/>
              <w:spacing w:after="0" w:line="240" w:lineRule="auto"/>
              <w:jc w:val="center"/>
              <w:rPr>
                <w:rFonts w:eastAsia="Times New Roman"/>
                <w:bCs/>
                <w:noProof/>
              </w:rPr>
            </w:pPr>
            <w:r>
              <w:rPr>
                <w:noProof/>
              </w:rPr>
              <w:t>Trimestre</w:t>
            </w:r>
          </w:p>
        </w:tc>
        <w:tc>
          <w:tcPr>
            <w:tcW w:w="766" w:type="dxa"/>
            <w:shd w:val="clear" w:color="auto" w:fill="BDD7EE"/>
            <w:vAlign w:val="center"/>
          </w:tcPr>
          <w:p w14:paraId="11C8E55B" w14:textId="77777777" w:rsidR="00A00259" w:rsidRDefault="00371282">
            <w:pPr>
              <w:pStyle w:val="P68B1DB1-Normal15"/>
              <w:spacing w:after="0" w:line="240" w:lineRule="auto"/>
              <w:jc w:val="center"/>
              <w:rPr>
                <w:rFonts w:eastAsia="Times New Roman"/>
                <w:bCs/>
                <w:noProof/>
              </w:rPr>
            </w:pPr>
            <w:r>
              <w:rPr>
                <w:noProof/>
              </w:rPr>
              <w:t>Année</w:t>
            </w:r>
          </w:p>
        </w:tc>
        <w:tc>
          <w:tcPr>
            <w:tcW w:w="3398" w:type="dxa"/>
            <w:vMerge/>
            <w:vAlign w:val="center"/>
            <w:hideMark/>
          </w:tcPr>
          <w:p w14:paraId="631392FF" w14:textId="77777777" w:rsidR="00A00259" w:rsidRDefault="00A00259">
            <w:pPr>
              <w:spacing w:after="0" w:line="240" w:lineRule="auto"/>
              <w:ind w:right="690"/>
              <w:rPr>
                <w:rFonts w:ascii="Times New Roman" w:eastAsia="Times New Roman" w:hAnsi="Times New Roman" w:cs="Times New Roman"/>
                <w:b/>
                <w:noProof/>
                <w:sz w:val="18"/>
                <w:szCs w:val="18"/>
              </w:rPr>
            </w:pPr>
          </w:p>
        </w:tc>
      </w:tr>
      <w:tr w:rsidR="00A00259" w14:paraId="0C11699B" w14:textId="77777777" w:rsidTr="00CE3F9A">
        <w:trPr>
          <w:trHeight w:val="313"/>
          <w:jc w:val="center"/>
        </w:trPr>
        <w:tc>
          <w:tcPr>
            <w:tcW w:w="575" w:type="dxa"/>
            <w:shd w:val="clear" w:color="auto" w:fill="C6EFCE"/>
            <w:noWrap/>
          </w:tcPr>
          <w:p w14:paraId="3F8665B6" w14:textId="77777777" w:rsidR="00A00259" w:rsidRDefault="00371282">
            <w:pPr>
              <w:pStyle w:val="P68B1DB1-Normal12"/>
              <w:spacing w:after="0" w:line="240" w:lineRule="auto"/>
              <w:rPr>
                <w:rFonts w:eastAsia="Times New Roman"/>
                <w:noProof/>
              </w:rPr>
            </w:pPr>
            <w:r>
              <w:rPr>
                <w:noProof/>
              </w:rPr>
              <w:t>121</w:t>
            </w:r>
          </w:p>
        </w:tc>
        <w:tc>
          <w:tcPr>
            <w:tcW w:w="2072" w:type="dxa"/>
            <w:shd w:val="clear" w:color="auto" w:fill="C6EFCE"/>
            <w:noWrap/>
          </w:tcPr>
          <w:p w14:paraId="21F8D84D" w14:textId="77777777" w:rsidR="00A00259" w:rsidRDefault="00371282">
            <w:pPr>
              <w:pStyle w:val="P68B1DB1-Normal12"/>
              <w:spacing w:after="0" w:line="240" w:lineRule="auto"/>
              <w:rPr>
                <w:rFonts w:eastAsia="Times New Roman"/>
                <w:noProof/>
              </w:rPr>
            </w:pPr>
            <w:r>
              <w:rPr>
                <w:noProof/>
              </w:rPr>
              <w:t>6 - 2.2. Moderniser - 16842_Central BI - Analyse de données</w:t>
            </w:r>
          </w:p>
        </w:tc>
        <w:tc>
          <w:tcPr>
            <w:tcW w:w="1134" w:type="dxa"/>
            <w:shd w:val="clear" w:color="auto" w:fill="C6EFCE"/>
            <w:noWrap/>
          </w:tcPr>
          <w:p w14:paraId="628ED777" w14:textId="77777777" w:rsidR="00A00259" w:rsidRDefault="00371282">
            <w:pPr>
              <w:pStyle w:val="P68B1DB1-Normal12"/>
              <w:spacing w:after="0" w:line="240" w:lineRule="auto"/>
              <w:rPr>
                <w:rFonts w:eastAsia="Times New Roman"/>
                <w:noProof/>
              </w:rPr>
            </w:pPr>
            <w:r>
              <w:rPr>
                <w:noProof/>
              </w:rPr>
              <w:t>Étape</w:t>
            </w:r>
          </w:p>
        </w:tc>
        <w:tc>
          <w:tcPr>
            <w:tcW w:w="1417" w:type="dxa"/>
            <w:shd w:val="clear" w:color="auto" w:fill="C6EFCE"/>
            <w:noWrap/>
          </w:tcPr>
          <w:p w14:paraId="1CECD3BD" w14:textId="77777777" w:rsidR="00A00259" w:rsidRDefault="00371282">
            <w:pPr>
              <w:pStyle w:val="P68B1DB1-Normal12"/>
              <w:spacing w:after="0" w:line="240" w:lineRule="auto"/>
              <w:rPr>
                <w:rFonts w:eastAsia="Times New Roman"/>
                <w:noProof/>
              </w:rPr>
            </w:pPr>
            <w:r>
              <w:rPr>
                <w:noProof/>
              </w:rPr>
              <w:t xml:space="preserve">Attribution du marché Central Business Intelligence (BI) </w:t>
            </w:r>
          </w:p>
        </w:tc>
        <w:tc>
          <w:tcPr>
            <w:tcW w:w="1701" w:type="dxa"/>
            <w:shd w:val="clear" w:color="auto" w:fill="C6EFCE"/>
            <w:noWrap/>
          </w:tcPr>
          <w:p w14:paraId="4483B587" w14:textId="77777777" w:rsidR="00A00259" w:rsidRDefault="00371282">
            <w:pPr>
              <w:pStyle w:val="P68B1DB1-Normal12"/>
              <w:spacing w:after="0" w:line="240" w:lineRule="auto"/>
              <w:rPr>
                <w:rFonts w:eastAsia="Times New Roman"/>
                <w:noProof/>
              </w:rPr>
            </w:pPr>
            <w:r>
              <w:rPr>
                <w:noProof/>
              </w:rPr>
              <w:t>Notification de l'attribution du marché</w:t>
            </w:r>
          </w:p>
        </w:tc>
        <w:tc>
          <w:tcPr>
            <w:tcW w:w="1322" w:type="dxa"/>
            <w:shd w:val="clear" w:color="auto" w:fill="C6EFCE"/>
            <w:noWrap/>
          </w:tcPr>
          <w:p w14:paraId="0BD7DAE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72F5A81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553F0BF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76" w:type="dxa"/>
            <w:shd w:val="clear" w:color="auto" w:fill="C6EFCE"/>
            <w:noWrap/>
          </w:tcPr>
          <w:p w14:paraId="6EBBF699" w14:textId="77777777" w:rsidR="00A00259" w:rsidRDefault="00371282">
            <w:pPr>
              <w:pStyle w:val="P68B1DB1-Normal12"/>
              <w:spacing w:after="0" w:line="240" w:lineRule="auto"/>
              <w:rPr>
                <w:rFonts w:eastAsia="Times New Roman"/>
                <w:noProof/>
              </w:rPr>
            </w:pPr>
            <w:r>
              <w:rPr>
                <w:noProof/>
              </w:rPr>
              <w:t>T4</w:t>
            </w:r>
          </w:p>
        </w:tc>
        <w:tc>
          <w:tcPr>
            <w:tcW w:w="766" w:type="dxa"/>
            <w:shd w:val="clear" w:color="auto" w:fill="C6EFCE"/>
            <w:noWrap/>
          </w:tcPr>
          <w:p w14:paraId="3BF037EE" w14:textId="77777777" w:rsidR="00A00259" w:rsidRDefault="00371282">
            <w:pPr>
              <w:pStyle w:val="P68B1DB1-Normal12"/>
              <w:spacing w:after="0" w:line="240" w:lineRule="auto"/>
              <w:rPr>
                <w:rFonts w:eastAsia="Times New Roman"/>
                <w:noProof/>
              </w:rPr>
            </w:pPr>
            <w:r>
              <w:rPr>
                <w:noProof/>
              </w:rPr>
              <w:t>2022</w:t>
            </w:r>
          </w:p>
        </w:tc>
        <w:tc>
          <w:tcPr>
            <w:tcW w:w="3398" w:type="dxa"/>
            <w:shd w:val="clear" w:color="auto" w:fill="C6EFCE"/>
            <w:noWrap/>
          </w:tcPr>
          <w:p w14:paraId="099E721E" w14:textId="77777777" w:rsidR="00A00259" w:rsidRDefault="00371282">
            <w:pPr>
              <w:pStyle w:val="P68B1DB1-Normal12"/>
              <w:spacing w:after="0" w:line="240" w:lineRule="auto"/>
              <w:rPr>
                <w:rFonts w:eastAsia="Times New Roman"/>
                <w:noProof/>
              </w:rPr>
            </w:pPr>
            <w:r>
              <w:rPr>
                <w:noProof/>
              </w:rPr>
              <w:t>Le ministère de la Gouvernance numérique attribue un contrat pour Central BI - Data. Analytique, qui couvre:</w:t>
            </w:r>
          </w:p>
          <w:p w14:paraId="1E8C9569" w14:textId="77777777" w:rsidR="00A00259" w:rsidRDefault="00371282">
            <w:pPr>
              <w:pStyle w:val="P68B1DB1-Normal16"/>
              <w:spacing w:after="0" w:line="240" w:lineRule="auto"/>
              <w:ind w:left="383" w:hanging="284"/>
              <w:rPr>
                <w:rFonts w:eastAsia="Times New Roman"/>
                <w:noProof/>
                <w:color w:val="006100"/>
              </w:rPr>
            </w:pPr>
            <w:r>
              <w:rPr>
                <w:noProof/>
                <w:color w:val="006100"/>
              </w:rPr>
              <w:t>a)</w:t>
            </w:r>
            <w:r>
              <w:rPr>
                <w:noProof/>
              </w:rPr>
              <w:t xml:space="preserve"> </w:t>
            </w:r>
            <w:r>
              <w:rPr>
                <w:noProof/>
                <w:color w:val="006100"/>
              </w:rPr>
              <w:t>Développement et validation d'un cadre de gouvernance des données, Data Dictionary &amp; identification des indicateurs de performance clés</w:t>
            </w:r>
          </w:p>
          <w:p w14:paraId="124C8C94" w14:textId="77777777" w:rsidR="00A00259" w:rsidRDefault="00371282">
            <w:pPr>
              <w:pStyle w:val="P68B1DB1-Normal16"/>
              <w:spacing w:after="0" w:line="240" w:lineRule="auto"/>
              <w:ind w:left="383" w:hanging="284"/>
              <w:rPr>
                <w:rFonts w:eastAsia="Times New Roman"/>
                <w:noProof/>
                <w:color w:val="006100"/>
              </w:rPr>
            </w:pPr>
            <w:r>
              <w:rPr>
                <w:noProof/>
                <w:color w:val="006100"/>
              </w:rPr>
              <w:t>b)</w:t>
            </w:r>
            <w:r>
              <w:rPr>
                <w:noProof/>
              </w:rPr>
              <w:t xml:space="preserve"> </w:t>
            </w:r>
            <w:r>
              <w:rPr>
                <w:noProof/>
                <w:color w:val="006100"/>
              </w:rPr>
              <w:t>Identification des indicateurs de performance clés</w:t>
            </w:r>
          </w:p>
          <w:p w14:paraId="1DB9BC6B" w14:textId="77777777" w:rsidR="00A00259" w:rsidRDefault="00371282">
            <w:pPr>
              <w:pStyle w:val="P68B1DB1-Normal16"/>
              <w:spacing w:after="0" w:line="240" w:lineRule="auto"/>
              <w:ind w:left="383" w:hanging="284"/>
              <w:rPr>
                <w:rFonts w:eastAsia="Times New Roman"/>
                <w:noProof/>
                <w:color w:val="006100"/>
              </w:rPr>
            </w:pPr>
            <w:r>
              <w:rPr>
                <w:noProof/>
                <w:color w:val="006100"/>
              </w:rPr>
              <w:t>c)</w:t>
            </w:r>
            <w:r>
              <w:rPr>
                <w:noProof/>
              </w:rPr>
              <w:t xml:space="preserve"> </w:t>
            </w:r>
            <w:r>
              <w:rPr>
                <w:noProof/>
                <w:color w:val="006100"/>
              </w:rPr>
              <w:t>Dictionnaire de données</w:t>
            </w:r>
          </w:p>
          <w:p w14:paraId="797E269D" w14:textId="77777777" w:rsidR="00A00259" w:rsidRDefault="00371282">
            <w:pPr>
              <w:pStyle w:val="P68B1DB1-Normal16"/>
              <w:spacing w:after="0" w:line="240" w:lineRule="auto"/>
              <w:ind w:left="383" w:hanging="284"/>
              <w:rPr>
                <w:rFonts w:eastAsia="Times New Roman"/>
                <w:noProof/>
                <w:color w:val="006100"/>
              </w:rPr>
            </w:pPr>
            <w:r>
              <w:rPr>
                <w:noProof/>
                <w:color w:val="006100"/>
              </w:rPr>
              <w:t>d)</w:t>
            </w:r>
            <w:r>
              <w:rPr>
                <w:noProof/>
              </w:rPr>
              <w:t xml:space="preserve"> </w:t>
            </w:r>
            <w:r>
              <w:rPr>
                <w:noProof/>
                <w:color w:val="006100"/>
              </w:rPr>
              <w:t>Cadre de gouvernance des données</w:t>
            </w:r>
          </w:p>
          <w:p w14:paraId="779C5BC1" w14:textId="77777777" w:rsidR="00A00259" w:rsidRDefault="00371282">
            <w:pPr>
              <w:pStyle w:val="P68B1DB1-Normal16"/>
              <w:spacing w:after="0" w:line="240" w:lineRule="auto"/>
              <w:ind w:left="383" w:hanging="284"/>
              <w:rPr>
                <w:rFonts w:eastAsia="Times New Roman"/>
                <w:noProof/>
                <w:color w:val="006100"/>
              </w:rPr>
            </w:pPr>
            <w:r>
              <w:rPr>
                <w:noProof/>
                <w:color w:val="006100"/>
              </w:rPr>
              <w:t>e)</w:t>
            </w:r>
            <w:r>
              <w:rPr>
                <w:noProof/>
              </w:rPr>
              <w:t xml:space="preserve"> </w:t>
            </w:r>
            <w:r>
              <w:rPr>
                <w:noProof/>
                <w:color w:val="006100"/>
              </w:rPr>
              <w:t>Concevoir l'approche architecturale &amp; Points d'intégration</w:t>
            </w:r>
          </w:p>
          <w:p w14:paraId="4478EBBB" w14:textId="77777777" w:rsidR="00A00259" w:rsidRDefault="00371282">
            <w:pPr>
              <w:pStyle w:val="P68B1DB1-Normal16"/>
              <w:spacing w:after="0" w:line="240" w:lineRule="auto"/>
              <w:ind w:left="383" w:hanging="284"/>
              <w:rPr>
                <w:rFonts w:eastAsia="Times New Roman"/>
                <w:noProof/>
                <w:color w:val="006100"/>
              </w:rPr>
            </w:pPr>
            <w:r>
              <w:rPr>
                <w:noProof/>
                <w:color w:val="006100"/>
              </w:rPr>
              <w:t>f)</w:t>
            </w:r>
            <w:r>
              <w:rPr>
                <w:noProof/>
              </w:rPr>
              <w:t xml:space="preserve"> </w:t>
            </w:r>
            <w:r>
              <w:rPr>
                <w:noProof/>
                <w:color w:val="006100"/>
              </w:rPr>
              <w:t>Configuration de l'entrepôt de données</w:t>
            </w:r>
          </w:p>
          <w:p w14:paraId="6DF83F12" w14:textId="77777777" w:rsidR="00A00259" w:rsidRDefault="00371282">
            <w:pPr>
              <w:pStyle w:val="P68B1DB1-Normal16"/>
              <w:spacing w:after="0" w:line="240" w:lineRule="auto"/>
              <w:ind w:left="383" w:hanging="284"/>
              <w:rPr>
                <w:rFonts w:eastAsia="Times New Roman"/>
                <w:noProof/>
                <w:color w:val="006100"/>
              </w:rPr>
            </w:pPr>
            <w:r>
              <w:rPr>
                <w:noProof/>
                <w:color w:val="006100"/>
              </w:rPr>
              <w:t>g)</w:t>
            </w:r>
            <w:r>
              <w:rPr>
                <w:noProof/>
              </w:rPr>
              <w:t xml:space="preserve"> </w:t>
            </w:r>
            <w:r>
              <w:rPr>
                <w:noProof/>
                <w:color w:val="006100"/>
              </w:rPr>
              <w:t>Intégration avec les systèmes d'information back-office</w:t>
            </w:r>
          </w:p>
          <w:p w14:paraId="67988315" w14:textId="77777777" w:rsidR="00A00259" w:rsidRDefault="00371282">
            <w:pPr>
              <w:pStyle w:val="P68B1DB1-Normal16"/>
              <w:spacing w:after="0" w:line="240" w:lineRule="auto"/>
              <w:ind w:left="383" w:hanging="284"/>
              <w:rPr>
                <w:rFonts w:eastAsia="Times New Roman"/>
                <w:noProof/>
                <w:color w:val="006100"/>
              </w:rPr>
            </w:pPr>
            <w:r>
              <w:rPr>
                <w:noProof/>
                <w:color w:val="006100"/>
              </w:rPr>
              <w:t>h)</w:t>
            </w:r>
            <w:r>
              <w:rPr>
                <w:noProof/>
              </w:rPr>
              <w:t xml:space="preserve"> </w:t>
            </w:r>
            <w:r>
              <w:rPr>
                <w:noProof/>
                <w:color w:val="006100"/>
              </w:rPr>
              <w:t>Construire les rapports BI &amp; Analytics</w:t>
            </w:r>
          </w:p>
          <w:p w14:paraId="60E9AC0C" w14:textId="77777777" w:rsidR="00A00259" w:rsidRDefault="00371282">
            <w:pPr>
              <w:pStyle w:val="P68B1DB1-Normal16"/>
              <w:spacing w:after="0" w:line="240" w:lineRule="auto"/>
              <w:ind w:left="383" w:hanging="284"/>
              <w:rPr>
                <w:rFonts w:eastAsia="Times New Roman"/>
                <w:noProof/>
                <w:color w:val="006100"/>
              </w:rPr>
            </w:pPr>
            <w:r>
              <w:rPr>
                <w:noProof/>
                <w:color w:val="006100"/>
              </w:rPr>
              <w:t>i)</w:t>
            </w:r>
            <w:r>
              <w:rPr>
                <w:noProof/>
              </w:rPr>
              <w:t xml:space="preserve"> </w:t>
            </w:r>
            <w:r>
              <w:rPr>
                <w:noProof/>
                <w:color w:val="006100"/>
              </w:rPr>
              <w:t>Accompagnement des Opérations de BI Ecosystem pendant 3 ans</w:t>
            </w:r>
          </w:p>
          <w:p w14:paraId="7F7A2604" w14:textId="77777777" w:rsidR="00A00259" w:rsidRDefault="00371282">
            <w:pPr>
              <w:pStyle w:val="P68B1DB1-Normal16"/>
              <w:spacing w:after="0" w:line="240" w:lineRule="auto"/>
              <w:ind w:left="383" w:hanging="284"/>
              <w:rPr>
                <w:rFonts w:eastAsia="Times New Roman"/>
                <w:noProof/>
                <w:color w:val="006100"/>
              </w:rPr>
            </w:pPr>
            <w:r>
              <w:rPr>
                <w:noProof/>
                <w:color w:val="006100"/>
              </w:rPr>
              <w:t>j)</w:t>
            </w:r>
            <w:r>
              <w:rPr>
                <w:noProof/>
              </w:rPr>
              <w:t xml:space="preserve"> </w:t>
            </w:r>
            <w:r>
              <w:rPr>
                <w:noProof/>
                <w:color w:val="006100"/>
              </w:rPr>
              <w:t>Frais de licence pour 200 utilisateurs avec des privilèges d'administrateur super et 200 To de stockage.</w:t>
            </w:r>
          </w:p>
        </w:tc>
      </w:tr>
      <w:tr w:rsidR="00A00259" w14:paraId="1A7937ED" w14:textId="77777777" w:rsidTr="00CE3F9A">
        <w:trPr>
          <w:trHeight w:val="313"/>
          <w:jc w:val="center"/>
        </w:trPr>
        <w:tc>
          <w:tcPr>
            <w:tcW w:w="575" w:type="dxa"/>
            <w:shd w:val="clear" w:color="auto" w:fill="C6EFCE"/>
            <w:noWrap/>
          </w:tcPr>
          <w:p w14:paraId="130D266B" w14:textId="77777777" w:rsidR="00A00259" w:rsidRDefault="00371282">
            <w:pPr>
              <w:pStyle w:val="P68B1DB1-Normal12"/>
              <w:spacing w:after="0" w:line="240" w:lineRule="auto"/>
              <w:rPr>
                <w:rFonts w:eastAsia="Times New Roman"/>
                <w:noProof/>
              </w:rPr>
            </w:pPr>
            <w:r>
              <w:rPr>
                <w:noProof/>
              </w:rPr>
              <w:t>122</w:t>
            </w:r>
          </w:p>
        </w:tc>
        <w:tc>
          <w:tcPr>
            <w:tcW w:w="2072" w:type="dxa"/>
            <w:shd w:val="clear" w:color="auto" w:fill="C6EFCE"/>
            <w:noWrap/>
          </w:tcPr>
          <w:p w14:paraId="7A8798CE" w14:textId="77777777" w:rsidR="00A00259" w:rsidRDefault="00371282">
            <w:pPr>
              <w:pStyle w:val="P68B1DB1-Normal12"/>
              <w:spacing w:after="0" w:line="240" w:lineRule="auto"/>
              <w:rPr>
                <w:rFonts w:eastAsia="Times New Roman"/>
                <w:noProof/>
              </w:rPr>
            </w:pPr>
            <w:r>
              <w:rPr>
                <w:noProof/>
              </w:rPr>
              <w:t>6 - 2.2. Moderniser – 16853 Fourniture d’infrastructures et de services centraux d’informatique en nuage</w:t>
            </w:r>
          </w:p>
        </w:tc>
        <w:tc>
          <w:tcPr>
            <w:tcW w:w="1134" w:type="dxa"/>
            <w:shd w:val="clear" w:color="auto" w:fill="C6EFCE"/>
            <w:noWrap/>
          </w:tcPr>
          <w:p w14:paraId="3EFE110B" w14:textId="77777777" w:rsidR="00A00259" w:rsidRDefault="00371282">
            <w:pPr>
              <w:pStyle w:val="P68B1DB1-Normal12"/>
              <w:spacing w:after="0" w:line="240" w:lineRule="auto"/>
              <w:rPr>
                <w:rFonts w:eastAsia="Times New Roman"/>
                <w:noProof/>
              </w:rPr>
            </w:pPr>
            <w:r>
              <w:rPr>
                <w:noProof/>
              </w:rPr>
              <w:t>Étape</w:t>
            </w:r>
          </w:p>
        </w:tc>
        <w:tc>
          <w:tcPr>
            <w:tcW w:w="1417" w:type="dxa"/>
            <w:shd w:val="clear" w:color="auto" w:fill="C6EFCE"/>
            <w:noWrap/>
          </w:tcPr>
          <w:p w14:paraId="33E0B6BA" w14:textId="77777777" w:rsidR="00A00259" w:rsidRDefault="00371282">
            <w:pPr>
              <w:pStyle w:val="P68B1DB1-Normal12"/>
              <w:spacing w:after="0" w:line="240" w:lineRule="auto"/>
              <w:rPr>
                <w:rFonts w:eastAsia="Times New Roman"/>
                <w:noProof/>
              </w:rPr>
            </w:pPr>
            <w:r>
              <w:rPr>
                <w:noProof/>
              </w:rPr>
              <w:t>Achèvement de l’infrastructure et du service d’informatique en nuage centrale</w:t>
            </w:r>
          </w:p>
        </w:tc>
        <w:tc>
          <w:tcPr>
            <w:tcW w:w="1701" w:type="dxa"/>
            <w:shd w:val="clear" w:color="auto" w:fill="C6EFCE"/>
            <w:noWrap/>
          </w:tcPr>
          <w:p w14:paraId="4ECECE58" w14:textId="77777777" w:rsidR="00A00259" w:rsidRDefault="00371282">
            <w:pPr>
              <w:pStyle w:val="P68B1DB1-Normal12"/>
              <w:spacing w:after="0" w:line="240" w:lineRule="auto"/>
              <w:rPr>
                <w:rFonts w:eastAsia="Times New Roman"/>
                <w:noProof/>
              </w:rPr>
            </w:pPr>
            <w:r>
              <w:rPr>
                <w:noProof/>
              </w:rPr>
              <w:t>Rapport du ministère de la Gouvernance numérique documentant l'achèvement de la mise en place de tous les composants du projet et paramétrage de l'infrastructure pour le projet central d'infrastructure et de services d'informatique en nuage.</w:t>
            </w:r>
          </w:p>
        </w:tc>
        <w:tc>
          <w:tcPr>
            <w:tcW w:w="1322" w:type="dxa"/>
            <w:shd w:val="clear" w:color="auto" w:fill="C6EFCE"/>
            <w:noWrap/>
          </w:tcPr>
          <w:p w14:paraId="6ECED87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1053268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60FA901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76" w:type="dxa"/>
            <w:shd w:val="clear" w:color="auto" w:fill="C6EFCE"/>
            <w:noWrap/>
          </w:tcPr>
          <w:p w14:paraId="07779EC7" w14:textId="77777777" w:rsidR="00A00259" w:rsidRDefault="00371282">
            <w:pPr>
              <w:pStyle w:val="P68B1DB1-Normal12"/>
              <w:spacing w:after="0" w:line="240" w:lineRule="auto"/>
              <w:rPr>
                <w:rFonts w:eastAsia="Times New Roman"/>
                <w:noProof/>
              </w:rPr>
            </w:pPr>
            <w:r>
              <w:rPr>
                <w:noProof/>
              </w:rPr>
              <w:t>T2</w:t>
            </w:r>
          </w:p>
        </w:tc>
        <w:tc>
          <w:tcPr>
            <w:tcW w:w="766" w:type="dxa"/>
            <w:shd w:val="clear" w:color="auto" w:fill="C6EFCE"/>
            <w:noWrap/>
          </w:tcPr>
          <w:p w14:paraId="1312DD89" w14:textId="77777777" w:rsidR="00A00259" w:rsidRDefault="00371282">
            <w:pPr>
              <w:pStyle w:val="P68B1DB1-Normal12"/>
              <w:spacing w:after="0" w:line="240" w:lineRule="auto"/>
              <w:rPr>
                <w:rFonts w:eastAsia="Times New Roman"/>
                <w:noProof/>
              </w:rPr>
            </w:pPr>
            <w:r>
              <w:rPr>
                <w:noProof/>
              </w:rPr>
              <w:t>2024</w:t>
            </w:r>
          </w:p>
        </w:tc>
        <w:tc>
          <w:tcPr>
            <w:tcW w:w="3398" w:type="dxa"/>
            <w:shd w:val="clear" w:color="auto" w:fill="C6EFCE"/>
            <w:noWrap/>
          </w:tcPr>
          <w:p w14:paraId="55C98ECF" w14:textId="77777777" w:rsidR="00A00259" w:rsidRDefault="00371282">
            <w:pPr>
              <w:pStyle w:val="P68B1DB1-Normal12"/>
              <w:spacing w:after="0" w:line="240" w:lineRule="auto"/>
              <w:rPr>
                <w:rFonts w:eastAsia="Times New Roman"/>
                <w:noProof/>
              </w:rPr>
            </w:pPr>
            <w:r>
              <w:rPr>
                <w:noProof/>
              </w:rPr>
              <w:t>Début des opérations de mise en place de tous les composants du projet et paramétrage de l'infrastructure pour le projet d'infrastructure et de services de cloud computing central. Introduire et opérationnaliser le projet d'infrastructure et de services de cloud computing central. La nouvelle infrastructure installée comprend des machines virtuelles et les réseaux virtuels correspondants (infrastructure en tant que service), une plateforme en tant que service, deux réseaux informatiques de périphérie, deux interfaces spéciales de fibre optique à haut débit et des services de formation et de soutien pour l’ensemble du projet.</w:t>
            </w:r>
          </w:p>
          <w:p w14:paraId="30788453" w14:textId="77777777" w:rsidR="00A00259" w:rsidRDefault="00371282">
            <w:pPr>
              <w:pStyle w:val="P68B1DB1-Normal12"/>
              <w:spacing w:after="0" w:line="240" w:lineRule="auto"/>
              <w:rPr>
                <w:rFonts w:eastAsia="Times New Roman"/>
                <w:noProof/>
              </w:rPr>
            </w:pPr>
            <w:r>
              <w:rPr>
                <w:noProof/>
              </w:rPr>
              <w:t>Les centres de données du fournisseur de services en nuage sont tenus de se conformer au «code de conduite européen sur l’efficacité énergétique des centres de données».</w:t>
            </w:r>
          </w:p>
        </w:tc>
      </w:tr>
      <w:tr w:rsidR="00A00259" w14:paraId="73B0A5F8" w14:textId="77777777" w:rsidTr="00CE3F9A">
        <w:trPr>
          <w:trHeight w:val="313"/>
          <w:jc w:val="center"/>
        </w:trPr>
        <w:tc>
          <w:tcPr>
            <w:tcW w:w="575" w:type="dxa"/>
            <w:shd w:val="clear" w:color="auto" w:fill="C6EFCE"/>
            <w:noWrap/>
          </w:tcPr>
          <w:p w14:paraId="3763356C" w14:textId="77777777" w:rsidR="00A00259" w:rsidRDefault="00371282">
            <w:pPr>
              <w:pStyle w:val="P68B1DB1-Normal12"/>
              <w:spacing w:after="0" w:line="240" w:lineRule="auto"/>
              <w:rPr>
                <w:rFonts w:eastAsia="Times New Roman"/>
                <w:noProof/>
              </w:rPr>
            </w:pPr>
            <w:r>
              <w:rPr>
                <w:noProof/>
              </w:rPr>
              <w:t>123</w:t>
            </w:r>
          </w:p>
        </w:tc>
        <w:tc>
          <w:tcPr>
            <w:tcW w:w="2072" w:type="dxa"/>
            <w:shd w:val="clear" w:color="auto" w:fill="C6EFCE"/>
            <w:noWrap/>
          </w:tcPr>
          <w:p w14:paraId="74053E28" w14:textId="77777777" w:rsidR="00A00259" w:rsidRDefault="00371282">
            <w:pPr>
              <w:pStyle w:val="P68B1DB1-Normal12"/>
              <w:spacing w:after="0" w:line="240" w:lineRule="auto"/>
              <w:rPr>
                <w:rFonts w:eastAsia="Times New Roman"/>
                <w:noProof/>
              </w:rPr>
            </w:pPr>
            <w:r>
              <w:rPr>
                <w:noProof/>
              </w:rPr>
              <w:t>6 - 2.2. Moderniser - 16854_Villes intelligentes</w:t>
            </w:r>
          </w:p>
        </w:tc>
        <w:tc>
          <w:tcPr>
            <w:tcW w:w="1134" w:type="dxa"/>
            <w:shd w:val="clear" w:color="auto" w:fill="C6EFCE"/>
            <w:noWrap/>
          </w:tcPr>
          <w:p w14:paraId="082E8124" w14:textId="77777777" w:rsidR="00A00259" w:rsidRDefault="00371282">
            <w:pPr>
              <w:pStyle w:val="P68B1DB1-Normal12"/>
              <w:spacing w:after="0" w:line="240" w:lineRule="auto"/>
              <w:rPr>
                <w:rFonts w:eastAsia="Times New Roman"/>
                <w:noProof/>
              </w:rPr>
            </w:pPr>
            <w:r>
              <w:rPr>
                <w:noProof/>
              </w:rPr>
              <w:t>Objectif</w:t>
            </w:r>
          </w:p>
        </w:tc>
        <w:tc>
          <w:tcPr>
            <w:tcW w:w="1417" w:type="dxa"/>
            <w:shd w:val="clear" w:color="auto" w:fill="C6EFCE"/>
            <w:noWrap/>
          </w:tcPr>
          <w:p w14:paraId="7B1CF83F" w14:textId="6023337B" w:rsidR="00A00259" w:rsidRDefault="00371282">
            <w:pPr>
              <w:pStyle w:val="P68B1DB1-Normal12"/>
              <w:spacing w:after="0" w:line="240" w:lineRule="auto"/>
              <w:rPr>
                <w:rFonts w:eastAsia="Times New Roman"/>
                <w:noProof/>
              </w:rPr>
            </w:pPr>
            <w:r>
              <w:rPr>
                <w:noProof/>
              </w:rPr>
              <w:t>Mise en œuvre de projets de «ville intelligente»</w:t>
            </w:r>
          </w:p>
        </w:tc>
        <w:tc>
          <w:tcPr>
            <w:tcW w:w="1701" w:type="dxa"/>
            <w:shd w:val="clear" w:color="auto" w:fill="C6EFCE"/>
            <w:noWrap/>
          </w:tcPr>
          <w:p w14:paraId="216C959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322" w:type="dxa"/>
            <w:shd w:val="clear" w:color="auto" w:fill="C6EFCE"/>
            <w:noWrap/>
          </w:tcPr>
          <w:p w14:paraId="5DB41394" w14:textId="0210E20A" w:rsidR="00A00259" w:rsidRDefault="00371282">
            <w:pPr>
              <w:pStyle w:val="P68B1DB1-Normal12"/>
              <w:spacing w:after="0" w:line="240" w:lineRule="auto"/>
              <w:rPr>
                <w:noProof/>
              </w:rPr>
            </w:pPr>
            <w:r>
              <w:rPr>
                <w:noProof/>
              </w:rPr>
              <w:t xml:space="preserve">Nombre de municipalités prouvant la réalisation de projets de «ville intelligente» </w:t>
            </w:r>
          </w:p>
        </w:tc>
        <w:tc>
          <w:tcPr>
            <w:tcW w:w="1134" w:type="dxa"/>
            <w:shd w:val="clear" w:color="auto" w:fill="C6EFCE"/>
            <w:noWrap/>
          </w:tcPr>
          <w:p w14:paraId="605FFE6A" w14:textId="77777777" w:rsidR="00A00259" w:rsidRDefault="00371282">
            <w:pPr>
              <w:pStyle w:val="P68B1DB1-Normal23"/>
              <w:spacing w:after="0" w:line="240" w:lineRule="auto"/>
              <w:rPr>
                <w:noProof/>
              </w:rPr>
            </w:pPr>
            <w:r>
              <w:rPr>
                <w:noProof/>
              </w:rPr>
              <w:t>0</w:t>
            </w:r>
          </w:p>
        </w:tc>
        <w:tc>
          <w:tcPr>
            <w:tcW w:w="993" w:type="dxa"/>
            <w:shd w:val="clear" w:color="auto" w:fill="C6EFCE"/>
            <w:noWrap/>
          </w:tcPr>
          <w:p w14:paraId="5DB006B1" w14:textId="77777777" w:rsidR="00A00259" w:rsidRDefault="00371282">
            <w:pPr>
              <w:pStyle w:val="P68B1DB1-Normal12"/>
              <w:spacing w:after="0" w:line="240" w:lineRule="auto"/>
              <w:rPr>
                <w:rFonts w:eastAsia="Times New Roman"/>
                <w:noProof/>
              </w:rPr>
            </w:pPr>
            <w:r>
              <w:rPr>
                <w:noProof/>
              </w:rPr>
              <w:t>11</w:t>
            </w:r>
          </w:p>
          <w:p w14:paraId="44FD9A8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76" w:type="dxa"/>
            <w:shd w:val="clear" w:color="auto" w:fill="C6EFCE"/>
            <w:noWrap/>
          </w:tcPr>
          <w:p w14:paraId="501D1769" w14:textId="77777777" w:rsidR="00A00259" w:rsidRDefault="00371282">
            <w:pPr>
              <w:pStyle w:val="P68B1DB1-Normal12"/>
              <w:spacing w:after="0" w:line="240" w:lineRule="auto"/>
              <w:rPr>
                <w:rFonts w:eastAsia="Times New Roman"/>
                <w:noProof/>
              </w:rPr>
            </w:pPr>
            <w:r>
              <w:rPr>
                <w:noProof/>
              </w:rPr>
              <w:t>T4</w:t>
            </w:r>
          </w:p>
        </w:tc>
        <w:tc>
          <w:tcPr>
            <w:tcW w:w="766" w:type="dxa"/>
            <w:shd w:val="clear" w:color="auto" w:fill="C6EFCE"/>
            <w:noWrap/>
          </w:tcPr>
          <w:p w14:paraId="0717FB1A" w14:textId="77777777" w:rsidR="00A00259" w:rsidRDefault="00371282">
            <w:pPr>
              <w:pStyle w:val="P68B1DB1-Normal12"/>
              <w:spacing w:after="0" w:line="240" w:lineRule="auto"/>
              <w:rPr>
                <w:rFonts w:eastAsia="Times New Roman"/>
                <w:noProof/>
              </w:rPr>
            </w:pPr>
            <w:r>
              <w:rPr>
                <w:noProof/>
              </w:rPr>
              <w:t>2025</w:t>
            </w:r>
          </w:p>
        </w:tc>
        <w:tc>
          <w:tcPr>
            <w:tcW w:w="3398" w:type="dxa"/>
            <w:shd w:val="clear" w:color="auto" w:fill="C6EFCE"/>
            <w:noWrap/>
          </w:tcPr>
          <w:p w14:paraId="3E08D3C3" w14:textId="7552A3FC" w:rsidR="00A00259" w:rsidRDefault="00371282">
            <w:pPr>
              <w:pStyle w:val="P68B1DB1-Normal12"/>
              <w:spacing w:after="0" w:line="240" w:lineRule="auto"/>
              <w:rPr>
                <w:rFonts w:eastAsia="Times New Roman"/>
                <w:noProof/>
              </w:rPr>
            </w:pPr>
            <w:r>
              <w:rPr>
                <w:noProof/>
              </w:rPr>
              <w:t>Mise en œuvre de projets de «ville intelligente» par 11 municipalités grecques</w:t>
            </w:r>
          </w:p>
        </w:tc>
      </w:tr>
      <w:tr w:rsidR="00A00259" w14:paraId="244A57CC" w14:textId="77777777" w:rsidTr="00CE3F9A">
        <w:trPr>
          <w:trHeight w:val="313"/>
          <w:jc w:val="center"/>
        </w:trPr>
        <w:tc>
          <w:tcPr>
            <w:tcW w:w="575" w:type="dxa"/>
            <w:shd w:val="clear" w:color="auto" w:fill="C6EFCE"/>
            <w:noWrap/>
          </w:tcPr>
          <w:p w14:paraId="5ADC1BE5" w14:textId="77777777" w:rsidR="00A00259" w:rsidRDefault="00371282">
            <w:pPr>
              <w:pStyle w:val="P68B1DB1-Normal12"/>
              <w:spacing w:after="0" w:line="240" w:lineRule="auto"/>
              <w:rPr>
                <w:rFonts w:eastAsia="Times New Roman"/>
                <w:noProof/>
              </w:rPr>
            </w:pPr>
            <w:r>
              <w:rPr>
                <w:noProof/>
              </w:rPr>
              <w:t>124</w:t>
            </w:r>
          </w:p>
        </w:tc>
        <w:tc>
          <w:tcPr>
            <w:tcW w:w="2072" w:type="dxa"/>
            <w:shd w:val="clear" w:color="auto" w:fill="C6EFCE"/>
            <w:noWrap/>
          </w:tcPr>
          <w:p w14:paraId="49270352" w14:textId="77777777" w:rsidR="00A00259" w:rsidRDefault="00371282">
            <w:pPr>
              <w:pStyle w:val="P68B1DB1-Normal12"/>
              <w:spacing w:after="0" w:line="240" w:lineRule="auto"/>
              <w:rPr>
                <w:rFonts w:eastAsia="Times New Roman"/>
                <w:noProof/>
                <w:highlight w:val="yellow"/>
              </w:rPr>
            </w:pPr>
            <w:r>
              <w:rPr>
                <w:noProof/>
              </w:rPr>
              <w:t>6 - 2.2. 16928 _Incorporation de nouvelles technologies et tendances vers les services avancés de l’administration publique, augmentation de l’efficience et de l’efficacité et diminution des coûts d’exploitation, de mise à niveau et de maintenance des systèmes</w:t>
            </w:r>
          </w:p>
        </w:tc>
        <w:tc>
          <w:tcPr>
            <w:tcW w:w="1134" w:type="dxa"/>
            <w:shd w:val="clear" w:color="auto" w:fill="C6EFCE"/>
            <w:noWrap/>
          </w:tcPr>
          <w:p w14:paraId="78B7468A" w14:textId="77777777" w:rsidR="00A00259" w:rsidRDefault="00371282">
            <w:pPr>
              <w:pStyle w:val="P68B1DB1-Normal12"/>
              <w:spacing w:after="0" w:line="240" w:lineRule="auto"/>
              <w:rPr>
                <w:rFonts w:eastAsia="Times New Roman"/>
                <w:noProof/>
              </w:rPr>
            </w:pPr>
            <w:r>
              <w:rPr>
                <w:noProof/>
              </w:rPr>
              <w:t>Étape</w:t>
            </w:r>
          </w:p>
          <w:p w14:paraId="2A1A0F9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417" w:type="dxa"/>
            <w:shd w:val="clear" w:color="auto" w:fill="C6EFCE"/>
            <w:noWrap/>
          </w:tcPr>
          <w:p w14:paraId="44D536F9" w14:textId="3EF68478" w:rsidR="00A00259" w:rsidRDefault="00371282">
            <w:pPr>
              <w:pStyle w:val="P68B1DB1-Normal12"/>
              <w:spacing w:after="0" w:line="240" w:lineRule="auto"/>
              <w:rPr>
                <w:rFonts w:eastAsia="Times New Roman"/>
                <w:noProof/>
              </w:rPr>
            </w:pPr>
            <w:r>
              <w:rPr>
                <w:noProof/>
              </w:rPr>
              <w:t>Cadre pour l'intégration des nouvelles technologies dans l'administration publique et politique de données ouvertes et réutilisables</w:t>
            </w:r>
          </w:p>
        </w:tc>
        <w:tc>
          <w:tcPr>
            <w:tcW w:w="1701" w:type="dxa"/>
            <w:shd w:val="clear" w:color="auto" w:fill="C6EFCE"/>
            <w:noWrap/>
          </w:tcPr>
          <w:p w14:paraId="42AAD8DB" w14:textId="52AF291B" w:rsidR="00A00259" w:rsidRDefault="00371282">
            <w:pPr>
              <w:pStyle w:val="P68B1DB1-Normal12"/>
              <w:spacing w:after="0" w:line="240" w:lineRule="auto"/>
              <w:rPr>
                <w:rFonts w:eastAsia="Times New Roman"/>
                <w:noProof/>
              </w:rPr>
            </w:pPr>
            <w:r>
              <w:rPr>
                <w:noProof/>
              </w:rPr>
              <w:t>Mise en place d'un cadre pour l'intégration des nouvelles technologies dans l'administration publique et adoption d'une politique de données ouvertes et réutilisables</w:t>
            </w:r>
          </w:p>
        </w:tc>
        <w:tc>
          <w:tcPr>
            <w:tcW w:w="1322" w:type="dxa"/>
            <w:shd w:val="clear" w:color="auto" w:fill="C6EFCE"/>
            <w:noWrap/>
          </w:tcPr>
          <w:p w14:paraId="2F4E20B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6349566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0F83C1E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76" w:type="dxa"/>
            <w:shd w:val="clear" w:color="auto" w:fill="C6EFCE"/>
            <w:noWrap/>
          </w:tcPr>
          <w:p w14:paraId="4CB2554B" w14:textId="77777777" w:rsidR="00A00259" w:rsidRDefault="00371282">
            <w:pPr>
              <w:pStyle w:val="P68B1DB1-Normal12"/>
              <w:spacing w:after="0" w:line="240" w:lineRule="auto"/>
              <w:rPr>
                <w:rFonts w:eastAsia="Times New Roman"/>
                <w:noProof/>
              </w:rPr>
            </w:pPr>
            <w:r>
              <w:rPr>
                <w:noProof/>
              </w:rPr>
              <w:t>T4</w:t>
            </w:r>
          </w:p>
        </w:tc>
        <w:tc>
          <w:tcPr>
            <w:tcW w:w="766" w:type="dxa"/>
            <w:shd w:val="clear" w:color="auto" w:fill="C6EFCE"/>
            <w:noWrap/>
          </w:tcPr>
          <w:p w14:paraId="707EF5AF" w14:textId="77777777" w:rsidR="00A00259" w:rsidRDefault="00371282">
            <w:pPr>
              <w:pStyle w:val="P68B1DB1-Normal12"/>
              <w:spacing w:after="0" w:line="240" w:lineRule="auto"/>
              <w:rPr>
                <w:rFonts w:eastAsia="Times New Roman"/>
                <w:noProof/>
              </w:rPr>
            </w:pPr>
            <w:r>
              <w:rPr>
                <w:noProof/>
              </w:rPr>
              <w:t>2025</w:t>
            </w:r>
          </w:p>
        </w:tc>
        <w:tc>
          <w:tcPr>
            <w:tcW w:w="3398" w:type="dxa"/>
            <w:shd w:val="clear" w:color="auto" w:fill="C6EFCE"/>
            <w:noWrap/>
          </w:tcPr>
          <w:p w14:paraId="51A439CD" w14:textId="37E435AA" w:rsidR="00A00259" w:rsidRDefault="00371282">
            <w:pPr>
              <w:pStyle w:val="P68B1DB1-Normal12"/>
              <w:spacing w:after="0" w:line="240" w:lineRule="auto"/>
              <w:rPr>
                <w:rFonts w:eastAsia="Times New Roman"/>
                <w:noProof/>
              </w:rPr>
            </w:pPr>
            <w:r>
              <w:rPr>
                <w:noProof/>
              </w:rPr>
              <w:t xml:space="preserve">Établir un cadre pour l'introduction de nouvelles technologies et de nouveaux outils (Cloud computing, Business Intelligence, Distributed Ledger Technology - DLT) dans l'administration publique, et l'adoption d'une politique pour les données ouvertes et réutilisables. </w:t>
            </w:r>
          </w:p>
        </w:tc>
      </w:tr>
      <w:tr w:rsidR="00A00259" w14:paraId="19D628F3" w14:textId="77777777" w:rsidTr="00CE3F9A">
        <w:trPr>
          <w:trHeight w:val="313"/>
          <w:jc w:val="center"/>
        </w:trPr>
        <w:tc>
          <w:tcPr>
            <w:tcW w:w="575" w:type="dxa"/>
            <w:shd w:val="clear" w:color="auto" w:fill="C6EFCE"/>
            <w:noWrap/>
          </w:tcPr>
          <w:p w14:paraId="5316FD48" w14:textId="77777777" w:rsidR="00A00259" w:rsidRDefault="00371282">
            <w:pPr>
              <w:pStyle w:val="P68B1DB1-Normal12"/>
              <w:spacing w:after="0" w:line="240" w:lineRule="auto"/>
              <w:rPr>
                <w:rFonts w:eastAsia="Times New Roman"/>
                <w:noProof/>
              </w:rPr>
            </w:pPr>
            <w:r>
              <w:rPr>
                <w:noProof/>
              </w:rPr>
              <w:t>125</w:t>
            </w:r>
          </w:p>
        </w:tc>
        <w:tc>
          <w:tcPr>
            <w:tcW w:w="2072" w:type="dxa"/>
            <w:shd w:val="clear" w:color="auto" w:fill="C6EFCE"/>
            <w:noWrap/>
          </w:tcPr>
          <w:p w14:paraId="33FF9AA2" w14:textId="77777777" w:rsidR="00A00259" w:rsidRDefault="00371282">
            <w:pPr>
              <w:pStyle w:val="P68B1DB1-Normal12"/>
              <w:spacing w:after="0" w:line="240" w:lineRule="auto"/>
              <w:rPr>
                <w:rFonts w:eastAsia="Times New Roman"/>
                <w:noProof/>
              </w:rPr>
            </w:pPr>
            <w:r>
              <w:rPr>
                <w:noProof/>
              </w:rPr>
              <w:t>6 - 2.2. 16955_Mise à niveau de l'infrastructure informatique en nuage et des services des infrastructures nationales de recherche et de technologie (GRNET)</w:t>
            </w:r>
          </w:p>
        </w:tc>
        <w:tc>
          <w:tcPr>
            <w:tcW w:w="1134" w:type="dxa"/>
            <w:shd w:val="clear" w:color="auto" w:fill="C6EFCE"/>
            <w:noWrap/>
          </w:tcPr>
          <w:p w14:paraId="6FDC0CC5" w14:textId="77777777" w:rsidR="00A00259" w:rsidRDefault="00371282">
            <w:pPr>
              <w:pStyle w:val="P68B1DB1-Normal12"/>
              <w:spacing w:after="0" w:line="240" w:lineRule="auto"/>
              <w:rPr>
                <w:rFonts w:eastAsia="Times New Roman"/>
                <w:noProof/>
              </w:rPr>
            </w:pPr>
            <w:r>
              <w:rPr>
                <w:noProof/>
              </w:rPr>
              <w:t>Étape</w:t>
            </w:r>
          </w:p>
        </w:tc>
        <w:tc>
          <w:tcPr>
            <w:tcW w:w="1417" w:type="dxa"/>
            <w:shd w:val="clear" w:color="auto" w:fill="C6EFCE"/>
            <w:noWrap/>
          </w:tcPr>
          <w:p w14:paraId="67E2CC30" w14:textId="77777777" w:rsidR="00A00259" w:rsidRDefault="00371282">
            <w:pPr>
              <w:pStyle w:val="P68B1DB1-Normal12"/>
              <w:spacing w:after="0" w:line="240" w:lineRule="auto"/>
              <w:rPr>
                <w:rFonts w:eastAsia="Times New Roman"/>
                <w:noProof/>
              </w:rPr>
            </w:pPr>
            <w:r>
              <w:rPr>
                <w:noProof/>
              </w:rPr>
              <w:t xml:space="preserve">GRNET </w:t>
            </w:r>
          </w:p>
        </w:tc>
        <w:tc>
          <w:tcPr>
            <w:tcW w:w="1701" w:type="dxa"/>
            <w:shd w:val="clear" w:color="auto" w:fill="C6EFCE"/>
            <w:noWrap/>
          </w:tcPr>
          <w:p w14:paraId="02C03990" w14:textId="77777777" w:rsidR="00A00259" w:rsidRDefault="00371282">
            <w:pPr>
              <w:pStyle w:val="P68B1DB1-Normal12"/>
              <w:spacing w:after="0" w:line="240" w:lineRule="auto"/>
              <w:rPr>
                <w:rFonts w:eastAsia="Times New Roman"/>
                <w:noProof/>
              </w:rPr>
            </w:pPr>
            <w:r>
              <w:rPr>
                <w:noProof/>
              </w:rPr>
              <w:t>Livraison de la mise à niveau de l’infrastructure et des services d’informatique en nuage de GRNET, exécution de la phase A de Daedalus et contrat de location d’une infrastructure de fibre optique</w:t>
            </w:r>
          </w:p>
        </w:tc>
        <w:tc>
          <w:tcPr>
            <w:tcW w:w="1322" w:type="dxa"/>
            <w:shd w:val="clear" w:color="auto" w:fill="C6EFCE"/>
            <w:noWrap/>
          </w:tcPr>
          <w:p w14:paraId="236D00E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27C8BBF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5ADF007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76" w:type="dxa"/>
            <w:shd w:val="clear" w:color="auto" w:fill="C6EFCE"/>
            <w:noWrap/>
          </w:tcPr>
          <w:p w14:paraId="3821AEFF" w14:textId="77777777" w:rsidR="00A00259" w:rsidRDefault="00371282">
            <w:pPr>
              <w:pStyle w:val="P68B1DB1-Normal12"/>
              <w:spacing w:after="0" w:line="240" w:lineRule="auto"/>
              <w:rPr>
                <w:rFonts w:eastAsia="Times New Roman"/>
                <w:noProof/>
              </w:rPr>
            </w:pPr>
            <w:r>
              <w:rPr>
                <w:noProof/>
              </w:rPr>
              <w:t>T4</w:t>
            </w:r>
          </w:p>
        </w:tc>
        <w:tc>
          <w:tcPr>
            <w:tcW w:w="766" w:type="dxa"/>
            <w:shd w:val="clear" w:color="auto" w:fill="C6EFCE"/>
            <w:noWrap/>
          </w:tcPr>
          <w:p w14:paraId="7F433756" w14:textId="77777777" w:rsidR="00A00259" w:rsidRDefault="00371282">
            <w:pPr>
              <w:pStyle w:val="P68B1DB1-Normal12"/>
              <w:spacing w:after="0" w:line="240" w:lineRule="auto"/>
              <w:rPr>
                <w:rFonts w:eastAsia="Times New Roman"/>
                <w:noProof/>
              </w:rPr>
            </w:pPr>
            <w:r>
              <w:rPr>
                <w:noProof/>
              </w:rPr>
              <w:t>2025</w:t>
            </w:r>
          </w:p>
        </w:tc>
        <w:tc>
          <w:tcPr>
            <w:tcW w:w="3398" w:type="dxa"/>
            <w:shd w:val="clear" w:color="auto" w:fill="C6EFCE"/>
            <w:noWrap/>
          </w:tcPr>
          <w:p w14:paraId="50AEE21E" w14:textId="77777777" w:rsidR="00A00259" w:rsidRDefault="00371282">
            <w:pPr>
              <w:pStyle w:val="P68B1DB1-Normal12"/>
              <w:spacing w:after="0" w:line="240" w:lineRule="auto"/>
              <w:rPr>
                <w:rFonts w:eastAsia="Times New Roman"/>
                <w:noProof/>
              </w:rPr>
            </w:pPr>
            <w:r>
              <w:rPr>
                <w:noProof/>
              </w:rPr>
              <w:t>Mise à niveau de l'infrastructure informatique en nuage et des services des infrastructures nationales de recherche et de technologie (GRNET).</w:t>
            </w:r>
          </w:p>
          <w:p w14:paraId="602566BF" w14:textId="77777777" w:rsidR="00A00259" w:rsidRDefault="00A00259">
            <w:pPr>
              <w:spacing w:after="0" w:line="240" w:lineRule="auto"/>
              <w:rPr>
                <w:rFonts w:ascii="Times New Roman" w:eastAsia="Times New Roman" w:hAnsi="Times New Roman" w:cs="Times New Roman"/>
                <w:noProof/>
                <w:color w:val="006100"/>
                <w:sz w:val="18"/>
                <w:szCs w:val="18"/>
              </w:rPr>
            </w:pPr>
          </w:p>
          <w:p w14:paraId="15E3A307" w14:textId="77777777" w:rsidR="00A00259" w:rsidRDefault="00371282">
            <w:pPr>
              <w:pStyle w:val="P68B1DB1-Normal12"/>
              <w:spacing w:after="0" w:line="240" w:lineRule="auto"/>
              <w:rPr>
                <w:noProof/>
              </w:rPr>
            </w:pPr>
            <w:r>
              <w:rPr>
                <w:noProof/>
              </w:rPr>
              <w:t xml:space="preserve">Exécution de la «phase A – mise en œuvre du supercalculateur Daedalus», comme indiqué dans le contrat correspondant. </w:t>
            </w:r>
          </w:p>
          <w:p w14:paraId="58F1FDC3" w14:textId="77777777" w:rsidR="00A00259" w:rsidRDefault="00371282">
            <w:pPr>
              <w:pStyle w:val="P68B1DB1-Normal12"/>
              <w:spacing w:after="0" w:line="240" w:lineRule="auto"/>
              <w:rPr>
                <w:noProof/>
              </w:rPr>
            </w:pPr>
            <w:r>
              <w:rPr>
                <w:noProof/>
              </w:rPr>
              <w:t>Mise en place d'un centre de données pour prendre en charge le nouveau supercalculateur, l'installation, la configuration et l'exploitation pilote du logiciel.</w:t>
            </w:r>
          </w:p>
          <w:p w14:paraId="56A100D9" w14:textId="77777777" w:rsidR="00A00259" w:rsidRDefault="00A00259">
            <w:pPr>
              <w:spacing w:after="0" w:line="240" w:lineRule="auto"/>
              <w:rPr>
                <w:rFonts w:ascii="Times New Roman" w:eastAsia="Times New Roman" w:hAnsi="Times New Roman" w:cs="Times New Roman"/>
                <w:noProof/>
                <w:color w:val="006100"/>
                <w:sz w:val="18"/>
                <w:szCs w:val="18"/>
              </w:rPr>
            </w:pPr>
          </w:p>
          <w:p w14:paraId="79AA6AF5" w14:textId="77777777" w:rsidR="00A00259" w:rsidRDefault="00371282">
            <w:pPr>
              <w:pStyle w:val="P68B1DB1-Normal23"/>
              <w:spacing w:after="0" w:line="240" w:lineRule="auto"/>
              <w:rPr>
                <w:noProof/>
              </w:rPr>
            </w:pPr>
            <w:r>
              <w:rPr>
                <w:noProof/>
              </w:rPr>
              <w:t>Signature d'un contrat de location pour l'infrastructure de fibre optique.</w:t>
            </w:r>
          </w:p>
        </w:tc>
      </w:tr>
      <w:tr w:rsidR="00A00259" w14:paraId="75485DBD" w14:textId="77777777" w:rsidTr="00CE3F9A">
        <w:trPr>
          <w:trHeight w:val="313"/>
          <w:jc w:val="center"/>
        </w:trPr>
        <w:tc>
          <w:tcPr>
            <w:tcW w:w="575" w:type="dxa"/>
            <w:shd w:val="clear" w:color="auto" w:fill="C6EFCE"/>
            <w:noWrap/>
          </w:tcPr>
          <w:p w14:paraId="47EDB424" w14:textId="77777777" w:rsidR="00A00259" w:rsidRDefault="00371282">
            <w:pPr>
              <w:pStyle w:val="P68B1DB1-Normal12"/>
              <w:spacing w:after="0" w:line="240" w:lineRule="auto"/>
              <w:rPr>
                <w:noProof/>
              </w:rPr>
            </w:pPr>
            <w:r>
              <w:rPr>
                <w:noProof/>
              </w:rPr>
              <w:t>125a</w:t>
            </w:r>
          </w:p>
        </w:tc>
        <w:tc>
          <w:tcPr>
            <w:tcW w:w="2072" w:type="dxa"/>
            <w:shd w:val="clear" w:color="auto" w:fill="C6EFCE"/>
            <w:noWrap/>
          </w:tcPr>
          <w:p w14:paraId="052495F5" w14:textId="77777777" w:rsidR="00A00259" w:rsidRDefault="00371282">
            <w:pPr>
              <w:pStyle w:val="P68B1DB1-Normal12"/>
              <w:spacing w:after="0" w:line="240" w:lineRule="auto"/>
              <w:rPr>
                <w:noProof/>
              </w:rPr>
            </w:pPr>
            <w:r>
              <w:rPr>
                <w:noProof/>
              </w:rPr>
              <w:t>6 - 2.2. 16955_Mise à niveau de l'infrastructure informatique en nuage et des services des infrastructures nationales de recherche et de technologie (GRNET)</w:t>
            </w:r>
          </w:p>
        </w:tc>
        <w:tc>
          <w:tcPr>
            <w:tcW w:w="1134" w:type="dxa"/>
            <w:shd w:val="clear" w:color="auto" w:fill="C6EFCE"/>
            <w:noWrap/>
          </w:tcPr>
          <w:p w14:paraId="6799996A" w14:textId="77777777" w:rsidR="00A00259" w:rsidRDefault="00371282">
            <w:pPr>
              <w:pStyle w:val="P68B1DB1-Normal12"/>
              <w:spacing w:after="0" w:line="240" w:lineRule="auto"/>
              <w:rPr>
                <w:noProof/>
              </w:rPr>
            </w:pPr>
            <w:r>
              <w:rPr>
                <w:noProof/>
              </w:rPr>
              <w:t>Étape</w:t>
            </w:r>
          </w:p>
        </w:tc>
        <w:tc>
          <w:tcPr>
            <w:tcW w:w="1417" w:type="dxa"/>
            <w:shd w:val="clear" w:color="auto" w:fill="C6EFCE"/>
            <w:noWrap/>
          </w:tcPr>
          <w:p w14:paraId="0A9F674E" w14:textId="77777777" w:rsidR="00A00259" w:rsidRDefault="00371282">
            <w:pPr>
              <w:pStyle w:val="P68B1DB1-Normal12"/>
              <w:spacing w:after="0" w:line="240" w:lineRule="auto"/>
              <w:rPr>
                <w:noProof/>
              </w:rPr>
            </w:pPr>
            <w:r>
              <w:rPr>
                <w:noProof/>
              </w:rPr>
              <w:t>GRNET haut de gamme</w:t>
            </w:r>
          </w:p>
        </w:tc>
        <w:tc>
          <w:tcPr>
            <w:tcW w:w="1701" w:type="dxa"/>
            <w:shd w:val="clear" w:color="auto" w:fill="C6EFCE"/>
            <w:noWrap/>
          </w:tcPr>
          <w:p w14:paraId="204ACF1D" w14:textId="268B3199" w:rsidR="00A00259" w:rsidRDefault="00371282">
            <w:pPr>
              <w:pStyle w:val="P68B1DB1-Normal12"/>
              <w:spacing w:after="0" w:line="240" w:lineRule="auto"/>
              <w:rPr>
                <w:noProof/>
              </w:rPr>
            </w:pPr>
            <w:r>
              <w:rPr>
                <w:noProof/>
              </w:rPr>
              <w:t xml:space="preserve">Livraison ou livraison et installation des équipements réseau de GRNET </w:t>
            </w:r>
          </w:p>
        </w:tc>
        <w:tc>
          <w:tcPr>
            <w:tcW w:w="1322" w:type="dxa"/>
            <w:shd w:val="clear" w:color="auto" w:fill="C6EFCE"/>
            <w:noWrap/>
          </w:tcPr>
          <w:p w14:paraId="70F852B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018A25C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2BD7068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76" w:type="dxa"/>
            <w:shd w:val="clear" w:color="auto" w:fill="C6EFCE"/>
            <w:noWrap/>
          </w:tcPr>
          <w:p w14:paraId="732313DB" w14:textId="77777777" w:rsidR="00A00259" w:rsidRDefault="00371282">
            <w:pPr>
              <w:pStyle w:val="P68B1DB1-Normal12"/>
              <w:spacing w:after="0" w:line="240" w:lineRule="auto"/>
              <w:rPr>
                <w:noProof/>
              </w:rPr>
            </w:pPr>
            <w:r>
              <w:rPr>
                <w:noProof/>
              </w:rPr>
              <w:t>T4</w:t>
            </w:r>
          </w:p>
        </w:tc>
        <w:tc>
          <w:tcPr>
            <w:tcW w:w="766" w:type="dxa"/>
            <w:shd w:val="clear" w:color="auto" w:fill="C6EFCE"/>
            <w:noWrap/>
          </w:tcPr>
          <w:p w14:paraId="23BDAC96" w14:textId="77777777" w:rsidR="00A00259" w:rsidRDefault="00371282">
            <w:pPr>
              <w:pStyle w:val="P68B1DB1-Normal12"/>
              <w:spacing w:after="0" w:line="240" w:lineRule="auto"/>
              <w:rPr>
                <w:noProof/>
              </w:rPr>
            </w:pPr>
            <w:r>
              <w:rPr>
                <w:noProof/>
              </w:rPr>
              <w:t>2025</w:t>
            </w:r>
          </w:p>
        </w:tc>
        <w:tc>
          <w:tcPr>
            <w:tcW w:w="3398" w:type="dxa"/>
            <w:shd w:val="clear" w:color="auto" w:fill="C6EFCE"/>
            <w:noWrap/>
          </w:tcPr>
          <w:p w14:paraId="7B6BE54B" w14:textId="43309263" w:rsidR="00A00259" w:rsidRDefault="00371282">
            <w:pPr>
              <w:pStyle w:val="P68B1DB1-Normal12"/>
              <w:spacing w:after="0" w:line="240" w:lineRule="auto"/>
              <w:rPr>
                <w:noProof/>
              </w:rPr>
            </w:pPr>
            <w:r>
              <w:rPr>
                <w:noProof/>
              </w:rPr>
              <w:t>Livraison et installation de l’équipement réseau de GRNET sur 120 sites et livraison de l’équipement réseau de GRNET sur 110 autres sites.</w:t>
            </w:r>
          </w:p>
        </w:tc>
      </w:tr>
      <w:tr w:rsidR="00A00259" w14:paraId="624ECD6C" w14:textId="77777777" w:rsidTr="00CE3F9A">
        <w:trPr>
          <w:trHeight w:val="313"/>
          <w:jc w:val="center"/>
        </w:trPr>
        <w:tc>
          <w:tcPr>
            <w:tcW w:w="575" w:type="dxa"/>
            <w:shd w:val="clear" w:color="auto" w:fill="C6EFCE"/>
            <w:noWrap/>
          </w:tcPr>
          <w:p w14:paraId="74410049" w14:textId="77777777" w:rsidR="00A00259" w:rsidRDefault="00371282">
            <w:pPr>
              <w:pStyle w:val="P68B1DB1-Normal12"/>
              <w:spacing w:after="0" w:line="240" w:lineRule="auto"/>
              <w:rPr>
                <w:rFonts w:eastAsia="Times New Roman"/>
                <w:noProof/>
              </w:rPr>
            </w:pPr>
            <w:r>
              <w:rPr>
                <w:noProof/>
              </w:rPr>
              <w:t>127</w:t>
            </w:r>
          </w:p>
        </w:tc>
        <w:tc>
          <w:tcPr>
            <w:tcW w:w="2072" w:type="dxa"/>
            <w:shd w:val="clear" w:color="auto" w:fill="C6EFCE"/>
            <w:noWrap/>
          </w:tcPr>
          <w:p w14:paraId="7CB4EE9F" w14:textId="3211591C" w:rsidR="00A00259" w:rsidRDefault="00371282">
            <w:pPr>
              <w:pStyle w:val="P68B1DB1-Normal12"/>
              <w:spacing w:after="0" w:line="240" w:lineRule="auto"/>
              <w:rPr>
                <w:rFonts w:eastAsia="Times New Roman"/>
                <w:noProof/>
              </w:rPr>
            </w:pPr>
            <w:r>
              <w:rPr>
                <w:noProof/>
              </w:rPr>
              <w:t>6 - 2.2. 16956 _Expansion de Syzefxis II</w:t>
            </w:r>
          </w:p>
        </w:tc>
        <w:tc>
          <w:tcPr>
            <w:tcW w:w="1134" w:type="dxa"/>
            <w:shd w:val="clear" w:color="auto" w:fill="C6EFCE"/>
            <w:noWrap/>
          </w:tcPr>
          <w:p w14:paraId="44333E93" w14:textId="77777777" w:rsidR="00A00259" w:rsidRDefault="00371282">
            <w:pPr>
              <w:pStyle w:val="P68B1DB1-Normal12"/>
              <w:spacing w:after="0" w:line="240" w:lineRule="auto"/>
              <w:rPr>
                <w:rFonts w:eastAsia="Times New Roman"/>
                <w:noProof/>
              </w:rPr>
            </w:pPr>
            <w:r>
              <w:rPr>
                <w:noProof/>
              </w:rPr>
              <w:t>Étape</w:t>
            </w:r>
          </w:p>
        </w:tc>
        <w:tc>
          <w:tcPr>
            <w:tcW w:w="1417" w:type="dxa"/>
            <w:shd w:val="clear" w:color="auto" w:fill="C6EFCE"/>
            <w:noWrap/>
          </w:tcPr>
          <w:p w14:paraId="7CF46E22" w14:textId="5E944D3A" w:rsidR="00A00259" w:rsidRDefault="00371282">
            <w:pPr>
              <w:pStyle w:val="P68B1DB1-Normal12"/>
              <w:spacing w:after="0" w:line="240" w:lineRule="auto"/>
              <w:rPr>
                <w:rFonts w:eastAsia="Times New Roman"/>
                <w:noProof/>
              </w:rPr>
            </w:pPr>
            <w:r>
              <w:rPr>
                <w:noProof/>
              </w:rPr>
              <w:t>Syzefxis II</w:t>
            </w:r>
          </w:p>
        </w:tc>
        <w:tc>
          <w:tcPr>
            <w:tcW w:w="1701" w:type="dxa"/>
            <w:shd w:val="clear" w:color="auto" w:fill="C6EFCE"/>
            <w:noWrap/>
          </w:tcPr>
          <w:p w14:paraId="4831FB4C" w14:textId="7A63A3E7" w:rsidR="00A00259" w:rsidRDefault="00371282">
            <w:pPr>
              <w:pStyle w:val="P68B1DB1-Normal12"/>
              <w:spacing w:after="0" w:line="240" w:lineRule="auto"/>
              <w:rPr>
                <w:rFonts w:eastAsia="Times New Roman"/>
                <w:noProof/>
              </w:rPr>
            </w:pPr>
            <w:r>
              <w:rPr>
                <w:noProof/>
              </w:rPr>
              <w:t>Mise à niveau de Syzefxis II</w:t>
            </w:r>
          </w:p>
        </w:tc>
        <w:tc>
          <w:tcPr>
            <w:tcW w:w="1322" w:type="dxa"/>
            <w:shd w:val="clear" w:color="auto" w:fill="C6EFCE"/>
            <w:noWrap/>
          </w:tcPr>
          <w:p w14:paraId="408270A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6728423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0E80C40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76" w:type="dxa"/>
            <w:shd w:val="clear" w:color="auto" w:fill="C6EFCE"/>
            <w:noWrap/>
          </w:tcPr>
          <w:p w14:paraId="7CEDBD33" w14:textId="77777777" w:rsidR="00A00259" w:rsidRDefault="00371282">
            <w:pPr>
              <w:pStyle w:val="P68B1DB1-Normal12"/>
              <w:spacing w:after="0" w:line="240" w:lineRule="auto"/>
              <w:rPr>
                <w:rFonts w:eastAsia="Times New Roman"/>
                <w:noProof/>
              </w:rPr>
            </w:pPr>
            <w:r>
              <w:rPr>
                <w:noProof/>
              </w:rPr>
              <w:t>T4</w:t>
            </w:r>
          </w:p>
        </w:tc>
        <w:tc>
          <w:tcPr>
            <w:tcW w:w="766" w:type="dxa"/>
            <w:shd w:val="clear" w:color="auto" w:fill="C6EFCE"/>
            <w:noWrap/>
          </w:tcPr>
          <w:p w14:paraId="47803A40" w14:textId="77777777" w:rsidR="00A00259" w:rsidRDefault="00371282">
            <w:pPr>
              <w:pStyle w:val="P68B1DB1-Normal12"/>
              <w:spacing w:after="0" w:line="240" w:lineRule="auto"/>
              <w:rPr>
                <w:rFonts w:eastAsia="Times New Roman"/>
                <w:noProof/>
              </w:rPr>
            </w:pPr>
            <w:r>
              <w:rPr>
                <w:noProof/>
              </w:rPr>
              <w:t>2025</w:t>
            </w:r>
          </w:p>
        </w:tc>
        <w:tc>
          <w:tcPr>
            <w:tcW w:w="3398" w:type="dxa"/>
            <w:shd w:val="clear" w:color="auto" w:fill="C6EFCE"/>
            <w:noWrap/>
          </w:tcPr>
          <w:p w14:paraId="78C3F681" w14:textId="77777777" w:rsidR="00A00259" w:rsidRDefault="00371282">
            <w:pPr>
              <w:pStyle w:val="P68B1DB1-Normal12"/>
              <w:spacing w:after="0" w:line="240" w:lineRule="auto"/>
              <w:rPr>
                <w:noProof/>
              </w:rPr>
            </w:pPr>
            <w:r>
              <w:rPr>
                <w:noProof/>
              </w:rPr>
              <w:t xml:space="preserve">Livraison de </w:t>
            </w:r>
          </w:p>
          <w:p w14:paraId="71CCF4A0" w14:textId="77777777" w:rsidR="00A00259" w:rsidRDefault="00371282">
            <w:pPr>
              <w:pStyle w:val="P68B1DB1-Normal12"/>
              <w:spacing w:after="0" w:line="240" w:lineRule="auto"/>
              <w:rPr>
                <w:rFonts w:eastAsia="Times New Roman"/>
                <w:noProof/>
              </w:rPr>
            </w:pPr>
            <w:r>
              <w:rPr>
                <w:noProof/>
              </w:rPr>
              <w:t>- Un système numérique de collecte de données d'enquêtes sur site pour le déploiement de SYZEFXIS II</w:t>
            </w:r>
          </w:p>
          <w:p w14:paraId="5ED18EDB" w14:textId="77777777" w:rsidR="00A00259" w:rsidRDefault="00371282">
            <w:pPr>
              <w:pStyle w:val="P68B1DB1-Normal12"/>
              <w:spacing w:after="0" w:line="240" w:lineRule="auto"/>
              <w:rPr>
                <w:rFonts w:eastAsia="Times New Roman"/>
                <w:noProof/>
              </w:rPr>
            </w:pPr>
            <w:r>
              <w:rPr>
                <w:noProof/>
              </w:rPr>
              <w:t>- Services de contrôle et de surveillance de la qualité pour l'installation de systèmes de câblage du réseau national de télécommunications</w:t>
            </w:r>
          </w:p>
          <w:p w14:paraId="28624FEF" w14:textId="45FEF4E2" w:rsidR="00A00259" w:rsidRDefault="00371282">
            <w:pPr>
              <w:pStyle w:val="P68B1DB1-Normal12"/>
              <w:spacing w:after="0" w:line="240" w:lineRule="auto"/>
              <w:rPr>
                <w:rFonts w:eastAsia="Times New Roman"/>
                <w:noProof/>
              </w:rPr>
            </w:pPr>
            <w:r>
              <w:rPr>
                <w:noProof/>
              </w:rPr>
              <w:t>- Équipements d'alimentation électrique sans interruption dans les entités SYZEFXIS II</w:t>
            </w:r>
          </w:p>
          <w:p w14:paraId="5EA15EA3" w14:textId="77777777" w:rsidR="00A00259" w:rsidRDefault="00371282">
            <w:pPr>
              <w:pStyle w:val="P68B1DB1-Normal12"/>
              <w:spacing w:after="0" w:line="240" w:lineRule="auto"/>
              <w:rPr>
                <w:rFonts w:eastAsia="Times New Roman"/>
                <w:noProof/>
              </w:rPr>
            </w:pPr>
            <w:r>
              <w:rPr>
                <w:noProof/>
              </w:rPr>
              <w:t>- Un système de gestion de la sécurité de l'information pour le réseau du secteur public</w:t>
            </w:r>
          </w:p>
          <w:p w14:paraId="58F8F7FF" w14:textId="7E69EB16" w:rsidR="00A00259" w:rsidRDefault="00371282">
            <w:pPr>
              <w:pStyle w:val="P68B1DB1-Normal12"/>
              <w:spacing w:after="0" w:line="240" w:lineRule="auto"/>
              <w:rPr>
                <w:rFonts w:eastAsia="Times New Roman"/>
                <w:noProof/>
              </w:rPr>
            </w:pPr>
            <w:r>
              <w:rPr>
                <w:noProof/>
              </w:rPr>
              <w:t>- Installation d'une infrastructure de réseau dans le réseau scolaire panhellénique.</w:t>
            </w:r>
          </w:p>
        </w:tc>
      </w:tr>
      <w:tr w:rsidR="00A00259" w14:paraId="7D9387BA" w14:textId="77777777" w:rsidTr="00CE3F9A">
        <w:trPr>
          <w:trHeight w:val="313"/>
          <w:jc w:val="center"/>
        </w:trPr>
        <w:tc>
          <w:tcPr>
            <w:tcW w:w="575" w:type="dxa"/>
            <w:shd w:val="clear" w:color="auto" w:fill="C6EFCE"/>
            <w:noWrap/>
          </w:tcPr>
          <w:p w14:paraId="78DFB9F7" w14:textId="77777777" w:rsidR="00A00259" w:rsidRDefault="00371282">
            <w:pPr>
              <w:pStyle w:val="P68B1DB1-Normal12"/>
              <w:spacing w:after="0" w:line="240" w:lineRule="auto"/>
              <w:rPr>
                <w:rFonts w:eastAsia="Times New Roman"/>
                <w:noProof/>
              </w:rPr>
            </w:pPr>
            <w:r>
              <w:rPr>
                <w:noProof/>
              </w:rPr>
              <w:t>129</w:t>
            </w:r>
          </w:p>
        </w:tc>
        <w:tc>
          <w:tcPr>
            <w:tcW w:w="2072" w:type="dxa"/>
            <w:shd w:val="clear" w:color="auto" w:fill="C6EFCE"/>
            <w:noWrap/>
          </w:tcPr>
          <w:p w14:paraId="39EE4380" w14:textId="77777777" w:rsidR="00A00259" w:rsidRDefault="00371282">
            <w:pPr>
              <w:pStyle w:val="P68B1DB1-Normal12"/>
              <w:spacing w:after="0" w:line="240" w:lineRule="auto"/>
              <w:rPr>
                <w:rFonts w:eastAsia="Times New Roman"/>
                <w:noProof/>
              </w:rPr>
            </w:pPr>
            <w:r>
              <w:rPr>
                <w:noProof/>
              </w:rPr>
              <w:t>6 - 2.2. Moderniser - 16842_Central BI - Analyse de données</w:t>
            </w:r>
          </w:p>
        </w:tc>
        <w:tc>
          <w:tcPr>
            <w:tcW w:w="1134" w:type="dxa"/>
            <w:shd w:val="clear" w:color="auto" w:fill="C6EFCE"/>
            <w:noWrap/>
          </w:tcPr>
          <w:p w14:paraId="04A04844" w14:textId="77777777" w:rsidR="00A00259" w:rsidRDefault="00371282">
            <w:pPr>
              <w:pStyle w:val="P68B1DB1-Normal12"/>
              <w:spacing w:after="0" w:line="240" w:lineRule="auto"/>
              <w:rPr>
                <w:rFonts w:eastAsia="Times New Roman"/>
                <w:noProof/>
              </w:rPr>
            </w:pPr>
            <w:r>
              <w:rPr>
                <w:noProof/>
              </w:rPr>
              <w:t>Étape</w:t>
            </w:r>
          </w:p>
        </w:tc>
        <w:tc>
          <w:tcPr>
            <w:tcW w:w="1417" w:type="dxa"/>
            <w:shd w:val="clear" w:color="auto" w:fill="C6EFCE"/>
            <w:noWrap/>
          </w:tcPr>
          <w:p w14:paraId="1401061D" w14:textId="77777777" w:rsidR="00A00259" w:rsidRDefault="00371282">
            <w:pPr>
              <w:pStyle w:val="P68B1DB1-Normal12"/>
              <w:spacing w:after="0" w:line="240" w:lineRule="auto"/>
              <w:rPr>
                <w:rFonts w:eastAsia="Times New Roman"/>
                <w:noProof/>
              </w:rPr>
            </w:pPr>
            <w:r>
              <w:rPr>
                <w:noProof/>
              </w:rPr>
              <w:t>Livraison de Central BI</w:t>
            </w:r>
          </w:p>
        </w:tc>
        <w:tc>
          <w:tcPr>
            <w:tcW w:w="1701" w:type="dxa"/>
            <w:shd w:val="clear" w:color="auto" w:fill="C6EFCE"/>
            <w:noWrap/>
          </w:tcPr>
          <w:p w14:paraId="06543CDD" w14:textId="77777777" w:rsidR="00A00259" w:rsidRDefault="00371282">
            <w:pPr>
              <w:pStyle w:val="P68B1DB1-Normal12"/>
              <w:spacing w:after="0" w:line="240" w:lineRule="auto"/>
              <w:rPr>
                <w:rFonts w:eastAsia="Times New Roman"/>
                <w:noProof/>
              </w:rPr>
            </w:pPr>
            <w:r>
              <w:rPr>
                <w:noProof/>
              </w:rPr>
              <w:t xml:space="preserve">Réalisation du projet Central BI. </w:t>
            </w:r>
          </w:p>
        </w:tc>
        <w:tc>
          <w:tcPr>
            <w:tcW w:w="1322" w:type="dxa"/>
            <w:shd w:val="clear" w:color="auto" w:fill="C6EFCE"/>
            <w:noWrap/>
          </w:tcPr>
          <w:p w14:paraId="68AF91D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327B081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34F19D5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76" w:type="dxa"/>
            <w:shd w:val="clear" w:color="auto" w:fill="C6EFCE"/>
            <w:noWrap/>
          </w:tcPr>
          <w:p w14:paraId="342ED82B" w14:textId="77777777" w:rsidR="00A00259" w:rsidRDefault="00371282">
            <w:pPr>
              <w:pStyle w:val="P68B1DB1-Normal12"/>
              <w:spacing w:after="0" w:line="240" w:lineRule="auto"/>
              <w:rPr>
                <w:rFonts w:eastAsia="Times New Roman"/>
                <w:noProof/>
              </w:rPr>
            </w:pPr>
            <w:r>
              <w:rPr>
                <w:noProof/>
              </w:rPr>
              <w:t>T4</w:t>
            </w:r>
          </w:p>
        </w:tc>
        <w:tc>
          <w:tcPr>
            <w:tcW w:w="766" w:type="dxa"/>
            <w:shd w:val="clear" w:color="auto" w:fill="C6EFCE"/>
            <w:noWrap/>
          </w:tcPr>
          <w:p w14:paraId="0427CC3B" w14:textId="77777777" w:rsidR="00A00259" w:rsidRDefault="00371282">
            <w:pPr>
              <w:pStyle w:val="P68B1DB1-Normal12"/>
              <w:spacing w:after="0" w:line="240" w:lineRule="auto"/>
              <w:rPr>
                <w:rFonts w:eastAsia="Times New Roman"/>
                <w:noProof/>
              </w:rPr>
            </w:pPr>
            <w:r>
              <w:rPr>
                <w:noProof/>
              </w:rPr>
              <w:t>2025</w:t>
            </w:r>
          </w:p>
        </w:tc>
        <w:tc>
          <w:tcPr>
            <w:tcW w:w="3398" w:type="dxa"/>
            <w:shd w:val="clear" w:color="auto" w:fill="C6EFCE"/>
            <w:noWrap/>
          </w:tcPr>
          <w:p w14:paraId="05D2A869" w14:textId="7D8F39DA" w:rsidR="00A00259" w:rsidRDefault="00371282">
            <w:pPr>
              <w:pStyle w:val="P68B1DB1-Normal12"/>
              <w:spacing w:after="0" w:line="240" w:lineRule="auto"/>
              <w:rPr>
                <w:rFonts w:eastAsia="Times New Roman"/>
                <w:noProof/>
              </w:rPr>
            </w:pPr>
            <w:r>
              <w:rPr>
                <w:noProof/>
              </w:rPr>
              <w:t xml:space="preserve">Livraison du projet Central BI - Data Analytics, comme en témoigne le lancement de la solution de Business Intelligence National Dashboard, </w:t>
            </w:r>
          </w:p>
        </w:tc>
      </w:tr>
      <w:tr w:rsidR="00A00259" w14:paraId="30D2DCD1" w14:textId="77777777" w:rsidTr="00CE3F9A">
        <w:trPr>
          <w:trHeight w:val="313"/>
          <w:jc w:val="center"/>
        </w:trPr>
        <w:tc>
          <w:tcPr>
            <w:tcW w:w="575" w:type="dxa"/>
            <w:shd w:val="clear" w:color="auto" w:fill="C6EFCE"/>
            <w:noWrap/>
          </w:tcPr>
          <w:p w14:paraId="5FD64C14" w14:textId="4DCD28A1" w:rsidR="00A00259" w:rsidRDefault="00371282">
            <w:pPr>
              <w:pStyle w:val="P68B1DB1-Normal12"/>
              <w:spacing w:line="240" w:lineRule="auto"/>
              <w:rPr>
                <w:noProof/>
              </w:rPr>
            </w:pPr>
            <w:r>
              <w:rPr>
                <w:noProof/>
              </w:rPr>
              <w:t>400</w:t>
            </w:r>
          </w:p>
        </w:tc>
        <w:tc>
          <w:tcPr>
            <w:tcW w:w="2072" w:type="dxa"/>
            <w:shd w:val="clear" w:color="auto" w:fill="C6EFCE"/>
            <w:noWrap/>
          </w:tcPr>
          <w:p w14:paraId="6D477F6E" w14:textId="32C036E8" w:rsidR="00A00259" w:rsidRDefault="00371282">
            <w:pPr>
              <w:pStyle w:val="P68B1DB1-Normal12"/>
              <w:spacing w:line="240" w:lineRule="auto"/>
              <w:rPr>
                <w:noProof/>
              </w:rPr>
            </w:pPr>
            <w:r>
              <w:rPr>
                <w:noProof/>
              </w:rPr>
              <w:t>6 - 2.2. 16859_Contribution volontaire à l'entreprise commune EuroHPC</w:t>
            </w:r>
          </w:p>
        </w:tc>
        <w:tc>
          <w:tcPr>
            <w:tcW w:w="1134" w:type="dxa"/>
            <w:shd w:val="clear" w:color="auto" w:fill="C6EFCE"/>
            <w:noWrap/>
          </w:tcPr>
          <w:p w14:paraId="11844DD5" w14:textId="00C70557" w:rsidR="00A00259" w:rsidRDefault="00371282">
            <w:pPr>
              <w:pStyle w:val="P68B1DB1-Normal12"/>
              <w:spacing w:line="240" w:lineRule="auto"/>
              <w:rPr>
                <w:noProof/>
              </w:rPr>
            </w:pPr>
            <w:r>
              <w:rPr>
                <w:noProof/>
              </w:rPr>
              <w:t>Étape</w:t>
            </w:r>
          </w:p>
        </w:tc>
        <w:tc>
          <w:tcPr>
            <w:tcW w:w="1417" w:type="dxa"/>
            <w:shd w:val="clear" w:color="auto" w:fill="C6EFCE"/>
            <w:noWrap/>
          </w:tcPr>
          <w:p w14:paraId="4EED5D16" w14:textId="7395249C" w:rsidR="00A00259" w:rsidRDefault="00371282">
            <w:pPr>
              <w:pStyle w:val="P68B1DB1-Normal23"/>
              <w:spacing w:after="0" w:line="240" w:lineRule="auto"/>
              <w:rPr>
                <w:noProof/>
              </w:rPr>
            </w:pPr>
            <w:r>
              <w:rPr>
                <w:noProof/>
              </w:rPr>
              <w:t>Signature de la convention de contribution entre la Grèce et l’entreprise commune EuroHPC et versement de la contribution volontaire à l’entreprise commune EuroHPC</w:t>
            </w:r>
          </w:p>
        </w:tc>
        <w:tc>
          <w:tcPr>
            <w:tcW w:w="1701" w:type="dxa"/>
            <w:shd w:val="clear" w:color="auto" w:fill="C6EFCE"/>
            <w:noWrap/>
          </w:tcPr>
          <w:p w14:paraId="4D7354E7" w14:textId="0BD6767B" w:rsidR="00A00259" w:rsidRDefault="00371282">
            <w:pPr>
              <w:pStyle w:val="P68B1DB1-Normal23"/>
              <w:spacing w:after="0" w:line="240" w:lineRule="auto"/>
              <w:rPr>
                <w:noProof/>
              </w:rPr>
            </w:pPr>
            <w:r>
              <w:rPr>
                <w:noProof/>
              </w:rPr>
              <w:t>Signature de l'accord de contribution</w:t>
            </w:r>
          </w:p>
        </w:tc>
        <w:tc>
          <w:tcPr>
            <w:tcW w:w="1322" w:type="dxa"/>
            <w:shd w:val="clear" w:color="auto" w:fill="C6EFCE"/>
            <w:noWrap/>
          </w:tcPr>
          <w:p w14:paraId="4ABDD142" w14:textId="0338E827" w:rsidR="00A00259" w:rsidRDefault="00A00259">
            <w:pPr>
              <w:spacing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58222747" w14:textId="281B9922" w:rsidR="00A00259" w:rsidRDefault="00A00259">
            <w:pPr>
              <w:spacing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47A9FA40" w14:textId="7BC7F217" w:rsidR="00A00259" w:rsidRDefault="00A00259">
            <w:pPr>
              <w:spacing w:line="240" w:lineRule="auto"/>
              <w:rPr>
                <w:rFonts w:ascii="Times New Roman" w:eastAsia="Times New Roman" w:hAnsi="Times New Roman" w:cs="Times New Roman"/>
                <w:noProof/>
                <w:color w:val="006100"/>
                <w:sz w:val="18"/>
                <w:szCs w:val="18"/>
              </w:rPr>
            </w:pPr>
          </w:p>
        </w:tc>
        <w:tc>
          <w:tcPr>
            <w:tcW w:w="1076" w:type="dxa"/>
            <w:shd w:val="clear" w:color="auto" w:fill="C6EFCE"/>
            <w:noWrap/>
          </w:tcPr>
          <w:p w14:paraId="1D5CCD59" w14:textId="47492AFE" w:rsidR="00A00259" w:rsidRDefault="00371282">
            <w:pPr>
              <w:pStyle w:val="P68B1DB1-Normal12"/>
              <w:spacing w:line="240" w:lineRule="auto"/>
              <w:rPr>
                <w:noProof/>
              </w:rPr>
            </w:pPr>
            <w:r>
              <w:rPr>
                <w:noProof/>
              </w:rPr>
              <w:t>T2</w:t>
            </w:r>
          </w:p>
        </w:tc>
        <w:tc>
          <w:tcPr>
            <w:tcW w:w="766" w:type="dxa"/>
            <w:shd w:val="clear" w:color="auto" w:fill="C6EFCE"/>
            <w:noWrap/>
          </w:tcPr>
          <w:p w14:paraId="366D889D" w14:textId="3A15D4E7" w:rsidR="00A00259" w:rsidRDefault="00371282">
            <w:pPr>
              <w:pStyle w:val="P68B1DB1-Normal12"/>
              <w:spacing w:line="240" w:lineRule="auto"/>
              <w:rPr>
                <w:noProof/>
              </w:rPr>
            </w:pPr>
            <w:r>
              <w:rPr>
                <w:noProof/>
              </w:rPr>
              <w:t>2026</w:t>
            </w:r>
          </w:p>
        </w:tc>
        <w:tc>
          <w:tcPr>
            <w:tcW w:w="3398" w:type="dxa"/>
            <w:shd w:val="clear" w:color="auto" w:fill="C6EFCE"/>
            <w:noWrap/>
          </w:tcPr>
          <w:p w14:paraId="0AAEB1F6" w14:textId="3D8C0FD2" w:rsidR="00A00259" w:rsidRDefault="00371282">
            <w:pPr>
              <w:pStyle w:val="P68B1DB1-Normal23"/>
              <w:spacing w:after="0" w:line="240" w:lineRule="auto"/>
              <w:rPr>
                <w:noProof/>
              </w:rPr>
            </w:pPr>
            <w:r>
              <w:rPr>
                <w:noProof/>
              </w:rPr>
              <w:t>Signature de la convention de contribution entre la Grèce et l’entreprise commune pour le calcul à haute performance européen (EC EuroHPC).</w:t>
            </w:r>
          </w:p>
          <w:p w14:paraId="7C8278F7" w14:textId="77777777" w:rsidR="00A00259" w:rsidRDefault="00A00259">
            <w:pPr>
              <w:spacing w:after="0" w:line="240" w:lineRule="auto"/>
              <w:rPr>
                <w:rFonts w:ascii="Times New Roman" w:eastAsia="Times New Roman" w:hAnsi="Times New Roman" w:cs="Times New Roman"/>
                <w:noProof/>
                <w:color w:val="006100"/>
                <w:sz w:val="18"/>
                <w:szCs w:val="18"/>
              </w:rPr>
            </w:pPr>
          </w:p>
          <w:p w14:paraId="7CC8A8C6" w14:textId="0FEFC5C3" w:rsidR="00A00259" w:rsidRDefault="00371282">
            <w:pPr>
              <w:pStyle w:val="P68B1DB1-Normal23"/>
              <w:spacing w:after="80" w:line="240" w:lineRule="auto"/>
              <w:rPr>
                <w:noProof/>
              </w:rPr>
            </w:pPr>
            <w:r>
              <w:rPr>
                <w:noProof/>
              </w:rPr>
              <w:t xml:space="preserve">Cet accord de contribution comprend: </w:t>
            </w:r>
          </w:p>
          <w:p w14:paraId="0CC5E627" w14:textId="0C581603" w:rsidR="00A00259" w:rsidRDefault="00371282">
            <w:pPr>
              <w:spacing w:after="80" w:line="240" w:lineRule="auto"/>
              <w:rPr>
                <w:rFonts w:ascii="Times New Roman" w:eastAsia="Times New Roman" w:hAnsi="Times New Roman" w:cs="Times New Roman"/>
                <w:noProof/>
                <w:color w:val="006100"/>
                <w:sz w:val="18"/>
                <w:szCs w:val="18"/>
              </w:rPr>
            </w:pPr>
            <w:r>
              <w:rPr>
                <w:rFonts w:ascii="Times New Roman" w:eastAsia="Times New Roman" w:hAnsi="Times New Roman" w:cs="Times New Roman"/>
                <w:noProof/>
                <w:color w:val="006100"/>
                <w:sz w:val="18"/>
                <w:szCs w:val="18"/>
              </w:rPr>
              <w:t>- une indication des activités à financer au moyen de la contribution volontaire, à savoir un soutien financier à une Gigafactory d’IA et/ou à d’autres initiatives EuroHPC telles que les usines d’IA, les supercalculateurs ou les ordinateurs quantiques, ou à d’autres investissements dans l’IA, la technologie quantique ou le CHP liés aux objectifs de l’entreprise commune EuroHPC;</w:t>
            </w:r>
          </w:p>
          <w:p w14:paraId="047EA60E" w14:textId="2E8B999C" w:rsidR="00A00259" w:rsidRDefault="00371282">
            <w:pPr>
              <w:pStyle w:val="P68B1DB1-Normal23"/>
              <w:spacing w:after="80" w:line="240" w:lineRule="auto"/>
              <w:rPr>
                <w:noProof/>
              </w:rPr>
            </w:pPr>
            <w:r>
              <w:rPr>
                <w:noProof/>
              </w:rPr>
              <w:t xml:space="preserve">- l’exigence selon laquelle la contribution volontaire doit être utilisée d’une manière conforme au principe consistant à ne pas causer de préjudice important (DNSH), tel qu’énoncé dans les orientations techniques 2021/C58/01; </w:t>
            </w:r>
          </w:p>
          <w:p w14:paraId="1D5C4CE1" w14:textId="07F78808" w:rsidR="00A00259" w:rsidRDefault="00371282">
            <w:pPr>
              <w:pStyle w:val="P68B1DB1-Normal23"/>
              <w:spacing w:after="80" w:line="240" w:lineRule="auto"/>
              <w:rPr>
                <w:noProof/>
              </w:rPr>
            </w:pPr>
            <w:r>
              <w:rPr>
                <w:noProof/>
              </w:rPr>
              <w:t xml:space="preserve">- le montant exact de la contribution volontaire des fonds de la FRR; </w:t>
            </w:r>
          </w:p>
          <w:p w14:paraId="2626147C" w14:textId="157BB667" w:rsidR="00A00259" w:rsidRDefault="00371282">
            <w:pPr>
              <w:pStyle w:val="P68B1DB1-Normal23"/>
              <w:spacing w:after="80" w:line="240" w:lineRule="auto"/>
              <w:rPr>
                <w:noProof/>
              </w:rPr>
            </w:pPr>
            <w:r>
              <w:rPr>
                <w:noProof/>
              </w:rPr>
              <w:t>- Une exigence selon laquelle les montants inutilisés couverts par l’accord doivent être utilisés par l’entreprise commune EuroHPC pour soutenir les mêmes objectifs stratégiques au profit de l’État membre concerné et ne doivent pas être reversés à l’État membre.</w:t>
            </w:r>
          </w:p>
          <w:p w14:paraId="68FEB822" w14:textId="70662069" w:rsidR="00A00259" w:rsidRDefault="00371282">
            <w:pPr>
              <w:pStyle w:val="P68B1DB1-Normal23"/>
              <w:spacing w:after="0" w:line="240" w:lineRule="auto"/>
              <w:rPr>
                <w:noProof/>
              </w:rPr>
            </w:pPr>
            <w:r>
              <w:rPr>
                <w:noProof/>
              </w:rPr>
              <w:t>La Grèce transfère 350 000 000 EUR à l'entreprise commune EuroHPC.</w:t>
            </w:r>
          </w:p>
        </w:tc>
      </w:tr>
    </w:tbl>
    <w:p w14:paraId="1FCAE4A1" w14:textId="77777777" w:rsidR="00A00259" w:rsidRDefault="00A00259">
      <w:pPr>
        <w:spacing w:before="120" w:after="120" w:line="240" w:lineRule="auto"/>
        <w:rPr>
          <w:rFonts w:ascii="Times New Roman" w:hAnsi="Times New Roman" w:cs="Times New Roman"/>
          <w:noProof/>
          <w:sz w:val="24"/>
        </w:rPr>
        <w:sectPr w:rsidR="00A00259">
          <w:headerReference w:type="even" r:id="rId150"/>
          <w:headerReference w:type="default" r:id="rId151"/>
          <w:footerReference w:type="even" r:id="rId152"/>
          <w:footerReference w:type="default" r:id="rId153"/>
          <w:headerReference w:type="first" r:id="rId154"/>
          <w:footerReference w:type="first" r:id="rId155"/>
          <w:pgSz w:w="16839" w:h="11907" w:orient="landscape"/>
          <w:pgMar w:top="1134" w:right="1134" w:bottom="1134" w:left="1134" w:header="567" w:footer="567" w:gutter="0"/>
          <w:cols w:space="720"/>
          <w:docGrid w:linePitch="360"/>
        </w:sectPr>
      </w:pPr>
    </w:p>
    <w:p w14:paraId="45B1CA48" w14:textId="77777777" w:rsidR="00A00259" w:rsidRDefault="00371282">
      <w:pPr>
        <w:pStyle w:val="P68B1DB1-Normal17"/>
        <w:spacing w:before="120" w:after="120" w:line="240" w:lineRule="auto"/>
        <w:ind w:firstLine="6"/>
        <w:jc w:val="both"/>
        <w:outlineLvl w:val="3"/>
        <w:rPr>
          <w:rFonts w:cs="Times New Roman"/>
          <w:bCs/>
          <w:noProof/>
        </w:rPr>
      </w:pPr>
      <w:r>
        <w:rPr>
          <w:noProof/>
        </w:rPr>
        <w:t>G. Élément 2.3: DIGITALISATION DES ENTREPRISES</w:t>
      </w:r>
    </w:p>
    <w:p w14:paraId="50AA052C" w14:textId="77777777" w:rsidR="00A00259" w:rsidRDefault="00371282">
      <w:pPr>
        <w:pStyle w:val="P68B1DB1-Normal5"/>
        <w:spacing w:before="120" w:after="120" w:line="240" w:lineRule="auto"/>
        <w:jc w:val="both"/>
        <w:rPr>
          <w:rFonts w:cs="Times New Roman"/>
          <w:noProof/>
        </w:rPr>
      </w:pPr>
      <w:r>
        <w:rPr>
          <w:noProof/>
        </w:rPr>
        <w:t xml:space="preserve">Cette composante </w:t>
      </w:r>
      <w:r>
        <w:rPr>
          <w:noProof/>
          <w:color w:val="000000" w:themeColor="text1"/>
          <w:szCs w:val="24"/>
        </w:rPr>
        <w:t xml:space="preserve">de la reprise et de la résilience grecques </w:t>
      </w:r>
      <w:r>
        <w:rPr>
          <w:noProof/>
        </w:rPr>
        <w:t xml:space="preserve">concerne la fourniture de capitaux aux petites et moyennes entreprises grecques pour financer les investissements dans les technologies numériques et l’achat de services associés. Il vise à remédier aux faibles niveaux actuels de maturité numérique parmi eux, notamment en raison du faible niveau de compétences numériques, tout en favorisant la productivité et le développement d’entreprises innovantes. Dans le même temps, il devrait aider ces entreprises à s'adapter aux nouveaux défis et à tirer parti des tendances commerciales émergentes. En particulier, le volet prévoit la mise en place d’une place de marché numérique unique, à laquelle les fournisseurs de ces produits et services ont accès. La promotion de l'utilisation des paiements et des ventes électroniques, la mise à niveau des caisses enregistreuses et de l'écosystème des points de vente, ainsi que le </w:t>
      </w:r>
      <w:r>
        <w:rPr>
          <w:noProof/>
          <w:szCs w:val="24"/>
        </w:rPr>
        <w:t>développement</w:t>
      </w:r>
      <w:r>
        <w:rPr>
          <w:noProof/>
        </w:rPr>
        <w:t xml:space="preserve"> de </w:t>
      </w:r>
      <w:r>
        <w:rPr>
          <w:noProof/>
          <w:szCs w:val="24"/>
        </w:rPr>
        <w:t>produits de données industrielles sont des objectifs clés de ce volet.</w:t>
      </w:r>
      <w:r>
        <w:rPr>
          <w:noProof/>
        </w:rPr>
        <w:t xml:space="preserve"> En outre, le volet vise également à contribuer à la création d’un écosystème commercial numérique propice à la transformation numérique des petites et moyennes entreprises. Un mécanisme central de soutien aux petites et moyennes entreprises, facilitant la fourniture de programmes de formation et de sensibilisation afin qu’elles puissent tirer le meilleur parti des outils et services offerts par le marché numérique, est également envisagé. </w:t>
      </w:r>
    </w:p>
    <w:p w14:paraId="25953ABC" w14:textId="77777777" w:rsidR="00A00259" w:rsidRDefault="00371282">
      <w:pPr>
        <w:pStyle w:val="P68B1DB1-Normal5"/>
        <w:spacing w:before="120" w:after="120" w:line="240" w:lineRule="auto"/>
        <w:jc w:val="both"/>
        <w:rPr>
          <w:rFonts w:cs="Times New Roman"/>
          <w:noProof/>
          <w:szCs w:val="24"/>
        </w:rPr>
      </w:pPr>
      <w:r>
        <w:rPr>
          <w:noProof/>
        </w:rPr>
        <w:t>Les mesures devraient répondre à la transition numérique et aux défis qui en découlent, étant donné qu’elles devraient contribuer à l’adoption des technologies numériques et au renforcement des compétences numériques des petites et moyennes entreprises en Grèce. En outre, les mesures devraient également faciliter une croissance intelligente et durable en stimulant davantage l’investissement privé, contribuant ainsi à donner suite à la recommandation par pays sur l’investissement public et privé (recommandation par pays no 3 2020). 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68FAF84A" w14:textId="77777777" w:rsidR="00A00259" w:rsidRDefault="00371282">
      <w:pPr>
        <w:pStyle w:val="P68B1DB1-Normal6"/>
        <w:spacing w:before="120" w:after="120" w:line="240" w:lineRule="auto"/>
        <w:jc w:val="both"/>
        <w:rPr>
          <w:rFonts w:cs="Times New Roman"/>
          <w:i/>
          <w:noProof/>
          <w:color w:val="4F81BD"/>
        </w:rPr>
      </w:pPr>
      <w:r>
        <w:rPr>
          <w:noProof/>
        </w:rPr>
        <w:t>G.1. Description des réformes et des investissements pour le soutien financier non remboursable</w:t>
      </w:r>
    </w:p>
    <w:p w14:paraId="7F141F59"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Mise en place d’un écosystème d’entreprises numériques pour faciliter la transformation numérique des PME (mesure ID 16973)</w:t>
      </w:r>
    </w:p>
    <w:p w14:paraId="42038BD3" w14:textId="006E7BE5" w:rsidR="00A00259" w:rsidRDefault="00371282">
      <w:pPr>
        <w:pStyle w:val="P68B1DB1-Normal7"/>
        <w:spacing w:before="120" w:after="120" w:line="240" w:lineRule="auto"/>
        <w:jc w:val="both"/>
        <w:rPr>
          <w:rFonts w:cs="Times New Roman"/>
          <w:noProof/>
        </w:rPr>
      </w:pPr>
      <w:r>
        <w:rPr>
          <w:noProof/>
        </w:rPr>
        <w:t xml:space="preserve">L’objectif de la réforme est de créer un écosystème d’entreprises numériques pour la transformation numérique des PME. La réforme consiste en l'introduction d'un cadre pour: a) la mise en place d’une place de marché numérique pour la fourniture et l’achat de services et d’outils numériques, et b) la création de l’usine d’IA «Pharos». </w:t>
      </w:r>
    </w:p>
    <w:p w14:paraId="1D17E61C"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Transformation numérique des PME (mesure ID 16706)</w:t>
      </w:r>
    </w:p>
    <w:p w14:paraId="38E38C73" w14:textId="77777777" w:rsidR="00A00259" w:rsidRDefault="00371282">
      <w:pPr>
        <w:pStyle w:val="P68B1DB1-Normal7"/>
        <w:spacing w:before="120" w:after="120" w:line="240" w:lineRule="auto"/>
        <w:jc w:val="both"/>
        <w:rPr>
          <w:rFonts w:cs="Times New Roman"/>
          <w:noProof/>
        </w:rPr>
      </w:pPr>
      <w:r>
        <w:rPr>
          <w:noProof/>
        </w:rPr>
        <w:t xml:space="preserve">L’objectif de l’investissement est la transformation numérique des PME grecques. L’investissement consiste en la livraison et l’achat de produits numériques par des PME grecques. </w:t>
      </w:r>
    </w:p>
    <w:p w14:paraId="0C8FEE2C" w14:textId="77777777" w:rsidR="00A00259" w:rsidRDefault="00A00259">
      <w:pPr>
        <w:spacing w:before="120" w:after="120" w:line="240" w:lineRule="auto"/>
        <w:ind w:left="709"/>
        <w:jc w:val="both"/>
        <w:rPr>
          <w:rFonts w:ascii="Times New Roman" w:hAnsi="Times New Roman" w:cs="Times New Roman"/>
          <w:noProof/>
          <w:sz w:val="24"/>
        </w:rPr>
        <w:sectPr w:rsidR="00A00259">
          <w:headerReference w:type="even" r:id="rId156"/>
          <w:headerReference w:type="default" r:id="rId157"/>
          <w:footerReference w:type="even" r:id="rId158"/>
          <w:footerReference w:type="default" r:id="rId159"/>
          <w:headerReference w:type="first" r:id="rId160"/>
          <w:footerReference w:type="first" r:id="rId161"/>
          <w:pgSz w:w="11906" w:h="16838"/>
          <w:pgMar w:top="1134" w:right="1134" w:bottom="1134" w:left="1134" w:header="567" w:footer="567" w:gutter="0"/>
          <w:cols w:space="708"/>
          <w:docGrid w:linePitch="360"/>
        </w:sectPr>
      </w:pPr>
    </w:p>
    <w:p w14:paraId="08B0D206" w14:textId="77777777" w:rsidR="00A00259" w:rsidRDefault="00371282">
      <w:pPr>
        <w:pStyle w:val="P68B1DB1-Normal6"/>
        <w:spacing w:before="120" w:after="120" w:line="240" w:lineRule="auto"/>
        <w:jc w:val="both"/>
        <w:rPr>
          <w:noProof/>
        </w:rPr>
      </w:pPr>
      <w:r>
        <w:rPr>
          <w:noProof/>
        </w:rPr>
        <w:t>G.2. Étapes, cibles, indicateurs et calendrier pour le suivi et la mise en œuvre du soutien financier non remboursable</w:t>
      </w:r>
    </w:p>
    <w:p w14:paraId="0275E0F6" w14:textId="77777777" w:rsidR="00A00259" w:rsidRDefault="00371282">
      <w:pPr>
        <w:pStyle w:val="P68B1DB1-Normal9"/>
        <w:keepNext/>
        <w:keepLines/>
        <w:spacing w:before="40" w:after="0" w:line="240" w:lineRule="auto"/>
        <w:jc w:val="both"/>
        <w:outlineLvl w:val="4"/>
        <w:rPr>
          <w:noProof/>
        </w:rPr>
      </w:pPr>
      <w:r>
        <w:rPr>
          <w:noProof/>
        </w:rPr>
        <w:t>Investissement principal 4: Transformation numérique des PME</w:t>
      </w:r>
    </w:p>
    <w:tbl>
      <w:tblPr>
        <w:tblW w:w="14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2122"/>
        <w:gridCol w:w="1128"/>
        <w:gridCol w:w="1413"/>
        <w:gridCol w:w="1403"/>
        <w:gridCol w:w="946"/>
        <w:gridCol w:w="943"/>
        <w:gridCol w:w="953"/>
        <w:gridCol w:w="992"/>
        <w:gridCol w:w="709"/>
        <w:gridCol w:w="3480"/>
      </w:tblGrid>
      <w:tr w:rsidR="00A00259" w14:paraId="26722EEB" w14:textId="77777777" w:rsidTr="00CE3F9A">
        <w:trPr>
          <w:trHeight w:val="300"/>
          <w:tblHeader/>
          <w:jc w:val="center"/>
        </w:trPr>
        <w:tc>
          <w:tcPr>
            <w:tcW w:w="698" w:type="dxa"/>
            <w:vMerge w:val="restart"/>
            <w:shd w:val="clear" w:color="auto" w:fill="BDD7EE"/>
            <w:vAlign w:val="center"/>
            <w:hideMark/>
          </w:tcPr>
          <w:p w14:paraId="7F43FA5B" w14:textId="77777777" w:rsidR="00A00259" w:rsidRDefault="00371282">
            <w:pPr>
              <w:pStyle w:val="P68B1DB1-Normal36"/>
              <w:spacing w:after="0" w:line="240" w:lineRule="auto"/>
              <w:jc w:val="center"/>
              <w:rPr>
                <w:rFonts w:ascii="Times New Roman" w:eastAsia="Times New Roman" w:hAnsi="Times New Roman" w:cs="Times New Roman"/>
                <w:b/>
                <w:bCs/>
                <w:noProof/>
                <w:szCs w:val="18"/>
              </w:rPr>
            </w:pPr>
            <w:r>
              <w:rPr>
                <w:rFonts w:ascii="Times New Roman" w:hAnsi="Times New Roman" w:cs="Times New Roman"/>
                <w:noProof/>
                <w:color w:val="006100"/>
                <w:szCs w:val="18"/>
              </w:rPr>
              <w:t> </w:t>
            </w:r>
            <w:r>
              <w:rPr>
                <w:rFonts w:ascii="Times New Roman" w:hAnsi="Times New Roman"/>
                <w:b/>
                <w:noProof/>
              </w:rPr>
              <w:t xml:space="preserve">Seq. </w:t>
            </w:r>
            <w:r>
              <w:rPr>
                <w:rFonts w:ascii="Times New Roman" w:hAnsi="Times New Roman"/>
                <w:b/>
                <w:noProof/>
              </w:rPr>
              <w:br/>
              <w:t>Non.</w:t>
            </w:r>
          </w:p>
        </w:tc>
        <w:tc>
          <w:tcPr>
            <w:tcW w:w="2122" w:type="dxa"/>
            <w:vMerge w:val="restart"/>
            <w:shd w:val="clear" w:color="auto" w:fill="BDD7EE"/>
            <w:vAlign w:val="center"/>
            <w:hideMark/>
          </w:tcPr>
          <w:p w14:paraId="6DE86FB7"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128" w:type="dxa"/>
            <w:vMerge w:val="restart"/>
            <w:shd w:val="clear" w:color="auto" w:fill="BDD7EE"/>
            <w:vAlign w:val="center"/>
            <w:hideMark/>
          </w:tcPr>
          <w:p w14:paraId="0912BD97"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413" w:type="dxa"/>
            <w:vMerge w:val="restart"/>
            <w:shd w:val="clear" w:color="auto" w:fill="BDD7EE"/>
            <w:vAlign w:val="center"/>
            <w:hideMark/>
          </w:tcPr>
          <w:p w14:paraId="2EFFF1F2"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403" w:type="dxa"/>
            <w:vMerge w:val="restart"/>
            <w:shd w:val="clear" w:color="auto" w:fill="BDD7EE"/>
            <w:vAlign w:val="center"/>
            <w:hideMark/>
          </w:tcPr>
          <w:p w14:paraId="2BF18B36"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2842" w:type="dxa"/>
            <w:gridSpan w:val="3"/>
            <w:shd w:val="clear" w:color="auto" w:fill="BDD7EE"/>
            <w:vAlign w:val="center"/>
            <w:hideMark/>
          </w:tcPr>
          <w:p w14:paraId="6C76563B" w14:textId="77777777" w:rsidR="00A00259" w:rsidRDefault="00371282">
            <w:pPr>
              <w:pStyle w:val="P68B1DB1-Normal10"/>
              <w:spacing w:after="0" w:line="240" w:lineRule="auto"/>
              <w:jc w:val="center"/>
              <w:rPr>
                <w:rFonts w:eastAsia="Times New Roman" w:cs="Times New Roman"/>
                <w:bCs/>
                <w:noProof/>
                <w:szCs w:val="18"/>
              </w:rPr>
            </w:pPr>
            <w:r>
              <w:rPr>
                <w:noProof/>
              </w:rPr>
              <w:t>Indicateurs quantitatifs (pour les objectifs)</w:t>
            </w:r>
          </w:p>
        </w:tc>
        <w:tc>
          <w:tcPr>
            <w:tcW w:w="1701" w:type="dxa"/>
            <w:gridSpan w:val="2"/>
            <w:shd w:val="clear" w:color="auto" w:fill="BDD7EE"/>
            <w:vAlign w:val="center"/>
            <w:hideMark/>
          </w:tcPr>
          <w:p w14:paraId="12D6F771"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3480" w:type="dxa"/>
            <w:vMerge w:val="restart"/>
            <w:shd w:val="clear" w:color="auto" w:fill="BDD7EE"/>
            <w:vAlign w:val="center"/>
            <w:hideMark/>
          </w:tcPr>
          <w:p w14:paraId="5BDF7401"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0D17FF74" w14:textId="77777777" w:rsidTr="00CE3F9A">
        <w:trPr>
          <w:trHeight w:val="300"/>
          <w:tblHeader/>
          <w:jc w:val="center"/>
        </w:trPr>
        <w:tc>
          <w:tcPr>
            <w:tcW w:w="698" w:type="dxa"/>
            <w:vMerge/>
            <w:vAlign w:val="center"/>
            <w:hideMark/>
          </w:tcPr>
          <w:p w14:paraId="057EBE13" w14:textId="77777777" w:rsidR="00A00259" w:rsidRDefault="00A00259">
            <w:pPr>
              <w:spacing w:after="0" w:line="240" w:lineRule="auto"/>
              <w:rPr>
                <w:rFonts w:ascii="Times New Roman" w:eastAsia="Times New Roman" w:hAnsi="Times New Roman" w:cs="Times New Roman"/>
                <w:b/>
                <w:bCs/>
                <w:noProof/>
                <w:sz w:val="18"/>
                <w:szCs w:val="18"/>
              </w:rPr>
            </w:pPr>
          </w:p>
        </w:tc>
        <w:tc>
          <w:tcPr>
            <w:tcW w:w="2122" w:type="dxa"/>
            <w:vMerge/>
            <w:vAlign w:val="center"/>
            <w:hideMark/>
          </w:tcPr>
          <w:p w14:paraId="6A4E8411" w14:textId="77777777" w:rsidR="00A00259" w:rsidRDefault="00A00259">
            <w:pPr>
              <w:spacing w:after="0" w:line="240" w:lineRule="auto"/>
              <w:rPr>
                <w:rFonts w:ascii="Times New Roman" w:eastAsia="Times New Roman" w:hAnsi="Times New Roman" w:cs="Times New Roman"/>
                <w:b/>
                <w:bCs/>
                <w:noProof/>
                <w:sz w:val="18"/>
                <w:szCs w:val="18"/>
              </w:rPr>
            </w:pPr>
          </w:p>
        </w:tc>
        <w:tc>
          <w:tcPr>
            <w:tcW w:w="1128" w:type="dxa"/>
            <w:vMerge/>
            <w:vAlign w:val="center"/>
            <w:hideMark/>
          </w:tcPr>
          <w:p w14:paraId="612D5D9C" w14:textId="77777777" w:rsidR="00A00259" w:rsidRDefault="00A00259">
            <w:pPr>
              <w:spacing w:after="0" w:line="240" w:lineRule="auto"/>
              <w:rPr>
                <w:rFonts w:ascii="Times New Roman" w:eastAsia="Times New Roman" w:hAnsi="Times New Roman" w:cs="Times New Roman"/>
                <w:b/>
                <w:bCs/>
                <w:noProof/>
                <w:sz w:val="18"/>
                <w:szCs w:val="18"/>
              </w:rPr>
            </w:pPr>
          </w:p>
        </w:tc>
        <w:tc>
          <w:tcPr>
            <w:tcW w:w="1413" w:type="dxa"/>
            <w:vMerge/>
            <w:vAlign w:val="center"/>
            <w:hideMark/>
          </w:tcPr>
          <w:p w14:paraId="246D16EB" w14:textId="77777777" w:rsidR="00A00259" w:rsidRDefault="00A00259">
            <w:pPr>
              <w:spacing w:after="0" w:line="240" w:lineRule="auto"/>
              <w:rPr>
                <w:rFonts w:ascii="Times New Roman" w:eastAsia="Times New Roman" w:hAnsi="Times New Roman" w:cs="Times New Roman"/>
                <w:b/>
                <w:bCs/>
                <w:noProof/>
                <w:sz w:val="18"/>
                <w:szCs w:val="18"/>
              </w:rPr>
            </w:pPr>
          </w:p>
        </w:tc>
        <w:tc>
          <w:tcPr>
            <w:tcW w:w="1403" w:type="dxa"/>
            <w:vMerge/>
            <w:vAlign w:val="center"/>
            <w:hideMark/>
          </w:tcPr>
          <w:p w14:paraId="081508C5" w14:textId="77777777" w:rsidR="00A00259" w:rsidRDefault="00A00259">
            <w:pPr>
              <w:spacing w:after="0" w:line="240" w:lineRule="auto"/>
              <w:rPr>
                <w:rFonts w:ascii="Times New Roman" w:eastAsia="Times New Roman" w:hAnsi="Times New Roman" w:cs="Times New Roman"/>
                <w:b/>
                <w:bCs/>
                <w:noProof/>
                <w:sz w:val="18"/>
                <w:szCs w:val="18"/>
              </w:rPr>
            </w:pPr>
          </w:p>
        </w:tc>
        <w:tc>
          <w:tcPr>
            <w:tcW w:w="946" w:type="dxa"/>
            <w:shd w:val="clear" w:color="auto" w:fill="BDD7EE"/>
            <w:vAlign w:val="center"/>
            <w:hideMark/>
          </w:tcPr>
          <w:p w14:paraId="29FE276A"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943" w:type="dxa"/>
            <w:shd w:val="clear" w:color="auto" w:fill="BDD7EE"/>
            <w:vAlign w:val="center"/>
            <w:hideMark/>
          </w:tcPr>
          <w:p w14:paraId="163AC9AE"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953" w:type="dxa"/>
            <w:shd w:val="clear" w:color="auto" w:fill="BDD7EE"/>
            <w:vAlign w:val="center"/>
            <w:hideMark/>
          </w:tcPr>
          <w:p w14:paraId="6857C637"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992" w:type="dxa"/>
            <w:shd w:val="clear" w:color="auto" w:fill="BDD7EE"/>
            <w:vAlign w:val="center"/>
            <w:hideMark/>
          </w:tcPr>
          <w:p w14:paraId="0A5C1A0E"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709" w:type="dxa"/>
            <w:shd w:val="clear" w:color="auto" w:fill="BDD7EE"/>
            <w:vAlign w:val="center"/>
            <w:hideMark/>
          </w:tcPr>
          <w:p w14:paraId="0A60380C"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3480" w:type="dxa"/>
            <w:vMerge/>
            <w:vAlign w:val="center"/>
            <w:hideMark/>
          </w:tcPr>
          <w:p w14:paraId="2852D73D"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553C7EBA" w14:textId="77777777" w:rsidTr="00CE3F9A">
        <w:trPr>
          <w:trHeight w:val="300"/>
          <w:jc w:val="center"/>
        </w:trPr>
        <w:tc>
          <w:tcPr>
            <w:tcW w:w="698" w:type="dxa"/>
            <w:shd w:val="clear" w:color="auto" w:fill="C6EFCE"/>
            <w:noWrap/>
          </w:tcPr>
          <w:p w14:paraId="6CAFB2C5" w14:textId="77777777" w:rsidR="00A00259" w:rsidRDefault="00371282">
            <w:pPr>
              <w:pStyle w:val="P68B1DB1-Normal12"/>
              <w:spacing w:after="0" w:line="240" w:lineRule="auto"/>
              <w:rPr>
                <w:rFonts w:eastAsia="Times New Roman"/>
                <w:noProof/>
              </w:rPr>
            </w:pPr>
            <w:r>
              <w:rPr>
                <w:noProof/>
              </w:rPr>
              <w:t>130</w:t>
            </w:r>
          </w:p>
        </w:tc>
        <w:tc>
          <w:tcPr>
            <w:tcW w:w="2122" w:type="dxa"/>
            <w:shd w:val="clear" w:color="auto" w:fill="C6EFCE"/>
            <w:noWrap/>
          </w:tcPr>
          <w:p w14:paraId="2B6A2129" w14:textId="77777777" w:rsidR="00A00259" w:rsidRDefault="00371282">
            <w:pPr>
              <w:pStyle w:val="P68B1DB1-Normal12"/>
              <w:spacing w:after="0" w:line="240" w:lineRule="auto"/>
              <w:rPr>
                <w:rFonts w:eastAsia="Times New Roman"/>
                <w:noProof/>
              </w:rPr>
            </w:pPr>
            <w:r>
              <w:rPr>
                <w:noProof/>
              </w:rPr>
              <w:t>7 - 2.3. Numérisation des entreprises - 16706_Transformation numérique des PME</w:t>
            </w:r>
          </w:p>
        </w:tc>
        <w:tc>
          <w:tcPr>
            <w:tcW w:w="1128" w:type="dxa"/>
            <w:shd w:val="clear" w:color="auto" w:fill="C6EFCE"/>
            <w:noWrap/>
          </w:tcPr>
          <w:p w14:paraId="2186E375" w14:textId="77777777" w:rsidR="00A00259" w:rsidRDefault="00371282">
            <w:pPr>
              <w:pStyle w:val="P68B1DB1-Normal12"/>
              <w:spacing w:after="0" w:line="240" w:lineRule="auto"/>
              <w:rPr>
                <w:rFonts w:eastAsia="Times New Roman"/>
                <w:noProof/>
              </w:rPr>
            </w:pPr>
            <w:r>
              <w:rPr>
                <w:noProof/>
              </w:rPr>
              <w:t>Étape</w:t>
            </w:r>
          </w:p>
        </w:tc>
        <w:tc>
          <w:tcPr>
            <w:tcW w:w="1413" w:type="dxa"/>
            <w:shd w:val="clear" w:color="auto" w:fill="C6EFCE"/>
            <w:noWrap/>
          </w:tcPr>
          <w:p w14:paraId="4ED0D6DF" w14:textId="77777777" w:rsidR="00A00259" w:rsidRDefault="00371282">
            <w:pPr>
              <w:pStyle w:val="P68B1DB1-Normal12"/>
              <w:spacing w:after="0" w:line="240" w:lineRule="auto"/>
              <w:rPr>
                <w:rFonts w:eastAsia="Times New Roman"/>
                <w:noProof/>
              </w:rPr>
            </w:pPr>
            <w:r>
              <w:rPr>
                <w:noProof/>
              </w:rPr>
              <w:t>Transformation numérique des PME - appels à propositions</w:t>
            </w:r>
          </w:p>
        </w:tc>
        <w:tc>
          <w:tcPr>
            <w:tcW w:w="1403" w:type="dxa"/>
            <w:shd w:val="clear" w:color="auto" w:fill="C6EFCE"/>
            <w:noWrap/>
          </w:tcPr>
          <w:p w14:paraId="3CCFFAE9" w14:textId="77777777" w:rsidR="00A00259" w:rsidRDefault="00371282">
            <w:pPr>
              <w:pStyle w:val="P68B1DB1-Normal12"/>
              <w:spacing w:after="0" w:line="240" w:lineRule="auto"/>
              <w:rPr>
                <w:rFonts w:eastAsia="Times New Roman"/>
                <w:noProof/>
              </w:rPr>
            </w:pPr>
            <w:r>
              <w:rPr>
                <w:noProof/>
              </w:rPr>
              <w:t>Appel à propositions publié</w:t>
            </w:r>
          </w:p>
        </w:tc>
        <w:tc>
          <w:tcPr>
            <w:tcW w:w="946" w:type="dxa"/>
            <w:shd w:val="clear" w:color="auto" w:fill="C6EFCE"/>
            <w:noWrap/>
          </w:tcPr>
          <w:p w14:paraId="11D9849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43" w:type="dxa"/>
            <w:shd w:val="clear" w:color="auto" w:fill="C6EFCE"/>
            <w:noWrap/>
          </w:tcPr>
          <w:p w14:paraId="60BFE3A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53" w:type="dxa"/>
            <w:shd w:val="clear" w:color="auto" w:fill="C6EFCE"/>
            <w:noWrap/>
          </w:tcPr>
          <w:p w14:paraId="3C8C645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70F32B8F" w14:textId="77777777" w:rsidR="00A00259" w:rsidRDefault="00371282">
            <w:pPr>
              <w:pStyle w:val="P68B1DB1-Normal12"/>
              <w:spacing w:after="0" w:line="240" w:lineRule="auto"/>
              <w:rPr>
                <w:rFonts w:eastAsia="Times New Roman"/>
                <w:noProof/>
              </w:rPr>
            </w:pPr>
            <w:r>
              <w:rPr>
                <w:noProof/>
              </w:rPr>
              <w:t>T1</w:t>
            </w:r>
          </w:p>
        </w:tc>
        <w:tc>
          <w:tcPr>
            <w:tcW w:w="709" w:type="dxa"/>
            <w:shd w:val="clear" w:color="auto" w:fill="C6EFCE"/>
            <w:noWrap/>
          </w:tcPr>
          <w:p w14:paraId="3BDAFCBE" w14:textId="77777777" w:rsidR="00A00259" w:rsidRDefault="00371282">
            <w:pPr>
              <w:pStyle w:val="P68B1DB1-Normal12"/>
              <w:spacing w:after="0" w:line="240" w:lineRule="auto"/>
              <w:rPr>
                <w:rFonts w:eastAsia="Times New Roman"/>
                <w:noProof/>
              </w:rPr>
            </w:pPr>
            <w:r>
              <w:rPr>
                <w:noProof/>
              </w:rPr>
              <w:t>2022</w:t>
            </w:r>
          </w:p>
        </w:tc>
        <w:tc>
          <w:tcPr>
            <w:tcW w:w="3480" w:type="dxa"/>
            <w:shd w:val="clear" w:color="auto" w:fill="C6EFCE"/>
            <w:noWrap/>
          </w:tcPr>
          <w:p w14:paraId="5B1EDF29" w14:textId="77777777" w:rsidR="00A00259" w:rsidRDefault="00371282">
            <w:pPr>
              <w:pStyle w:val="P68B1DB1-Normal12"/>
              <w:spacing w:after="0" w:line="240" w:lineRule="auto"/>
              <w:rPr>
                <w:rFonts w:eastAsia="Times New Roman"/>
                <w:noProof/>
              </w:rPr>
            </w:pPr>
            <w:r>
              <w:rPr>
                <w:noProof/>
              </w:rPr>
              <w:t xml:space="preserve">Lancement de tous les appels à propositions concurrentiels pour le financement du système de chèques pour la transformation numérique des entreprises (sous-projets 1), des plateformes de données industrielles et des espaces de données (sous-projets 2) et des caisses enregistreuses et la mise à niveau de l’écosystème des points de vente (sous-projets 4), avec un mandat comprenant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 </w:t>
            </w:r>
          </w:p>
          <w:p w14:paraId="4A641570" w14:textId="77777777" w:rsidR="00A00259" w:rsidRDefault="00A00259">
            <w:pPr>
              <w:spacing w:after="0" w:line="240" w:lineRule="auto"/>
              <w:rPr>
                <w:rFonts w:ascii="Times New Roman" w:eastAsia="Times New Roman" w:hAnsi="Times New Roman" w:cs="Times New Roman"/>
                <w:noProof/>
                <w:color w:val="006100"/>
                <w:sz w:val="18"/>
                <w:szCs w:val="18"/>
              </w:rPr>
            </w:pPr>
          </w:p>
          <w:p w14:paraId="7C9758F4" w14:textId="77777777" w:rsidR="00A00259" w:rsidRDefault="00371282">
            <w:pPr>
              <w:pStyle w:val="P68B1DB1-Normal12"/>
              <w:spacing w:after="0" w:line="240" w:lineRule="auto"/>
              <w:rPr>
                <w:rFonts w:eastAsia="Times New Roman"/>
                <w:noProof/>
              </w:rPr>
            </w:pPr>
            <w:r>
              <w:rPr>
                <w:noProof/>
              </w:rPr>
              <w:t xml:space="preserve">Les investissements sont ciblés sur les technologies et les services visant à favoriser la numérisation des petites et moyennes entreprises, à savoir les applications de paiement électronique, de vente en ligne et de facturation électronique, les outils de publicité numérique, les systèmes de télétravail, l’analyse commerciale, le perfectionnement numérique, les services de sauvegarde et de reprise après sinistre, l’intelligence artificielle, l’internet des objets, la fourniture de solutions intégrées pour les services sans contact, les systèmes de cybersécurité, les infrastructures et services en nuage, les modèles et logiciels de plateformes de données industrielles, les caisses enregistreuses et la mise à niveau de l’écosystème des points de vente. </w:t>
            </w:r>
          </w:p>
        </w:tc>
      </w:tr>
      <w:tr w:rsidR="00A00259" w14:paraId="72EBF7A7" w14:textId="77777777" w:rsidTr="00CE3F9A">
        <w:trPr>
          <w:trHeight w:val="300"/>
          <w:jc w:val="center"/>
        </w:trPr>
        <w:tc>
          <w:tcPr>
            <w:tcW w:w="698" w:type="dxa"/>
            <w:shd w:val="clear" w:color="auto" w:fill="C6EFCE"/>
            <w:noWrap/>
          </w:tcPr>
          <w:p w14:paraId="0CD6899A" w14:textId="77777777" w:rsidR="00A00259" w:rsidRDefault="00371282">
            <w:pPr>
              <w:pStyle w:val="P68B1DB1-Normal12"/>
              <w:spacing w:after="0" w:line="240" w:lineRule="auto"/>
              <w:rPr>
                <w:rFonts w:eastAsia="Times New Roman"/>
                <w:noProof/>
              </w:rPr>
            </w:pPr>
            <w:r>
              <w:rPr>
                <w:noProof/>
              </w:rPr>
              <w:t>131</w:t>
            </w:r>
          </w:p>
        </w:tc>
        <w:tc>
          <w:tcPr>
            <w:tcW w:w="2122" w:type="dxa"/>
            <w:shd w:val="clear" w:color="auto" w:fill="C6EFCE"/>
            <w:noWrap/>
          </w:tcPr>
          <w:p w14:paraId="1D699F3B" w14:textId="77777777" w:rsidR="00A00259" w:rsidRDefault="00371282">
            <w:pPr>
              <w:pStyle w:val="P68B1DB1-Normal12"/>
              <w:spacing w:after="0" w:line="240" w:lineRule="auto"/>
              <w:rPr>
                <w:rFonts w:eastAsia="Times New Roman"/>
                <w:noProof/>
              </w:rPr>
            </w:pPr>
            <w:r>
              <w:rPr>
                <w:noProof/>
              </w:rPr>
              <w:t>7 - 2.3. Numérisation des entreprises - 16706_Transformation numérique des PME</w:t>
            </w:r>
          </w:p>
        </w:tc>
        <w:tc>
          <w:tcPr>
            <w:tcW w:w="1128" w:type="dxa"/>
            <w:shd w:val="clear" w:color="auto" w:fill="C6EFCE"/>
            <w:noWrap/>
          </w:tcPr>
          <w:p w14:paraId="780E5C71" w14:textId="77777777" w:rsidR="00A00259" w:rsidRDefault="00371282">
            <w:pPr>
              <w:pStyle w:val="P68B1DB1-Normal12"/>
              <w:spacing w:after="0" w:line="240" w:lineRule="auto"/>
              <w:rPr>
                <w:rFonts w:eastAsia="Times New Roman"/>
                <w:noProof/>
              </w:rPr>
            </w:pPr>
            <w:r>
              <w:rPr>
                <w:noProof/>
              </w:rPr>
              <w:t>Étape</w:t>
            </w:r>
          </w:p>
        </w:tc>
        <w:tc>
          <w:tcPr>
            <w:tcW w:w="1413" w:type="dxa"/>
            <w:shd w:val="clear" w:color="auto" w:fill="C6EFCE"/>
            <w:noWrap/>
          </w:tcPr>
          <w:p w14:paraId="59FD5C3A" w14:textId="77777777" w:rsidR="00A00259" w:rsidRDefault="00371282">
            <w:pPr>
              <w:pStyle w:val="P68B1DB1-Normal12"/>
              <w:spacing w:after="0" w:line="240" w:lineRule="auto"/>
              <w:rPr>
                <w:rFonts w:eastAsia="Times New Roman"/>
                <w:noProof/>
              </w:rPr>
            </w:pPr>
            <w:r>
              <w:rPr>
                <w:noProof/>
              </w:rPr>
              <w:t>Transformation numérique des PME – Soutien à la numérisation au moyen de systèmes de bons</w:t>
            </w:r>
          </w:p>
        </w:tc>
        <w:tc>
          <w:tcPr>
            <w:tcW w:w="1403" w:type="dxa"/>
            <w:shd w:val="clear" w:color="auto" w:fill="C6EFCE"/>
            <w:noWrap/>
          </w:tcPr>
          <w:p w14:paraId="67C7FC9A" w14:textId="46C9349F" w:rsidR="00A00259" w:rsidRDefault="00371282">
            <w:pPr>
              <w:pStyle w:val="P68B1DB1-Normal12"/>
              <w:spacing w:after="0" w:line="240" w:lineRule="auto"/>
              <w:rPr>
                <w:noProof/>
              </w:rPr>
            </w:pPr>
            <w:r>
              <w:rPr>
                <w:noProof/>
              </w:rPr>
              <w:t>-72 400 PME ont bénéficié d’un soutien à la numérisation financé par le système de bons</w:t>
            </w:r>
          </w:p>
          <w:p w14:paraId="7E32907C" w14:textId="77777777" w:rsidR="00A00259" w:rsidRDefault="00A00259">
            <w:pPr>
              <w:spacing w:after="0" w:line="240" w:lineRule="auto"/>
              <w:rPr>
                <w:rFonts w:ascii="Times New Roman" w:hAnsi="Times New Roman" w:cs="Times New Roman"/>
                <w:noProof/>
                <w:color w:val="006100"/>
                <w:sz w:val="18"/>
                <w:szCs w:val="18"/>
              </w:rPr>
            </w:pPr>
          </w:p>
          <w:p w14:paraId="7EADE5A2" w14:textId="68D12601" w:rsidR="00A00259" w:rsidRDefault="00371282">
            <w:pPr>
              <w:spacing w:after="0" w:line="240" w:lineRule="auto"/>
              <w:rPr>
                <w:rFonts w:ascii="Times New Roman" w:eastAsia="Times New Roman" w:hAnsi="Times New Roman" w:cs="Times New Roman"/>
                <w:noProof/>
                <w:color w:val="006100"/>
                <w:sz w:val="18"/>
                <w:szCs w:val="18"/>
              </w:rPr>
            </w:pPr>
            <w:r>
              <w:rPr>
                <w:rFonts w:ascii="Times New Roman" w:hAnsi="Times New Roman" w:cs="Times New Roman"/>
                <w:noProof/>
                <w:color w:val="006100"/>
                <w:sz w:val="18"/>
                <w:szCs w:val="18"/>
              </w:rPr>
              <w:t>- 102 500 caisses enregistreuses (ou facturation électronique / facturation mobile) et</w:t>
            </w:r>
            <w:r>
              <w:rPr>
                <w:noProof/>
              </w:rPr>
              <w:br/>
            </w:r>
            <w:r>
              <w:rPr>
                <w:rFonts w:ascii="Times New Roman" w:hAnsi="Times New Roman" w:cs="Times New Roman"/>
                <w:noProof/>
                <w:color w:val="006100"/>
                <w:sz w:val="18"/>
                <w:szCs w:val="18"/>
              </w:rPr>
              <w:t>12 500 points de vente neufs, modernisés ou remplacés, financés par un système de bons</w:t>
            </w:r>
          </w:p>
        </w:tc>
        <w:tc>
          <w:tcPr>
            <w:tcW w:w="946" w:type="dxa"/>
            <w:shd w:val="clear" w:color="auto" w:fill="C6EFCE"/>
            <w:noWrap/>
          </w:tcPr>
          <w:p w14:paraId="704F71E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43" w:type="dxa"/>
            <w:shd w:val="clear" w:color="auto" w:fill="C6EFCE"/>
            <w:noWrap/>
          </w:tcPr>
          <w:p w14:paraId="32D1CD7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53" w:type="dxa"/>
            <w:shd w:val="clear" w:color="auto" w:fill="C6EFCE"/>
            <w:noWrap/>
          </w:tcPr>
          <w:p w14:paraId="35C31AC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8E71D03" w14:textId="77777777" w:rsidR="00A00259" w:rsidRDefault="00371282">
            <w:pPr>
              <w:pStyle w:val="P68B1DB1-Normal12"/>
              <w:spacing w:after="0" w:line="240" w:lineRule="auto"/>
              <w:rPr>
                <w:rFonts w:eastAsia="Times New Roman"/>
                <w:noProof/>
              </w:rPr>
            </w:pPr>
            <w:r>
              <w:rPr>
                <w:noProof/>
              </w:rPr>
              <w:t>T2</w:t>
            </w:r>
          </w:p>
        </w:tc>
        <w:tc>
          <w:tcPr>
            <w:tcW w:w="709" w:type="dxa"/>
            <w:shd w:val="clear" w:color="auto" w:fill="C6EFCE"/>
            <w:noWrap/>
          </w:tcPr>
          <w:p w14:paraId="7550B1F6" w14:textId="77777777" w:rsidR="00A00259" w:rsidRDefault="00371282">
            <w:pPr>
              <w:pStyle w:val="P68B1DB1-Normal12"/>
              <w:spacing w:after="0" w:line="240" w:lineRule="auto"/>
              <w:rPr>
                <w:rFonts w:eastAsia="Times New Roman"/>
                <w:noProof/>
              </w:rPr>
            </w:pPr>
            <w:r>
              <w:rPr>
                <w:noProof/>
              </w:rPr>
              <w:t>2025</w:t>
            </w:r>
          </w:p>
        </w:tc>
        <w:tc>
          <w:tcPr>
            <w:tcW w:w="3480" w:type="dxa"/>
            <w:shd w:val="clear" w:color="auto" w:fill="C6EFCE"/>
            <w:noWrap/>
          </w:tcPr>
          <w:p w14:paraId="33C81B36" w14:textId="61A926B5" w:rsidR="00A00259" w:rsidRDefault="00371282">
            <w:pPr>
              <w:pStyle w:val="P68B1DB1-Normal12"/>
              <w:spacing w:after="0" w:line="240" w:lineRule="auto"/>
              <w:rPr>
                <w:noProof/>
              </w:rPr>
            </w:pPr>
            <w:r>
              <w:rPr>
                <w:noProof/>
              </w:rPr>
              <w:t>-72 400 PME ont bénéficié d’un soutien à la numérisation financé par le système de bons</w:t>
            </w:r>
          </w:p>
          <w:p w14:paraId="1EC8AF60" w14:textId="77777777" w:rsidR="00A00259" w:rsidRDefault="00A00259">
            <w:pPr>
              <w:spacing w:after="0" w:line="240" w:lineRule="auto"/>
              <w:rPr>
                <w:rFonts w:ascii="Times New Roman" w:hAnsi="Times New Roman" w:cs="Times New Roman"/>
                <w:noProof/>
                <w:color w:val="006100"/>
                <w:sz w:val="18"/>
                <w:szCs w:val="18"/>
              </w:rPr>
            </w:pPr>
          </w:p>
          <w:p w14:paraId="13FCB7AA" w14:textId="215201FE" w:rsidR="00A00259" w:rsidRDefault="00371282">
            <w:pPr>
              <w:pStyle w:val="P68B1DB1-Normal12"/>
              <w:spacing w:after="0" w:line="240" w:lineRule="auto"/>
              <w:rPr>
                <w:noProof/>
              </w:rPr>
            </w:pPr>
            <w:r>
              <w:rPr>
                <w:noProof/>
              </w:rPr>
              <w:t>- 102 500 caisses enregistreuses ou facturation électronique ou mobile (par exemple, X-VAN) nouvelles, mises à niveau ou remplacées, et 12 500 systèmes de point de vente nouveaux, mis à niveau ou remplacés, financés par un système de bons</w:t>
            </w:r>
          </w:p>
          <w:p w14:paraId="611EBAAA" w14:textId="77777777" w:rsidR="00A00259" w:rsidRDefault="00A00259">
            <w:pPr>
              <w:spacing w:after="0" w:line="240" w:lineRule="auto"/>
              <w:rPr>
                <w:rFonts w:ascii="Times New Roman" w:eastAsia="Times New Roman" w:hAnsi="Times New Roman" w:cs="Times New Roman"/>
                <w:noProof/>
                <w:color w:val="006100"/>
                <w:sz w:val="18"/>
                <w:szCs w:val="18"/>
              </w:rPr>
            </w:pPr>
          </w:p>
        </w:tc>
      </w:tr>
      <w:tr w:rsidR="00A00259" w14:paraId="4A6BEEB4" w14:textId="77777777" w:rsidTr="00CE3F9A">
        <w:trPr>
          <w:trHeight w:val="300"/>
          <w:jc w:val="center"/>
        </w:trPr>
        <w:tc>
          <w:tcPr>
            <w:tcW w:w="698" w:type="dxa"/>
            <w:shd w:val="clear" w:color="auto" w:fill="C6EFCE"/>
            <w:noWrap/>
          </w:tcPr>
          <w:p w14:paraId="6188B116" w14:textId="58FA46E0" w:rsidR="00A00259" w:rsidRDefault="00371282">
            <w:pPr>
              <w:pStyle w:val="P68B1DB1-Normal12"/>
              <w:spacing w:line="240" w:lineRule="auto"/>
              <w:rPr>
                <w:noProof/>
              </w:rPr>
            </w:pPr>
            <w:r>
              <w:rPr>
                <w:noProof/>
              </w:rPr>
              <w:t>131 bis</w:t>
            </w:r>
          </w:p>
        </w:tc>
        <w:tc>
          <w:tcPr>
            <w:tcW w:w="2122" w:type="dxa"/>
            <w:shd w:val="clear" w:color="auto" w:fill="C6EFCE"/>
            <w:noWrap/>
          </w:tcPr>
          <w:p w14:paraId="53FE76BA" w14:textId="77777777" w:rsidR="00A00259" w:rsidRDefault="00371282">
            <w:pPr>
              <w:pStyle w:val="P68B1DB1-Normal12"/>
              <w:spacing w:after="0" w:line="240" w:lineRule="auto"/>
              <w:rPr>
                <w:rFonts w:eastAsia="Times New Roman"/>
                <w:noProof/>
              </w:rPr>
            </w:pPr>
            <w:r>
              <w:rPr>
                <w:noProof/>
              </w:rPr>
              <w:t>7 - 2.3. Numérisation des entreprises - 16706_Transformation numérique des PME</w:t>
            </w:r>
          </w:p>
        </w:tc>
        <w:tc>
          <w:tcPr>
            <w:tcW w:w="1128" w:type="dxa"/>
            <w:shd w:val="clear" w:color="auto" w:fill="C6EFCE"/>
            <w:noWrap/>
          </w:tcPr>
          <w:p w14:paraId="641DA053" w14:textId="77777777" w:rsidR="00A00259" w:rsidRDefault="00371282">
            <w:pPr>
              <w:pStyle w:val="P68B1DB1-Normal12"/>
              <w:spacing w:after="0" w:line="240" w:lineRule="auto"/>
              <w:rPr>
                <w:rFonts w:eastAsia="Times New Roman"/>
                <w:noProof/>
              </w:rPr>
            </w:pPr>
            <w:r>
              <w:rPr>
                <w:noProof/>
              </w:rPr>
              <w:t>Étape</w:t>
            </w:r>
          </w:p>
        </w:tc>
        <w:tc>
          <w:tcPr>
            <w:tcW w:w="1413" w:type="dxa"/>
            <w:shd w:val="clear" w:color="auto" w:fill="C6EFCE"/>
            <w:noWrap/>
          </w:tcPr>
          <w:p w14:paraId="10EB2C4F" w14:textId="0ECFED9C" w:rsidR="00A00259" w:rsidRDefault="00371282">
            <w:pPr>
              <w:pStyle w:val="P68B1DB1-Normal12"/>
              <w:spacing w:after="0"/>
              <w:rPr>
                <w:noProof/>
              </w:rPr>
            </w:pPr>
            <w:r>
              <w:rPr>
                <w:noProof/>
              </w:rPr>
              <w:t>Transformation numérique des PME - Réalisation de l'étape 2 des projets d'investissement pour les produits/services numériques</w:t>
            </w:r>
          </w:p>
        </w:tc>
        <w:tc>
          <w:tcPr>
            <w:tcW w:w="1403" w:type="dxa"/>
            <w:shd w:val="clear" w:color="auto" w:fill="C6EFCE"/>
            <w:noWrap/>
          </w:tcPr>
          <w:p w14:paraId="290F80C8" w14:textId="06D67AB2" w:rsidR="00A00259" w:rsidRDefault="00371282">
            <w:pPr>
              <w:pStyle w:val="P68B1DB1-Normal12"/>
              <w:spacing w:after="0" w:line="240" w:lineRule="auto"/>
              <w:rPr>
                <w:noProof/>
              </w:rPr>
            </w:pPr>
            <w:r>
              <w:rPr>
                <w:noProof/>
              </w:rPr>
              <w:t>Étape 2 des 100 projets d’investissement réalisés</w:t>
            </w:r>
          </w:p>
        </w:tc>
        <w:tc>
          <w:tcPr>
            <w:tcW w:w="946" w:type="dxa"/>
            <w:shd w:val="clear" w:color="auto" w:fill="C6EFCE"/>
            <w:noWrap/>
          </w:tcPr>
          <w:p w14:paraId="52CC4755" w14:textId="7954C62A" w:rsidR="00A00259" w:rsidRDefault="00A00259">
            <w:pPr>
              <w:spacing w:line="240" w:lineRule="auto"/>
              <w:rPr>
                <w:rFonts w:ascii="Times New Roman" w:eastAsia="Times New Roman" w:hAnsi="Times New Roman" w:cs="Times New Roman"/>
                <w:noProof/>
                <w:color w:val="006100"/>
                <w:sz w:val="18"/>
                <w:szCs w:val="18"/>
              </w:rPr>
            </w:pPr>
          </w:p>
        </w:tc>
        <w:tc>
          <w:tcPr>
            <w:tcW w:w="943" w:type="dxa"/>
            <w:shd w:val="clear" w:color="auto" w:fill="C6EFCE"/>
            <w:noWrap/>
          </w:tcPr>
          <w:p w14:paraId="01D95715" w14:textId="77777777" w:rsidR="00A00259" w:rsidRDefault="00A00259">
            <w:pPr>
              <w:spacing w:line="240" w:lineRule="auto"/>
              <w:rPr>
                <w:rFonts w:ascii="Times New Roman" w:eastAsia="Times New Roman" w:hAnsi="Times New Roman" w:cs="Times New Roman"/>
                <w:noProof/>
                <w:color w:val="006100"/>
                <w:sz w:val="18"/>
                <w:szCs w:val="18"/>
              </w:rPr>
            </w:pPr>
          </w:p>
        </w:tc>
        <w:tc>
          <w:tcPr>
            <w:tcW w:w="953" w:type="dxa"/>
            <w:shd w:val="clear" w:color="auto" w:fill="C6EFCE"/>
            <w:noWrap/>
          </w:tcPr>
          <w:p w14:paraId="09EE73E2" w14:textId="77777777" w:rsidR="00A00259" w:rsidRDefault="00A00259">
            <w:pPr>
              <w:spacing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BE061E0" w14:textId="77777777" w:rsidR="00A00259" w:rsidRDefault="00371282">
            <w:pPr>
              <w:pStyle w:val="P68B1DB1-Normal12"/>
              <w:spacing w:line="240" w:lineRule="auto"/>
              <w:rPr>
                <w:noProof/>
              </w:rPr>
            </w:pPr>
            <w:r>
              <w:rPr>
                <w:noProof/>
              </w:rPr>
              <w:t>T4</w:t>
            </w:r>
          </w:p>
        </w:tc>
        <w:tc>
          <w:tcPr>
            <w:tcW w:w="709" w:type="dxa"/>
            <w:shd w:val="clear" w:color="auto" w:fill="C6EFCE"/>
            <w:noWrap/>
          </w:tcPr>
          <w:p w14:paraId="0A177E66" w14:textId="77777777" w:rsidR="00A00259" w:rsidRDefault="00371282">
            <w:pPr>
              <w:pStyle w:val="P68B1DB1-Normal12"/>
              <w:spacing w:line="240" w:lineRule="auto"/>
              <w:rPr>
                <w:noProof/>
              </w:rPr>
            </w:pPr>
            <w:r>
              <w:rPr>
                <w:noProof/>
              </w:rPr>
              <w:t>2025</w:t>
            </w:r>
          </w:p>
        </w:tc>
        <w:tc>
          <w:tcPr>
            <w:tcW w:w="3480" w:type="dxa"/>
            <w:shd w:val="clear" w:color="auto" w:fill="C6EFCE"/>
            <w:noWrap/>
          </w:tcPr>
          <w:p w14:paraId="4258C3D8" w14:textId="67D7C4EC" w:rsidR="00A00259" w:rsidRDefault="00371282">
            <w:pPr>
              <w:pStyle w:val="P68B1DB1-Normal12"/>
              <w:spacing w:after="0" w:line="240" w:lineRule="auto"/>
              <w:rPr>
                <w:noProof/>
              </w:rPr>
            </w:pPr>
            <w:r>
              <w:rPr>
                <w:noProof/>
              </w:rPr>
              <w:t>Livraison du prototype fonctionnel (étape 2) de 100 projets d'investissement ciblés sur les produits/services numériques</w:t>
            </w:r>
          </w:p>
          <w:p w14:paraId="625DFAD0" w14:textId="77777777" w:rsidR="00A00259" w:rsidRDefault="00A00259">
            <w:pPr>
              <w:spacing w:after="0" w:line="240" w:lineRule="auto"/>
              <w:rPr>
                <w:rFonts w:ascii="Times New Roman" w:hAnsi="Times New Roman" w:cs="Times New Roman"/>
                <w:noProof/>
                <w:color w:val="006100"/>
                <w:sz w:val="18"/>
                <w:szCs w:val="18"/>
              </w:rPr>
            </w:pPr>
          </w:p>
        </w:tc>
      </w:tr>
      <w:tr w:rsidR="00A00259" w14:paraId="1DDA5C25" w14:textId="77777777" w:rsidTr="00CE3F9A">
        <w:trPr>
          <w:trHeight w:val="300"/>
          <w:jc w:val="center"/>
        </w:trPr>
        <w:tc>
          <w:tcPr>
            <w:tcW w:w="698" w:type="dxa"/>
            <w:shd w:val="clear" w:color="auto" w:fill="C6EFCE"/>
            <w:noWrap/>
            <w:hideMark/>
          </w:tcPr>
          <w:p w14:paraId="29B153DF" w14:textId="77777777" w:rsidR="00A00259" w:rsidRDefault="00371282">
            <w:pPr>
              <w:pStyle w:val="P68B1DB1-Normal12"/>
              <w:spacing w:after="0" w:line="240" w:lineRule="auto"/>
              <w:rPr>
                <w:rFonts w:eastAsia="Times New Roman"/>
                <w:noProof/>
              </w:rPr>
            </w:pPr>
            <w:r>
              <w:rPr>
                <w:noProof/>
              </w:rPr>
              <w:t>132</w:t>
            </w:r>
          </w:p>
        </w:tc>
        <w:tc>
          <w:tcPr>
            <w:tcW w:w="2122" w:type="dxa"/>
            <w:shd w:val="clear" w:color="auto" w:fill="C6EFCE"/>
            <w:noWrap/>
            <w:hideMark/>
          </w:tcPr>
          <w:p w14:paraId="12EB5BBF" w14:textId="77777777" w:rsidR="00A00259" w:rsidRDefault="00371282">
            <w:pPr>
              <w:pStyle w:val="P68B1DB1-Normal12"/>
              <w:spacing w:after="0" w:line="240" w:lineRule="auto"/>
              <w:rPr>
                <w:rFonts w:eastAsia="Times New Roman"/>
                <w:noProof/>
              </w:rPr>
            </w:pPr>
            <w:r>
              <w:rPr>
                <w:noProof/>
              </w:rPr>
              <w:t>7 - 2.3. «Numérisation des entreprises» - 16973_Mise en place d'un écosystème d'entreprises numériques pour faciliter la transformation numérique des PME</w:t>
            </w:r>
          </w:p>
        </w:tc>
        <w:tc>
          <w:tcPr>
            <w:tcW w:w="1128" w:type="dxa"/>
            <w:shd w:val="clear" w:color="auto" w:fill="C6EFCE"/>
            <w:noWrap/>
            <w:hideMark/>
          </w:tcPr>
          <w:p w14:paraId="6A2B57AC" w14:textId="77777777" w:rsidR="00A00259" w:rsidRDefault="00371282">
            <w:pPr>
              <w:pStyle w:val="P68B1DB1-Normal12"/>
              <w:spacing w:after="0" w:line="240" w:lineRule="auto"/>
              <w:rPr>
                <w:rFonts w:eastAsia="Times New Roman"/>
                <w:noProof/>
              </w:rPr>
            </w:pPr>
            <w:r>
              <w:rPr>
                <w:noProof/>
              </w:rPr>
              <w:t>Étape</w:t>
            </w:r>
          </w:p>
        </w:tc>
        <w:tc>
          <w:tcPr>
            <w:tcW w:w="1413" w:type="dxa"/>
            <w:shd w:val="clear" w:color="auto" w:fill="C6EFCE"/>
            <w:noWrap/>
            <w:hideMark/>
          </w:tcPr>
          <w:p w14:paraId="1BCF3E8C" w14:textId="77777777" w:rsidR="00A00259" w:rsidRDefault="00371282">
            <w:pPr>
              <w:pStyle w:val="P68B1DB1-Normal12"/>
              <w:spacing w:after="0" w:line="240" w:lineRule="auto"/>
              <w:rPr>
                <w:rFonts w:eastAsia="Times New Roman"/>
                <w:noProof/>
              </w:rPr>
            </w:pPr>
            <w:r>
              <w:rPr>
                <w:noProof/>
              </w:rPr>
              <w:t>Transformation numérique des PME – Réforme législative visant à encourager l’adoption des technologies</w:t>
            </w:r>
          </w:p>
        </w:tc>
        <w:tc>
          <w:tcPr>
            <w:tcW w:w="1403" w:type="dxa"/>
            <w:shd w:val="clear" w:color="auto" w:fill="C6EFCE"/>
            <w:noWrap/>
            <w:hideMark/>
          </w:tcPr>
          <w:p w14:paraId="789F4B43" w14:textId="77777777" w:rsidR="00A00259" w:rsidRDefault="00371282">
            <w:pPr>
              <w:pStyle w:val="P68B1DB1-Normal12"/>
              <w:spacing w:after="0" w:line="240" w:lineRule="auto"/>
              <w:rPr>
                <w:rFonts w:eastAsia="Times New Roman"/>
                <w:noProof/>
              </w:rPr>
            </w:pPr>
            <w:r>
              <w:rPr>
                <w:noProof/>
              </w:rPr>
              <w:t xml:space="preserve">Entrée en vigueur de la législation relative à la création de l’eMarketPlace et de l’usine d’IA «Pharos». </w:t>
            </w:r>
          </w:p>
        </w:tc>
        <w:tc>
          <w:tcPr>
            <w:tcW w:w="946" w:type="dxa"/>
            <w:shd w:val="clear" w:color="auto" w:fill="C6EFCE"/>
            <w:noWrap/>
          </w:tcPr>
          <w:p w14:paraId="1217315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43" w:type="dxa"/>
            <w:shd w:val="clear" w:color="auto" w:fill="C6EFCE"/>
            <w:noWrap/>
          </w:tcPr>
          <w:p w14:paraId="1ECCB4F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53" w:type="dxa"/>
            <w:shd w:val="clear" w:color="auto" w:fill="C6EFCE"/>
            <w:noWrap/>
          </w:tcPr>
          <w:p w14:paraId="2E464F5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hideMark/>
          </w:tcPr>
          <w:p w14:paraId="5A5E11D2" w14:textId="77777777" w:rsidR="00A00259" w:rsidRDefault="00371282">
            <w:pPr>
              <w:pStyle w:val="P68B1DB1-Normal12"/>
              <w:spacing w:after="0" w:line="240" w:lineRule="auto"/>
              <w:rPr>
                <w:rFonts w:eastAsia="Times New Roman"/>
                <w:noProof/>
              </w:rPr>
            </w:pPr>
            <w:r>
              <w:rPr>
                <w:noProof/>
              </w:rPr>
              <w:t>T2</w:t>
            </w:r>
          </w:p>
        </w:tc>
        <w:tc>
          <w:tcPr>
            <w:tcW w:w="709" w:type="dxa"/>
            <w:shd w:val="clear" w:color="auto" w:fill="C6EFCE"/>
            <w:noWrap/>
            <w:hideMark/>
          </w:tcPr>
          <w:p w14:paraId="65DE89FE" w14:textId="77777777" w:rsidR="00A00259" w:rsidRDefault="00371282">
            <w:pPr>
              <w:pStyle w:val="P68B1DB1-Normal12"/>
              <w:spacing w:after="0" w:line="240" w:lineRule="auto"/>
              <w:rPr>
                <w:rFonts w:eastAsia="Times New Roman"/>
                <w:noProof/>
              </w:rPr>
            </w:pPr>
            <w:r>
              <w:rPr>
                <w:noProof/>
              </w:rPr>
              <w:t>2025</w:t>
            </w:r>
          </w:p>
        </w:tc>
        <w:tc>
          <w:tcPr>
            <w:tcW w:w="3480" w:type="dxa"/>
            <w:shd w:val="clear" w:color="auto" w:fill="C6EFCE"/>
            <w:noWrap/>
            <w:hideMark/>
          </w:tcPr>
          <w:p w14:paraId="5943ECA5" w14:textId="725F05BB" w:rsidR="00A00259" w:rsidRDefault="00371282">
            <w:pPr>
              <w:pStyle w:val="P68B1DB1-Normal12"/>
              <w:spacing w:after="0" w:line="240" w:lineRule="auto"/>
              <w:rPr>
                <w:rFonts w:eastAsia="Times New Roman"/>
                <w:noProof/>
              </w:rPr>
            </w:pPr>
            <w:r>
              <w:rPr>
                <w:noProof/>
              </w:rPr>
              <w:t xml:space="preserve">Entrée en vigueur du cadre réglementaire pour a) la création de l’e-Marketplace afin de financer la fourniture et la mise en œuvre d’outils et de processus numériques et b) la création de l’entité juridique chargée de gérer l’IA Pharos, de gérer les données fournies par les entités du secteur public et de fournir des services, par exemple l’accès aux données, aux ressources informatiques et à la formation aux jeunes entreprises et aux PME. </w:t>
            </w:r>
          </w:p>
        </w:tc>
      </w:tr>
    </w:tbl>
    <w:p w14:paraId="5D0DC7FD" w14:textId="77777777" w:rsidR="00A00259" w:rsidRDefault="00A00259">
      <w:pPr>
        <w:spacing w:before="120" w:after="120" w:line="240" w:lineRule="auto"/>
        <w:jc w:val="both"/>
        <w:outlineLvl w:val="3"/>
        <w:rPr>
          <w:rFonts w:ascii="Times New Roman" w:hAnsi="Times New Roman" w:cs="Times New Roman"/>
          <w:b/>
          <w:bCs/>
          <w:noProof/>
          <w:sz w:val="24"/>
        </w:rPr>
        <w:sectPr w:rsidR="00A00259">
          <w:headerReference w:type="even" r:id="rId162"/>
          <w:headerReference w:type="default" r:id="rId163"/>
          <w:footerReference w:type="even" r:id="rId164"/>
          <w:footerReference w:type="default" r:id="rId165"/>
          <w:headerReference w:type="first" r:id="rId166"/>
          <w:footerReference w:type="first" r:id="rId167"/>
          <w:pgSz w:w="16839" w:h="11907" w:orient="landscape"/>
          <w:pgMar w:top="1134" w:right="1134" w:bottom="1134" w:left="1134" w:header="567" w:footer="567" w:gutter="0"/>
          <w:cols w:space="720"/>
          <w:docGrid w:linePitch="360"/>
        </w:sectPr>
      </w:pPr>
    </w:p>
    <w:p w14:paraId="74BE18DD" w14:textId="77777777" w:rsidR="00A00259" w:rsidRDefault="00371282">
      <w:pPr>
        <w:pStyle w:val="P68B1DB1-Normal17"/>
        <w:spacing w:before="120" w:after="120" w:line="240" w:lineRule="auto"/>
        <w:ind w:firstLine="6"/>
        <w:jc w:val="both"/>
        <w:outlineLvl w:val="3"/>
        <w:rPr>
          <w:noProof/>
        </w:rPr>
      </w:pPr>
      <w:r>
        <w:rPr>
          <w:noProof/>
        </w:rPr>
        <w:t xml:space="preserve">H. ÉLÉMENT 3.1: PROMOUVOIR LA CRÉATION D'EMPLOI ET LA PARTICIPATION AU MARCHÉ DU TRAVAIL </w:t>
      </w:r>
    </w:p>
    <w:p w14:paraId="3BCCBBF7" w14:textId="77777777" w:rsidR="00A00259" w:rsidRDefault="00371282">
      <w:pPr>
        <w:pStyle w:val="P68B1DB1-Normal14"/>
        <w:spacing w:before="120" w:after="120" w:line="240" w:lineRule="auto"/>
        <w:jc w:val="both"/>
        <w:rPr>
          <w:rFonts w:ascii="Times New Roman" w:hAnsi="Times New Roman" w:cs="Times New Roman"/>
          <w:noProof/>
          <w:color w:val="000000"/>
          <w:szCs w:val="24"/>
          <w:shd w:val="clear" w:color="auto" w:fill="FFFFFF"/>
        </w:rPr>
      </w:pPr>
      <w:r>
        <w:rPr>
          <w:rFonts w:ascii="Times New Roman" w:hAnsi="Times New Roman"/>
          <w:noProof/>
          <w:color w:val="000000"/>
          <w:shd w:val="clear" w:color="auto" w:fill="FFFFFF"/>
        </w:rPr>
        <w:t>Ce volet</w:t>
      </w:r>
      <w:r>
        <w:rPr>
          <w:rFonts w:ascii="Times New Roman" w:hAnsi="Times New Roman"/>
          <w:noProof/>
        </w:rPr>
        <w:t xml:space="preserve"> </w:t>
      </w:r>
      <w:r>
        <w:rPr>
          <w:rFonts w:ascii="Times New Roman" w:hAnsi="Times New Roman"/>
          <w:noProof/>
          <w:color w:val="000000"/>
        </w:rPr>
        <w:t>du plan grec pour la reprise et la résilience</w:t>
      </w:r>
      <w:r>
        <w:rPr>
          <w:rFonts w:ascii="Times New Roman" w:hAnsi="Times New Roman"/>
          <w:noProof/>
        </w:rPr>
        <w:t xml:space="preserve"> </w:t>
      </w:r>
      <w:r>
        <w:rPr>
          <w:rFonts w:ascii="Times New Roman" w:hAnsi="Times New Roman"/>
          <w:noProof/>
          <w:color w:val="000000"/>
          <w:shd w:val="clear" w:color="auto" w:fill="FFFFFF"/>
        </w:rPr>
        <w:t>comprend des mesures visant à repenser et à renforcer les politiques actives du marché du travail, à améliorer l’efficacité des services publics de l’emploi et à fournir un filet de sécurité efficace contre le chômage tout en renforçant les incitations à la réintégration sur le marché du travail.</w:t>
      </w:r>
      <w:r>
        <w:rPr>
          <w:rFonts w:ascii="Times New Roman" w:hAnsi="Times New Roman"/>
          <w:b/>
          <w:noProof/>
          <w:color w:val="000000"/>
          <w:shd w:val="clear" w:color="auto" w:fill="FFFFFF"/>
        </w:rPr>
        <w:t xml:space="preserve"> </w:t>
      </w:r>
      <w:r>
        <w:rPr>
          <w:rFonts w:ascii="Times New Roman" w:hAnsi="Times New Roman"/>
          <w:noProof/>
          <w:color w:val="000000"/>
          <w:shd w:val="clear" w:color="auto" w:fill="FFFFFF"/>
        </w:rPr>
        <w:t xml:space="preserve">La majeure partie des mesures du volet est concentrée sur les politiques actives du marché du travail, </w:t>
      </w:r>
      <w:r>
        <w:rPr>
          <w:rFonts w:ascii="Times New Roman" w:hAnsi="Times New Roman"/>
          <w:noProof/>
        </w:rPr>
        <w:t>y compris les programmes d’activation qui subventionnent l’emploi dans le secteur privé et promeuvent le perfectionnement et la reconversion professionnels de la main-d’œuvre, ainsi que les investissements visant à renforcer la capacité du service public de l’emploi (OAED jusqu’au 18 avril 2022, DYPA par la suite) grâce à des services de numérisation et de conseil renforcés.</w:t>
      </w:r>
      <w:r>
        <w:rPr>
          <w:rFonts w:ascii="Times New Roman" w:hAnsi="Times New Roman"/>
          <w:noProof/>
          <w:color w:val="000000"/>
          <w:shd w:val="clear" w:color="auto" w:fill="FFFFFF"/>
        </w:rPr>
        <w:t xml:space="preserve"> Dans le cadre de la réforme des politiques passives du marché du travail, le plan </w:t>
      </w:r>
      <w:r>
        <w:rPr>
          <w:rFonts w:ascii="Times New Roman" w:hAnsi="Times New Roman"/>
          <w:noProof/>
        </w:rPr>
        <w:t>vise à améliorer la couverture et la répartition des prestations de chômage, à renforcer le filet de sécurité sociale, à promouvoir la participation au marché du travail, y compris parmi les groupes vulnérables, et à améliorer l’efficience et l’efficacité du système de protection sociale.</w:t>
      </w:r>
      <w:r>
        <w:rPr>
          <w:rFonts w:ascii="Times New Roman" w:hAnsi="Times New Roman"/>
          <w:noProof/>
          <w:color w:val="000000"/>
          <w:shd w:val="clear" w:color="auto" w:fill="FFFFFF"/>
        </w:rPr>
        <w:t xml:space="preserve"> Ce volet est conforme aux recommandations par pays visant à garantir un soutien efficace à l’activation du marché du travail, à investir dans les compétences et l’employabilité et à améliorer la numérisation de l’administration publique (recommandations </w:t>
      </w:r>
      <w:r>
        <w:rPr>
          <w:rFonts w:ascii="16747" w:hAnsi="16747"/>
          <w:noProof/>
          <w:color w:val="000000"/>
          <w:shd w:val="clear" w:color="auto" w:fill="FFFFFF"/>
        </w:rPr>
        <w:t>par</w:t>
      </w:r>
      <w:r>
        <w:rPr>
          <w:rFonts w:ascii="Times New Roman" w:hAnsi="Times New Roman"/>
          <w:noProof/>
          <w:color w:val="000000"/>
          <w:shd w:val="clear" w:color="auto" w:fill="FFFFFF"/>
        </w:rPr>
        <w:t xml:space="preserve"> pays 2 et 3 2020 et recommandation par pays 2 2019). En outre, en mettant l’accent sur la promotion des compétences et de l’emploi dans les secteurs numérique et vert, entre autres, le volet soutient la transition numérique et écologique. </w:t>
      </w:r>
      <w:r>
        <w:rPr>
          <w:rFonts w:ascii="Times New Roman" w:hAnsi="Times New Roman"/>
          <w:noProof/>
        </w:rPr>
        <w:t xml:space="preserve">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 </w:t>
      </w:r>
    </w:p>
    <w:p w14:paraId="3853B8F0" w14:textId="77777777" w:rsidR="00A00259" w:rsidRDefault="00371282">
      <w:pPr>
        <w:pStyle w:val="P68B1DB1-Normal6"/>
        <w:spacing w:before="120" w:after="120" w:line="240" w:lineRule="auto"/>
        <w:jc w:val="both"/>
        <w:rPr>
          <w:rFonts w:cs="Times New Roman"/>
          <w:bCs/>
          <w:i/>
          <w:iCs/>
          <w:noProof/>
          <w:color w:val="4F81BD"/>
        </w:rPr>
      </w:pPr>
      <w:r>
        <w:rPr>
          <w:noProof/>
        </w:rPr>
        <w:t>H.1. Description des réformes et des investissements pour le soutien financier non remboursable</w:t>
      </w:r>
    </w:p>
    <w:p w14:paraId="7EEAB097" w14:textId="77777777" w:rsidR="00A00259" w:rsidRDefault="00371282">
      <w:pPr>
        <w:pStyle w:val="P68B1DB1-Normal7"/>
        <w:spacing w:before="120" w:after="120" w:line="240" w:lineRule="auto"/>
        <w:jc w:val="both"/>
        <w:rPr>
          <w:rFonts w:cs="Times New Roman"/>
          <w:noProof/>
        </w:rPr>
      </w:pPr>
      <w:r>
        <w:rPr>
          <w:b/>
          <w:noProof/>
        </w:rPr>
        <w:t xml:space="preserve">Réforme: </w:t>
      </w:r>
      <w:r>
        <w:rPr>
          <w:noProof/>
        </w:rPr>
        <w:t>Modernisation et simplification du droit du travail (mesure ID: 16744)</w:t>
      </w:r>
    </w:p>
    <w:p w14:paraId="0C859628" w14:textId="77777777" w:rsidR="00A00259" w:rsidRDefault="00371282">
      <w:pPr>
        <w:pStyle w:val="P68B1DB1-Normal5"/>
        <w:spacing w:before="120" w:after="120" w:line="240" w:lineRule="auto"/>
        <w:jc w:val="both"/>
        <w:rPr>
          <w:rFonts w:cs="Times New Roman"/>
          <w:noProof/>
        </w:rPr>
      </w:pPr>
      <w:r>
        <w:rPr>
          <w:noProof/>
        </w:rPr>
        <w:t>La réforme implique l’entrée en vigueur d’une loi globale sur le travail qui rationalisera les principaux aspects du marché du travail en vue d’améliorer son fonctionnement. La réforme visera notamment à moderniser a) le droit du travail individuel, b) le droit du travail collectif et le droit syndical, c) le système informatique ERGANI du ministère du travail utilisé pour surveiller le marché du travail et détecter le travail non déclaré et sous-déclaré, et d) le cadre relatif à l’équilibre entre vie professionnelle et vie privée. Les objectifs généraux de la réforme sont d’accroître la création d’emplois et la compétitivité, de lutter contre le travail non déclaré et sous-déclaré, d’améliorer l’équilibre entre vie professionnelle et vie privée et de combler l’écart entre les hommes et les femmes en matière d’emploi. La mise en œuvre de la réforme est achevée au plus tard le 30 septembre 2021.</w:t>
      </w:r>
    </w:p>
    <w:p w14:paraId="7BDE3566"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Transformation numérique des systèmes de travail (mesure ID: 16750)</w:t>
      </w:r>
    </w:p>
    <w:p w14:paraId="16B38517" w14:textId="77777777" w:rsidR="00A00259" w:rsidRDefault="00371282">
      <w:pPr>
        <w:pStyle w:val="P68B1DB1-Normal7"/>
        <w:spacing w:after="0" w:line="240" w:lineRule="auto"/>
        <w:jc w:val="both"/>
        <w:rPr>
          <w:noProof/>
        </w:rPr>
      </w:pPr>
      <w:r>
        <w:rPr>
          <w:noProof/>
        </w:rPr>
        <w:t xml:space="preserve">L’objectif de la mesure est de moderniser l’administration publique et d’accroître sa capacité à offrir des services de meilleure qualité et plus rapides aux salariés et aux employeurs. L’investissement consiste à moderniser et à développer les infrastructures numériques des autorités publiques chargées du suivi du marché du travail et des questions de sécurité sociale. </w:t>
      </w:r>
    </w:p>
    <w:p w14:paraId="000580BA"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Réforme des politiques actives du marché du travail (mesure ID: 16747)</w:t>
      </w:r>
    </w:p>
    <w:p w14:paraId="6E2809FA" w14:textId="334441D7" w:rsidR="00A00259" w:rsidRDefault="00371282">
      <w:pPr>
        <w:pStyle w:val="P68B1DB1-Normal7"/>
        <w:spacing w:before="120" w:after="120" w:line="240" w:lineRule="auto"/>
        <w:jc w:val="both"/>
        <w:rPr>
          <w:noProof/>
        </w:rPr>
      </w:pPr>
      <w:r>
        <w:rPr>
          <w:noProof/>
        </w:rPr>
        <w:t xml:space="preserve">L’objectif de la mesure est de repenser et de renforcer les programmes actifs du marché du travail. La mesure consiste en des programmes de formation et d'emploi et en un </w:t>
      </w:r>
      <w:r>
        <w:rPr>
          <w:noProof/>
          <w:color w:val="000000" w:themeColor="text1"/>
        </w:rPr>
        <w:t xml:space="preserve">renforcement temporaire du personnel de conseil du service public de l'emploi. </w:t>
      </w:r>
    </w:p>
    <w:p w14:paraId="1113B4AF"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Réforme des politiques passives du marché du travail pour soutenir les transitions vers l’emploi (mesure ID: 16746)</w:t>
      </w:r>
    </w:p>
    <w:p w14:paraId="3C075E63" w14:textId="4FC9BEA7" w:rsidR="00A00259" w:rsidRDefault="00371282">
      <w:pPr>
        <w:pStyle w:val="P68B1DB1-Normal7"/>
        <w:spacing w:before="120" w:after="120" w:line="240" w:lineRule="auto"/>
        <w:jc w:val="both"/>
        <w:rPr>
          <w:noProof/>
        </w:rPr>
      </w:pPr>
      <w:r>
        <w:rPr>
          <w:noProof/>
        </w:rPr>
        <w:t xml:space="preserve">L'objectif de la réforme est d'améliorer l'efficacité et l'efficience des politiques passives du marché du travail. La réforme consiste à </w:t>
      </w:r>
      <w:r>
        <w:rPr>
          <w:noProof/>
          <w:color w:val="000000" w:themeColor="text1"/>
        </w:rPr>
        <w:t>consolider et à rationaliser les prestations et allocations de chômage, à supprimer les obstacles au perfectionnement et à la reconversion professionnels des chômeurs</w:t>
      </w:r>
      <w:r>
        <w:rPr>
          <w:noProof/>
          <w:color w:val="000000"/>
          <w:shd w:val="clear" w:color="auto" w:fill="FFFFFF"/>
        </w:rPr>
        <w:t xml:space="preserve"> et à mettre en place un</w:t>
      </w:r>
      <w:r>
        <w:rPr>
          <w:noProof/>
          <w:color w:val="000000" w:themeColor="text1"/>
        </w:rPr>
        <w:t xml:space="preserve"> projet pilote pour </w:t>
      </w:r>
      <w:r>
        <w:rPr>
          <w:noProof/>
          <w:color w:val="000000"/>
          <w:shd w:val="clear" w:color="auto" w:fill="FFFFFF"/>
        </w:rPr>
        <w:t xml:space="preserve">un nouveau </w:t>
      </w:r>
      <w:r>
        <w:rPr>
          <w:noProof/>
          <w:color w:val="000000" w:themeColor="text1"/>
        </w:rPr>
        <w:t>système d’assurance chômage en Grèce.</w:t>
      </w:r>
    </w:p>
    <w:p w14:paraId="01BCDA61" w14:textId="32C4575E" w:rsidR="00A00259" w:rsidRDefault="00371282">
      <w:pPr>
        <w:pStyle w:val="P68B1DB1-Normal5"/>
        <w:spacing w:before="120" w:after="120" w:line="240" w:lineRule="auto"/>
        <w:jc w:val="both"/>
        <w:rPr>
          <w:rFonts w:cs="Times New Roman"/>
          <w:noProof/>
          <w:szCs w:val="24"/>
        </w:rPr>
      </w:pPr>
      <w:r>
        <w:rPr>
          <w:b/>
          <w:noProof/>
        </w:rPr>
        <w:t>Investissement:</w:t>
      </w:r>
      <w:r>
        <w:rPr>
          <w:noProof/>
        </w:rPr>
        <w:t xml:space="preserve"> Restructuration et rebranding des succursales locales de DYPA pour la promotion de l’emploi (KPA2) (mesure ID: 16941)</w:t>
      </w:r>
    </w:p>
    <w:p w14:paraId="4512699E" w14:textId="66572B75" w:rsidR="00A00259" w:rsidRDefault="00371282">
      <w:pPr>
        <w:pStyle w:val="P68B1DB1-Normal7"/>
        <w:spacing w:before="120" w:after="120" w:line="240" w:lineRule="auto"/>
        <w:jc w:val="both"/>
        <w:rPr>
          <w:noProof/>
        </w:rPr>
      </w:pPr>
      <w:r>
        <w:rPr>
          <w:noProof/>
        </w:rPr>
        <w:t xml:space="preserve">L’objectif de la mesure est d’améliorer l’efficacité et l’efficience des services offerts par le service public de l’emploi grec (DYPA). La mesure consiste en une réforme organisationnelle du DYPA. </w:t>
      </w:r>
    </w:p>
    <w:p w14:paraId="6E6ABCF2"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Transformation numérique du service public de l’emploi (DYPA) (mesure ID: 16942)</w:t>
      </w:r>
    </w:p>
    <w:p w14:paraId="0FDF8C00" w14:textId="77777777" w:rsidR="00A00259" w:rsidRDefault="00371282">
      <w:pPr>
        <w:pStyle w:val="P68B1DB1-Normal7"/>
        <w:spacing w:before="120" w:after="120" w:line="240" w:lineRule="auto"/>
        <w:jc w:val="both"/>
        <w:rPr>
          <w:noProof/>
        </w:rPr>
      </w:pPr>
      <w:r>
        <w:rPr>
          <w:noProof/>
        </w:rPr>
        <w:t xml:space="preserve">L’objectif de l’investissement est d’améliorer l’efficience et l’efficacité du service public de l’emploi (DYPA). L’investissement consiste en l’expansion et la modernisation de l’infrastructure informatique et des outils numériques du service public de l’emploi. </w:t>
      </w:r>
    </w:p>
    <w:p w14:paraId="0E0A87B0" w14:textId="77777777" w:rsidR="00A00259" w:rsidRDefault="00A00259">
      <w:pPr>
        <w:pStyle w:val="paragraph"/>
        <w:spacing w:before="0" w:beforeAutospacing="0" w:after="0" w:afterAutospacing="0"/>
        <w:rPr>
          <w:rFonts w:ascii="Calibri" w:hAnsi="Calibri"/>
          <w:noProof/>
          <w:color w:val="006100"/>
          <w:sz w:val="18"/>
          <w:szCs w:val="18"/>
        </w:rPr>
        <w:sectPr w:rsidR="00A00259">
          <w:headerReference w:type="even" r:id="rId168"/>
          <w:headerReference w:type="default" r:id="rId169"/>
          <w:footerReference w:type="even" r:id="rId170"/>
          <w:footerReference w:type="default" r:id="rId171"/>
          <w:headerReference w:type="first" r:id="rId172"/>
          <w:footerReference w:type="first" r:id="rId173"/>
          <w:pgSz w:w="11906" w:h="16838"/>
          <w:pgMar w:top="1134" w:right="1134" w:bottom="1134" w:left="1134" w:header="567" w:footer="567" w:gutter="0"/>
          <w:cols w:space="708"/>
          <w:docGrid w:linePitch="360"/>
        </w:sectPr>
      </w:pPr>
    </w:p>
    <w:p w14:paraId="45041A71" w14:textId="77777777" w:rsidR="00A00259" w:rsidRDefault="00371282">
      <w:pPr>
        <w:pStyle w:val="P68B1DB1-Normal6"/>
        <w:spacing w:before="120" w:after="120" w:line="240" w:lineRule="auto"/>
        <w:jc w:val="both"/>
        <w:rPr>
          <w:rFonts w:cs="Times New Roman"/>
          <w:bCs/>
          <w:noProof/>
        </w:rPr>
      </w:pPr>
      <w:r>
        <w:rPr>
          <w:noProof/>
        </w:rPr>
        <w:t>H.2. Étapes, cibles, indicateurs et calendrier pour le suivi et la mise en œuvre du soutien financier non remboursable</w:t>
      </w:r>
    </w:p>
    <w:p w14:paraId="49774109" w14:textId="77777777" w:rsidR="00A00259" w:rsidRDefault="00371282">
      <w:pPr>
        <w:pStyle w:val="P68B1DB1-Normal9"/>
        <w:keepNext/>
        <w:keepLines/>
        <w:spacing w:before="40" w:after="0" w:line="240" w:lineRule="auto"/>
        <w:jc w:val="both"/>
        <w:outlineLvl w:val="4"/>
        <w:rPr>
          <w:rFonts w:eastAsia="Times New Roman"/>
          <w:noProof/>
        </w:rPr>
      </w:pPr>
      <w:r>
        <w:rPr>
          <w:noProof/>
        </w:rPr>
        <w:t>Réforme clé 6: Modernisation et simplification du droit du travail et transformation numérique des systèmes de travail</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2160"/>
        <w:gridCol w:w="1151"/>
        <w:gridCol w:w="1323"/>
        <w:gridCol w:w="1469"/>
        <w:gridCol w:w="981"/>
        <w:gridCol w:w="992"/>
        <w:gridCol w:w="963"/>
        <w:gridCol w:w="993"/>
        <w:gridCol w:w="992"/>
        <w:gridCol w:w="3714"/>
      </w:tblGrid>
      <w:tr w:rsidR="00A00259" w14:paraId="46989503" w14:textId="77777777" w:rsidTr="00CE3F9A">
        <w:trPr>
          <w:trHeight w:val="614"/>
          <w:tblHeader/>
        </w:trPr>
        <w:tc>
          <w:tcPr>
            <w:tcW w:w="708" w:type="dxa"/>
            <w:vMerge w:val="restart"/>
            <w:shd w:val="clear" w:color="auto" w:fill="BDD7EE"/>
            <w:vAlign w:val="center"/>
            <w:hideMark/>
          </w:tcPr>
          <w:p w14:paraId="7F06C3E4"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Seq. </w:t>
            </w:r>
            <w:r>
              <w:rPr>
                <w:noProof/>
              </w:rPr>
              <w:br/>
              <w:t>Non.</w:t>
            </w:r>
          </w:p>
        </w:tc>
        <w:tc>
          <w:tcPr>
            <w:tcW w:w="2160" w:type="dxa"/>
            <w:vMerge w:val="restart"/>
            <w:shd w:val="clear" w:color="auto" w:fill="BDD7EE"/>
            <w:vAlign w:val="center"/>
            <w:hideMark/>
          </w:tcPr>
          <w:p w14:paraId="419608ED"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151" w:type="dxa"/>
            <w:vMerge w:val="restart"/>
            <w:shd w:val="clear" w:color="auto" w:fill="BDD7EE"/>
            <w:vAlign w:val="center"/>
            <w:hideMark/>
          </w:tcPr>
          <w:p w14:paraId="33E132C2"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323" w:type="dxa"/>
            <w:vMerge w:val="restart"/>
            <w:shd w:val="clear" w:color="auto" w:fill="BDD7EE"/>
            <w:vAlign w:val="center"/>
            <w:hideMark/>
          </w:tcPr>
          <w:p w14:paraId="6164FAF7"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469" w:type="dxa"/>
            <w:vMerge w:val="restart"/>
            <w:shd w:val="clear" w:color="auto" w:fill="BDD7EE"/>
            <w:vAlign w:val="center"/>
            <w:hideMark/>
          </w:tcPr>
          <w:p w14:paraId="79FCC24C"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2936" w:type="dxa"/>
            <w:gridSpan w:val="3"/>
            <w:shd w:val="clear" w:color="auto" w:fill="BDD7EE"/>
            <w:vAlign w:val="center"/>
            <w:hideMark/>
          </w:tcPr>
          <w:p w14:paraId="70B6E560" w14:textId="77777777" w:rsidR="00A00259" w:rsidRDefault="00371282">
            <w:pPr>
              <w:pStyle w:val="P68B1DB1-Normal10"/>
              <w:spacing w:after="0" w:line="240" w:lineRule="auto"/>
              <w:jc w:val="center"/>
              <w:rPr>
                <w:rFonts w:eastAsia="Times New Roman" w:cs="Times New Roman"/>
                <w:bCs/>
                <w:noProof/>
                <w:szCs w:val="18"/>
              </w:rPr>
            </w:pPr>
            <w:r>
              <w:rPr>
                <w:noProof/>
              </w:rPr>
              <w:t>Indicateurs quantitatifs (pour les objectifs)</w:t>
            </w:r>
          </w:p>
        </w:tc>
        <w:tc>
          <w:tcPr>
            <w:tcW w:w="1985" w:type="dxa"/>
            <w:gridSpan w:val="2"/>
            <w:shd w:val="clear" w:color="auto" w:fill="BDD7EE"/>
            <w:vAlign w:val="center"/>
            <w:hideMark/>
          </w:tcPr>
          <w:p w14:paraId="338A992C"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3714" w:type="dxa"/>
            <w:vMerge w:val="restart"/>
            <w:shd w:val="clear" w:color="auto" w:fill="BDD7EE"/>
            <w:vAlign w:val="center"/>
            <w:hideMark/>
          </w:tcPr>
          <w:p w14:paraId="67230C37"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0F53B231" w14:textId="77777777" w:rsidTr="00CE3F9A">
        <w:trPr>
          <w:trHeight w:val="542"/>
          <w:tblHeader/>
        </w:trPr>
        <w:tc>
          <w:tcPr>
            <w:tcW w:w="708" w:type="dxa"/>
            <w:vMerge/>
            <w:vAlign w:val="center"/>
            <w:hideMark/>
          </w:tcPr>
          <w:p w14:paraId="669977AB" w14:textId="77777777" w:rsidR="00A00259" w:rsidRDefault="00A00259">
            <w:pPr>
              <w:spacing w:after="0" w:line="240" w:lineRule="auto"/>
              <w:jc w:val="center"/>
              <w:rPr>
                <w:rFonts w:ascii="Times New Roman" w:eastAsia="Times New Roman" w:hAnsi="Times New Roman" w:cs="Times New Roman"/>
                <w:b/>
                <w:bCs/>
                <w:noProof/>
                <w:sz w:val="18"/>
                <w:szCs w:val="18"/>
              </w:rPr>
            </w:pPr>
          </w:p>
        </w:tc>
        <w:tc>
          <w:tcPr>
            <w:tcW w:w="2160" w:type="dxa"/>
            <w:vMerge/>
            <w:vAlign w:val="center"/>
            <w:hideMark/>
          </w:tcPr>
          <w:p w14:paraId="2890C452" w14:textId="77777777" w:rsidR="00A00259" w:rsidRDefault="00A00259">
            <w:pPr>
              <w:spacing w:after="0" w:line="240" w:lineRule="auto"/>
              <w:jc w:val="center"/>
              <w:rPr>
                <w:rFonts w:ascii="Times New Roman" w:eastAsia="Times New Roman" w:hAnsi="Times New Roman" w:cs="Times New Roman"/>
                <w:b/>
                <w:bCs/>
                <w:noProof/>
                <w:sz w:val="18"/>
                <w:szCs w:val="18"/>
              </w:rPr>
            </w:pPr>
          </w:p>
        </w:tc>
        <w:tc>
          <w:tcPr>
            <w:tcW w:w="1151" w:type="dxa"/>
            <w:vMerge/>
            <w:vAlign w:val="center"/>
            <w:hideMark/>
          </w:tcPr>
          <w:p w14:paraId="54C85887" w14:textId="77777777" w:rsidR="00A00259" w:rsidRDefault="00A00259">
            <w:pPr>
              <w:spacing w:after="0" w:line="240" w:lineRule="auto"/>
              <w:jc w:val="center"/>
              <w:rPr>
                <w:rFonts w:ascii="Times New Roman" w:eastAsia="Times New Roman" w:hAnsi="Times New Roman" w:cs="Times New Roman"/>
                <w:b/>
                <w:bCs/>
                <w:noProof/>
                <w:sz w:val="18"/>
                <w:szCs w:val="18"/>
              </w:rPr>
            </w:pPr>
          </w:p>
        </w:tc>
        <w:tc>
          <w:tcPr>
            <w:tcW w:w="1323" w:type="dxa"/>
            <w:vMerge/>
            <w:vAlign w:val="center"/>
            <w:hideMark/>
          </w:tcPr>
          <w:p w14:paraId="24F90B9C" w14:textId="77777777" w:rsidR="00A00259" w:rsidRDefault="00A00259">
            <w:pPr>
              <w:spacing w:after="0" w:line="240" w:lineRule="auto"/>
              <w:jc w:val="center"/>
              <w:rPr>
                <w:rFonts w:ascii="Times New Roman" w:eastAsia="Times New Roman" w:hAnsi="Times New Roman" w:cs="Times New Roman"/>
                <w:b/>
                <w:bCs/>
                <w:noProof/>
                <w:sz w:val="18"/>
                <w:szCs w:val="18"/>
              </w:rPr>
            </w:pPr>
          </w:p>
        </w:tc>
        <w:tc>
          <w:tcPr>
            <w:tcW w:w="1469" w:type="dxa"/>
            <w:vMerge/>
            <w:vAlign w:val="center"/>
            <w:hideMark/>
          </w:tcPr>
          <w:p w14:paraId="013F2DFA" w14:textId="77777777" w:rsidR="00A00259" w:rsidRDefault="00A00259">
            <w:pPr>
              <w:spacing w:after="0" w:line="240" w:lineRule="auto"/>
              <w:jc w:val="center"/>
              <w:rPr>
                <w:rFonts w:ascii="Times New Roman" w:eastAsia="Times New Roman" w:hAnsi="Times New Roman" w:cs="Times New Roman"/>
                <w:b/>
                <w:bCs/>
                <w:noProof/>
                <w:sz w:val="18"/>
                <w:szCs w:val="18"/>
              </w:rPr>
            </w:pPr>
          </w:p>
        </w:tc>
        <w:tc>
          <w:tcPr>
            <w:tcW w:w="981" w:type="dxa"/>
            <w:shd w:val="clear" w:color="auto" w:fill="BDD7EE"/>
            <w:vAlign w:val="center"/>
            <w:hideMark/>
          </w:tcPr>
          <w:p w14:paraId="6FD37C2D"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992" w:type="dxa"/>
            <w:shd w:val="clear" w:color="auto" w:fill="BDD7EE"/>
            <w:vAlign w:val="center"/>
            <w:hideMark/>
          </w:tcPr>
          <w:p w14:paraId="1F4FB892"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963" w:type="dxa"/>
            <w:shd w:val="clear" w:color="auto" w:fill="BDD7EE"/>
            <w:vAlign w:val="center"/>
            <w:hideMark/>
          </w:tcPr>
          <w:p w14:paraId="50687F8C"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993" w:type="dxa"/>
            <w:shd w:val="clear" w:color="auto" w:fill="BDD7EE"/>
            <w:vAlign w:val="center"/>
            <w:hideMark/>
          </w:tcPr>
          <w:p w14:paraId="53F1F4C6"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992" w:type="dxa"/>
            <w:shd w:val="clear" w:color="auto" w:fill="BDD7EE"/>
            <w:vAlign w:val="center"/>
            <w:hideMark/>
          </w:tcPr>
          <w:p w14:paraId="044844BF"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3714" w:type="dxa"/>
            <w:vMerge/>
            <w:vAlign w:val="center"/>
            <w:hideMark/>
          </w:tcPr>
          <w:p w14:paraId="63820DAE"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7832FE19" w14:textId="77777777" w:rsidTr="00CE3F9A">
        <w:trPr>
          <w:trHeight w:val="309"/>
        </w:trPr>
        <w:tc>
          <w:tcPr>
            <w:tcW w:w="708" w:type="dxa"/>
            <w:shd w:val="clear" w:color="auto" w:fill="C6EFCE"/>
            <w:noWrap/>
          </w:tcPr>
          <w:p w14:paraId="18E7BD72" w14:textId="77777777" w:rsidR="00A00259" w:rsidRDefault="00371282">
            <w:pPr>
              <w:pStyle w:val="P68B1DB1-Normal12"/>
              <w:spacing w:after="0" w:line="240" w:lineRule="auto"/>
              <w:rPr>
                <w:rFonts w:eastAsia="Times New Roman"/>
                <w:noProof/>
              </w:rPr>
            </w:pPr>
            <w:r>
              <w:rPr>
                <w:noProof/>
              </w:rPr>
              <w:t>133</w:t>
            </w:r>
          </w:p>
        </w:tc>
        <w:tc>
          <w:tcPr>
            <w:tcW w:w="2160" w:type="dxa"/>
            <w:shd w:val="clear" w:color="auto" w:fill="C6EFCE"/>
            <w:noWrap/>
          </w:tcPr>
          <w:p w14:paraId="0D5B885F" w14:textId="77777777" w:rsidR="00A00259" w:rsidRDefault="00371282">
            <w:pPr>
              <w:pStyle w:val="P68B1DB1-Normal12"/>
              <w:spacing w:after="0" w:line="240" w:lineRule="auto"/>
              <w:rPr>
                <w:rFonts w:eastAsia="Times New Roman"/>
                <w:noProof/>
              </w:rPr>
            </w:pPr>
            <w:r>
              <w:rPr>
                <w:noProof/>
              </w:rPr>
              <w:t>8 - 3.1. Promouvoir la création d'emplois et la participation au marché du travail - 16744_Modernisation et simplification du droit du travail</w:t>
            </w:r>
          </w:p>
        </w:tc>
        <w:tc>
          <w:tcPr>
            <w:tcW w:w="1151" w:type="dxa"/>
            <w:shd w:val="clear" w:color="auto" w:fill="C6EFCE"/>
            <w:noWrap/>
          </w:tcPr>
          <w:p w14:paraId="0B8B62B5" w14:textId="77777777" w:rsidR="00A00259" w:rsidRDefault="00371282">
            <w:pPr>
              <w:pStyle w:val="P68B1DB1-Normal12"/>
              <w:spacing w:after="0" w:line="240" w:lineRule="auto"/>
              <w:rPr>
                <w:rFonts w:eastAsia="Times New Roman"/>
                <w:noProof/>
              </w:rPr>
            </w:pPr>
            <w:r>
              <w:rPr>
                <w:noProof/>
              </w:rPr>
              <w:t>Étape</w:t>
            </w:r>
          </w:p>
        </w:tc>
        <w:tc>
          <w:tcPr>
            <w:tcW w:w="1323" w:type="dxa"/>
            <w:shd w:val="clear" w:color="auto" w:fill="C6EFCE"/>
            <w:noWrap/>
          </w:tcPr>
          <w:p w14:paraId="7D566416" w14:textId="77777777" w:rsidR="00A00259" w:rsidRDefault="00371282">
            <w:pPr>
              <w:pStyle w:val="P68B1DB1-Normal12"/>
              <w:spacing w:after="0" w:line="240" w:lineRule="auto"/>
              <w:rPr>
                <w:rFonts w:eastAsia="Times New Roman"/>
                <w:noProof/>
              </w:rPr>
            </w:pPr>
            <w:r>
              <w:rPr>
                <w:noProof/>
              </w:rPr>
              <w:t>Entrée en vigueur Droit du travail</w:t>
            </w:r>
          </w:p>
        </w:tc>
        <w:tc>
          <w:tcPr>
            <w:tcW w:w="1469" w:type="dxa"/>
            <w:shd w:val="clear" w:color="auto" w:fill="C6EFCE"/>
            <w:noWrap/>
          </w:tcPr>
          <w:p w14:paraId="764A91E1" w14:textId="77777777" w:rsidR="00A00259" w:rsidRDefault="00371282">
            <w:pPr>
              <w:pStyle w:val="P68B1DB1-Normal12"/>
              <w:spacing w:after="0" w:line="240" w:lineRule="auto"/>
              <w:rPr>
                <w:rFonts w:eastAsia="Times New Roman"/>
                <w:noProof/>
              </w:rPr>
            </w:pPr>
            <w:r>
              <w:rPr>
                <w:noProof/>
              </w:rPr>
              <w:t xml:space="preserve">Disposition de la loi indiquant l'entrée en vigueur - </w:t>
            </w:r>
          </w:p>
        </w:tc>
        <w:tc>
          <w:tcPr>
            <w:tcW w:w="981" w:type="dxa"/>
            <w:shd w:val="clear" w:color="auto" w:fill="C6EFCE"/>
            <w:noWrap/>
          </w:tcPr>
          <w:p w14:paraId="25CB688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07763D1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3" w:type="dxa"/>
            <w:shd w:val="clear" w:color="auto" w:fill="C6EFCE"/>
            <w:noWrap/>
          </w:tcPr>
          <w:p w14:paraId="5E1275B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053AEFEF" w14:textId="77777777" w:rsidR="00A00259" w:rsidRDefault="00371282">
            <w:pPr>
              <w:pStyle w:val="P68B1DB1-Normal12"/>
              <w:spacing w:after="0" w:line="240" w:lineRule="auto"/>
              <w:rPr>
                <w:rFonts w:eastAsia="Times New Roman"/>
                <w:noProof/>
              </w:rPr>
            </w:pPr>
            <w:r>
              <w:rPr>
                <w:noProof/>
              </w:rPr>
              <w:t>T3</w:t>
            </w:r>
          </w:p>
        </w:tc>
        <w:tc>
          <w:tcPr>
            <w:tcW w:w="992" w:type="dxa"/>
            <w:shd w:val="clear" w:color="auto" w:fill="C6EFCE"/>
            <w:noWrap/>
          </w:tcPr>
          <w:p w14:paraId="4113605E" w14:textId="77777777" w:rsidR="00A00259" w:rsidRDefault="00371282">
            <w:pPr>
              <w:pStyle w:val="P68B1DB1-Normal12"/>
              <w:spacing w:after="0" w:line="240" w:lineRule="auto"/>
              <w:rPr>
                <w:rFonts w:eastAsia="Times New Roman"/>
                <w:noProof/>
              </w:rPr>
            </w:pPr>
            <w:r>
              <w:rPr>
                <w:noProof/>
              </w:rPr>
              <w:t>2021</w:t>
            </w:r>
          </w:p>
        </w:tc>
        <w:tc>
          <w:tcPr>
            <w:tcW w:w="3714" w:type="dxa"/>
            <w:shd w:val="clear" w:color="auto" w:fill="C6EFCE"/>
            <w:noWrap/>
          </w:tcPr>
          <w:p w14:paraId="1F64C700" w14:textId="77777777" w:rsidR="00A00259" w:rsidRDefault="00371282">
            <w:pPr>
              <w:pStyle w:val="P68B1DB1-Normal12"/>
              <w:spacing w:after="0" w:line="240" w:lineRule="auto"/>
              <w:rPr>
                <w:rFonts w:eastAsia="Times New Roman"/>
                <w:noProof/>
              </w:rPr>
            </w:pPr>
            <w:r>
              <w:rPr>
                <w:noProof/>
              </w:rPr>
              <w:t>Entrée en vigueur du droit du travail qui modernise a) le droit du travail individuel, b) le droit du travail collectif et le droit syndical, c) le système informatique ERGANI du ministère du travail utilisé pour surveiller le marché du travail et détecter le travail non déclaré et sous-déclaré, et d) le cadre relatif à l’équilibre entre vie professionnelle et vie privée.</w:t>
            </w:r>
          </w:p>
        </w:tc>
      </w:tr>
      <w:tr w:rsidR="00A00259" w14:paraId="0D8A4C55" w14:textId="77777777" w:rsidTr="00CE3F9A">
        <w:trPr>
          <w:trHeight w:val="309"/>
        </w:trPr>
        <w:tc>
          <w:tcPr>
            <w:tcW w:w="708" w:type="dxa"/>
            <w:shd w:val="clear" w:color="auto" w:fill="C6EFCE"/>
            <w:noWrap/>
          </w:tcPr>
          <w:p w14:paraId="574B00A3" w14:textId="77777777" w:rsidR="00A00259" w:rsidRDefault="00371282">
            <w:pPr>
              <w:pStyle w:val="P68B1DB1-Normal12"/>
              <w:spacing w:after="0" w:line="240" w:lineRule="auto"/>
              <w:rPr>
                <w:rFonts w:eastAsia="Times New Roman"/>
                <w:noProof/>
              </w:rPr>
            </w:pPr>
            <w:r>
              <w:rPr>
                <w:noProof/>
              </w:rPr>
              <w:t>134</w:t>
            </w:r>
          </w:p>
        </w:tc>
        <w:tc>
          <w:tcPr>
            <w:tcW w:w="2160" w:type="dxa"/>
            <w:shd w:val="clear" w:color="auto" w:fill="C6EFCE"/>
            <w:noWrap/>
          </w:tcPr>
          <w:p w14:paraId="73645B48" w14:textId="77777777" w:rsidR="00A00259" w:rsidRDefault="00371282">
            <w:pPr>
              <w:pStyle w:val="P68B1DB1-Normal12"/>
              <w:spacing w:after="0" w:line="240" w:lineRule="auto"/>
              <w:rPr>
                <w:rFonts w:eastAsia="Times New Roman"/>
                <w:noProof/>
              </w:rPr>
            </w:pPr>
            <w:r>
              <w:rPr>
                <w:noProof/>
              </w:rPr>
              <w:t>8 - 3.1. Promouvoir la création d'emplois et la participation au marché du travail - 16750_Transformation numérique des systèmes de travail</w:t>
            </w:r>
          </w:p>
        </w:tc>
        <w:tc>
          <w:tcPr>
            <w:tcW w:w="1151" w:type="dxa"/>
            <w:shd w:val="clear" w:color="auto" w:fill="C6EFCE"/>
            <w:noWrap/>
          </w:tcPr>
          <w:p w14:paraId="6C0ED2D6" w14:textId="77777777" w:rsidR="00A00259" w:rsidRDefault="00371282">
            <w:pPr>
              <w:pStyle w:val="P68B1DB1-Normal12"/>
              <w:spacing w:after="0" w:line="240" w:lineRule="auto"/>
              <w:rPr>
                <w:rFonts w:eastAsia="Times New Roman"/>
                <w:noProof/>
              </w:rPr>
            </w:pPr>
            <w:r>
              <w:rPr>
                <w:noProof/>
              </w:rPr>
              <w:t>Étape</w:t>
            </w:r>
          </w:p>
        </w:tc>
        <w:tc>
          <w:tcPr>
            <w:tcW w:w="1323" w:type="dxa"/>
            <w:shd w:val="clear" w:color="auto" w:fill="C6EFCE"/>
            <w:noWrap/>
          </w:tcPr>
          <w:p w14:paraId="0FBB5B59" w14:textId="77777777" w:rsidR="00A00259" w:rsidRDefault="00371282">
            <w:pPr>
              <w:pStyle w:val="P68B1DB1-Normal12"/>
              <w:spacing w:after="0" w:line="240" w:lineRule="auto"/>
              <w:rPr>
                <w:rFonts w:eastAsia="Times New Roman"/>
                <w:noProof/>
              </w:rPr>
            </w:pPr>
            <w:r>
              <w:rPr>
                <w:noProof/>
              </w:rPr>
              <w:t>Attribution du contrat relatif aux systèmes informatiques de travail</w:t>
            </w:r>
          </w:p>
        </w:tc>
        <w:tc>
          <w:tcPr>
            <w:tcW w:w="1469" w:type="dxa"/>
            <w:shd w:val="clear" w:color="auto" w:fill="C6EFCE"/>
            <w:noWrap/>
          </w:tcPr>
          <w:p w14:paraId="21AC25B3" w14:textId="77777777" w:rsidR="00A00259" w:rsidRDefault="00371282">
            <w:pPr>
              <w:pStyle w:val="P68B1DB1-Normal12"/>
              <w:spacing w:after="0" w:line="240" w:lineRule="auto"/>
              <w:rPr>
                <w:rFonts w:eastAsia="Times New Roman"/>
                <w:noProof/>
              </w:rPr>
            </w:pPr>
            <w:r>
              <w:rPr>
                <w:noProof/>
              </w:rPr>
              <w:t>Notification de l'attribution des marchés</w:t>
            </w:r>
          </w:p>
        </w:tc>
        <w:tc>
          <w:tcPr>
            <w:tcW w:w="981" w:type="dxa"/>
            <w:shd w:val="clear" w:color="auto" w:fill="C6EFCE"/>
            <w:noWrap/>
          </w:tcPr>
          <w:p w14:paraId="642EF8A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7904FF9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3" w:type="dxa"/>
            <w:shd w:val="clear" w:color="auto" w:fill="C6EFCE"/>
            <w:noWrap/>
          </w:tcPr>
          <w:p w14:paraId="4FCE528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39408C29" w14:textId="77777777" w:rsidR="00A00259" w:rsidRDefault="00371282">
            <w:pPr>
              <w:pStyle w:val="P68B1DB1-Normal12"/>
              <w:spacing w:after="0" w:line="240" w:lineRule="auto"/>
              <w:rPr>
                <w:rFonts w:eastAsia="Times New Roman"/>
                <w:noProof/>
              </w:rPr>
            </w:pPr>
            <w:r>
              <w:rPr>
                <w:noProof/>
              </w:rPr>
              <w:t>T4</w:t>
            </w:r>
          </w:p>
        </w:tc>
        <w:tc>
          <w:tcPr>
            <w:tcW w:w="992" w:type="dxa"/>
            <w:shd w:val="clear" w:color="auto" w:fill="C6EFCE"/>
            <w:noWrap/>
          </w:tcPr>
          <w:p w14:paraId="7C4DE48C" w14:textId="77777777" w:rsidR="00A00259" w:rsidRDefault="00371282">
            <w:pPr>
              <w:pStyle w:val="P68B1DB1-Normal12"/>
              <w:spacing w:after="0" w:line="240" w:lineRule="auto"/>
              <w:rPr>
                <w:rFonts w:eastAsia="Times New Roman"/>
                <w:noProof/>
              </w:rPr>
            </w:pPr>
            <w:r>
              <w:rPr>
                <w:noProof/>
              </w:rPr>
              <w:t>2022</w:t>
            </w:r>
          </w:p>
        </w:tc>
        <w:tc>
          <w:tcPr>
            <w:tcW w:w="3714" w:type="dxa"/>
            <w:shd w:val="clear" w:color="auto" w:fill="C6EFCE"/>
            <w:noWrap/>
          </w:tcPr>
          <w:p w14:paraId="5345BF07" w14:textId="77777777" w:rsidR="00A00259" w:rsidRDefault="00371282">
            <w:pPr>
              <w:pStyle w:val="P68B1DB1-Normal12"/>
              <w:spacing w:after="0" w:line="240" w:lineRule="auto"/>
              <w:rPr>
                <w:rFonts w:eastAsia="Times New Roman"/>
                <w:noProof/>
              </w:rPr>
            </w:pPr>
            <w:r>
              <w:rPr>
                <w:noProof/>
              </w:rPr>
              <w:t>Achèvement de l'attribution du marché pour les projets suivants:</w:t>
            </w:r>
          </w:p>
          <w:p w14:paraId="35BE463C" w14:textId="77777777" w:rsidR="00A00259" w:rsidRDefault="00371282">
            <w:pPr>
              <w:pStyle w:val="P68B1DB1-Normal12"/>
              <w:spacing w:after="0" w:line="240" w:lineRule="auto"/>
              <w:rPr>
                <w:rFonts w:eastAsia="Times New Roman"/>
                <w:noProof/>
              </w:rPr>
            </w:pPr>
            <w:r>
              <w:rPr>
                <w:noProof/>
              </w:rPr>
              <w:t>- Système informatique unique pour le suivi du marché du travail (ARIADNE)</w:t>
            </w:r>
          </w:p>
          <w:p w14:paraId="5F994BB4" w14:textId="77777777" w:rsidR="00A00259" w:rsidRDefault="00371282">
            <w:pPr>
              <w:pStyle w:val="P68B1DB1-Normal12"/>
              <w:spacing w:after="0" w:line="240" w:lineRule="auto"/>
              <w:rPr>
                <w:rFonts w:eastAsia="Times New Roman"/>
                <w:noProof/>
              </w:rPr>
            </w:pPr>
            <w:r>
              <w:rPr>
                <w:noProof/>
              </w:rPr>
              <w:t>- Santé et sécurité au travail (HERIDANOS)</w:t>
            </w:r>
          </w:p>
          <w:p w14:paraId="16FA256A" w14:textId="77777777" w:rsidR="00A00259" w:rsidRDefault="00371282">
            <w:pPr>
              <w:pStyle w:val="P68B1DB1-Normal12"/>
              <w:spacing w:after="0" w:line="240" w:lineRule="auto"/>
              <w:rPr>
                <w:rFonts w:eastAsia="Times New Roman"/>
                <w:noProof/>
              </w:rPr>
            </w:pPr>
            <w:r>
              <w:rPr>
                <w:noProof/>
              </w:rPr>
              <w:t>- Processus législatif de fixation du salaire minimum</w:t>
            </w:r>
          </w:p>
          <w:p w14:paraId="157A1200" w14:textId="77777777" w:rsidR="00A00259" w:rsidRDefault="00371282">
            <w:pPr>
              <w:pStyle w:val="P68B1DB1-Normal12"/>
              <w:spacing w:after="0" w:line="240" w:lineRule="auto"/>
              <w:rPr>
                <w:rFonts w:eastAsia="Times New Roman"/>
                <w:noProof/>
              </w:rPr>
            </w:pPr>
            <w:r>
              <w:rPr>
                <w:noProof/>
              </w:rPr>
              <w:t xml:space="preserve">- Numérisation de l’historique d’assurance du fonds de pension unique (e-EFKA) </w:t>
            </w:r>
          </w:p>
          <w:p w14:paraId="07115036" w14:textId="77777777" w:rsidR="00A00259" w:rsidRDefault="00371282">
            <w:pPr>
              <w:pStyle w:val="P68B1DB1-Normal12"/>
              <w:spacing w:after="0" w:line="240" w:lineRule="auto"/>
              <w:rPr>
                <w:rFonts w:eastAsia="Times New Roman"/>
                <w:noProof/>
              </w:rPr>
            </w:pPr>
            <w:r>
              <w:rPr>
                <w:noProof/>
              </w:rPr>
              <w:t>- Nouveau système d'information intégré pour e-EFKA (EFKA IITS)</w:t>
            </w:r>
          </w:p>
          <w:p w14:paraId="3E3EE2A9" w14:textId="77777777" w:rsidR="00A00259" w:rsidRDefault="00371282">
            <w:pPr>
              <w:pStyle w:val="P68B1DB1-Normal12"/>
              <w:spacing w:after="0" w:line="240" w:lineRule="auto"/>
              <w:rPr>
                <w:rFonts w:eastAsia="Times New Roman"/>
                <w:noProof/>
              </w:rPr>
            </w:pPr>
            <w:r>
              <w:rPr>
                <w:noProof/>
              </w:rPr>
              <w:t>- Mise à niveau du système numérique d’octroi des pensions (ATLAS)</w:t>
            </w:r>
          </w:p>
        </w:tc>
      </w:tr>
      <w:tr w:rsidR="00A00259" w14:paraId="6F55FB07" w14:textId="77777777" w:rsidTr="00CE3F9A">
        <w:trPr>
          <w:trHeight w:val="309"/>
        </w:trPr>
        <w:tc>
          <w:tcPr>
            <w:tcW w:w="708" w:type="dxa"/>
            <w:shd w:val="clear" w:color="auto" w:fill="C6EFCE"/>
            <w:noWrap/>
          </w:tcPr>
          <w:p w14:paraId="0D9F11AE" w14:textId="77777777" w:rsidR="00A00259" w:rsidRDefault="00371282">
            <w:pPr>
              <w:pStyle w:val="P68B1DB1-Normal12"/>
              <w:spacing w:after="0" w:line="240" w:lineRule="auto"/>
              <w:rPr>
                <w:rFonts w:eastAsia="Times New Roman"/>
                <w:noProof/>
              </w:rPr>
            </w:pPr>
            <w:r>
              <w:rPr>
                <w:noProof/>
              </w:rPr>
              <w:t>135</w:t>
            </w:r>
          </w:p>
        </w:tc>
        <w:tc>
          <w:tcPr>
            <w:tcW w:w="2160" w:type="dxa"/>
            <w:shd w:val="clear" w:color="auto" w:fill="C6EFCE"/>
            <w:noWrap/>
          </w:tcPr>
          <w:p w14:paraId="2A75E78D" w14:textId="77777777" w:rsidR="00A00259" w:rsidRDefault="00371282">
            <w:pPr>
              <w:pStyle w:val="P68B1DB1-Normal12"/>
              <w:spacing w:after="0" w:line="240" w:lineRule="auto"/>
              <w:rPr>
                <w:rFonts w:eastAsia="Times New Roman"/>
                <w:noProof/>
              </w:rPr>
            </w:pPr>
            <w:r>
              <w:rPr>
                <w:noProof/>
              </w:rPr>
              <w:t>8 - 3.1. Promouvoir la création d'emplois et la participation au marché du travail - 16942_Transformation numérique du service public de l'emploi (DYPA)</w:t>
            </w:r>
          </w:p>
        </w:tc>
        <w:tc>
          <w:tcPr>
            <w:tcW w:w="1151" w:type="dxa"/>
            <w:shd w:val="clear" w:color="auto" w:fill="C6EFCE"/>
            <w:noWrap/>
          </w:tcPr>
          <w:p w14:paraId="0840CD90" w14:textId="77777777" w:rsidR="00A00259" w:rsidRDefault="00371282">
            <w:pPr>
              <w:pStyle w:val="P68B1DB1-Normal12"/>
              <w:spacing w:after="0" w:line="240" w:lineRule="auto"/>
              <w:rPr>
                <w:rFonts w:eastAsia="Times New Roman"/>
                <w:noProof/>
              </w:rPr>
            </w:pPr>
            <w:r>
              <w:rPr>
                <w:noProof/>
              </w:rPr>
              <w:t>Étape</w:t>
            </w:r>
          </w:p>
        </w:tc>
        <w:tc>
          <w:tcPr>
            <w:tcW w:w="1323" w:type="dxa"/>
            <w:shd w:val="clear" w:color="auto" w:fill="C6EFCE"/>
            <w:noWrap/>
          </w:tcPr>
          <w:p w14:paraId="391ACFC6" w14:textId="77777777" w:rsidR="00A00259" w:rsidRDefault="00371282">
            <w:pPr>
              <w:pStyle w:val="P68B1DB1-Normal12"/>
              <w:spacing w:after="0" w:line="240" w:lineRule="auto"/>
              <w:rPr>
                <w:rFonts w:eastAsia="Times New Roman"/>
                <w:noProof/>
              </w:rPr>
            </w:pPr>
            <w:r>
              <w:rPr>
                <w:noProof/>
              </w:rPr>
              <w:t>DYPA Numérisation, stockage et classement des archives</w:t>
            </w:r>
          </w:p>
        </w:tc>
        <w:tc>
          <w:tcPr>
            <w:tcW w:w="1469" w:type="dxa"/>
            <w:shd w:val="clear" w:color="auto" w:fill="C6EFCE"/>
            <w:noWrap/>
          </w:tcPr>
          <w:p w14:paraId="54A1BD30" w14:textId="77777777" w:rsidR="00A00259" w:rsidRDefault="00371282">
            <w:pPr>
              <w:pStyle w:val="P68B1DB1-Normal12"/>
              <w:spacing w:after="0" w:line="240" w:lineRule="auto"/>
              <w:rPr>
                <w:rFonts w:eastAsia="Times New Roman"/>
                <w:noProof/>
              </w:rPr>
            </w:pPr>
            <w:r>
              <w:rPr>
                <w:noProof/>
              </w:rPr>
              <w:t>Certificat d'acceptation des éléments livrables du projet</w:t>
            </w:r>
          </w:p>
        </w:tc>
        <w:tc>
          <w:tcPr>
            <w:tcW w:w="981" w:type="dxa"/>
            <w:shd w:val="clear" w:color="auto" w:fill="C6EFCE"/>
            <w:noWrap/>
          </w:tcPr>
          <w:p w14:paraId="5BE3C79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C6D781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3" w:type="dxa"/>
            <w:shd w:val="clear" w:color="auto" w:fill="C6EFCE"/>
            <w:noWrap/>
          </w:tcPr>
          <w:p w14:paraId="1EA53B6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43E50D4D" w14:textId="77777777" w:rsidR="00A00259" w:rsidRDefault="00371282">
            <w:pPr>
              <w:pStyle w:val="P68B1DB1-Normal12"/>
              <w:spacing w:after="0" w:line="240" w:lineRule="auto"/>
              <w:rPr>
                <w:rFonts w:eastAsia="Times New Roman"/>
                <w:noProof/>
              </w:rPr>
            </w:pPr>
            <w:r>
              <w:rPr>
                <w:noProof/>
              </w:rPr>
              <w:t>T4</w:t>
            </w:r>
          </w:p>
        </w:tc>
        <w:tc>
          <w:tcPr>
            <w:tcW w:w="992" w:type="dxa"/>
            <w:shd w:val="clear" w:color="auto" w:fill="C6EFCE"/>
            <w:noWrap/>
          </w:tcPr>
          <w:p w14:paraId="453C1ADD" w14:textId="77777777" w:rsidR="00A00259" w:rsidRDefault="00371282">
            <w:pPr>
              <w:pStyle w:val="P68B1DB1-Normal12"/>
              <w:spacing w:after="0" w:line="240" w:lineRule="auto"/>
              <w:rPr>
                <w:rFonts w:eastAsia="Times New Roman"/>
                <w:noProof/>
              </w:rPr>
            </w:pPr>
            <w:r>
              <w:rPr>
                <w:noProof/>
              </w:rPr>
              <w:t>2023</w:t>
            </w:r>
          </w:p>
        </w:tc>
        <w:tc>
          <w:tcPr>
            <w:tcW w:w="3714" w:type="dxa"/>
            <w:shd w:val="clear" w:color="auto" w:fill="C6EFCE"/>
            <w:noWrap/>
          </w:tcPr>
          <w:p w14:paraId="2DDF6C99" w14:textId="77777777" w:rsidR="00A00259" w:rsidRDefault="00371282">
            <w:pPr>
              <w:pStyle w:val="P68B1DB1-Normal12"/>
              <w:spacing w:after="0" w:line="240" w:lineRule="auto"/>
              <w:rPr>
                <w:rFonts w:eastAsia="Times New Roman"/>
                <w:noProof/>
              </w:rPr>
            </w:pPr>
            <w:r>
              <w:rPr>
                <w:noProof/>
              </w:rPr>
              <w:t>Achèvement de la numérisation, du stockage et du classement des archives de la DYPA.</w:t>
            </w:r>
          </w:p>
        </w:tc>
      </w:tr>
      <w:tr w:rsidR="00A00259" w14:paraId="375DE577" w14:textId="77777777" w:rsidTr="00CE3F9A">
        <w:trPr>
          <w:trHeight w:val="309"/>
        </w:trPr>
        <w:tc>
          <w:tcPr>
            <w:tcW w:w="708" w:type="dxa"/>
            <w:shd w:val="clear" w:color="auto" w:fill="C6EFCE"/>
            <w:noWrap/>
          </w:tcPr>
          <w:p w14:paraId="508C2664" w14:textId="77777777" w:rsidR="00A00259" w:rsidRDefault="00371282">
            <w:pPr>
              <w:pStyle w:val="P68B1DB1-Normal12"/>
              <w:spacing w:after="0" w:line="240" w:lineRule="auto"/>
              <w:rPr>
                <w:rFonts w:eastAsia="Times New Roman"/>
                <w:noProof/>
              </w:rPr>
            </w:pPr>
            <w:r>
              <w:rPr>
                <w:noProof/>
              </w:rPr>
              <w:t>135a</w:t>
            </w:r>
          </w:p>
        </w:tc>
        <w:tc>
          <w:tcPr>
            <w:tcW w:w="2160" w:type="dxa"/>
            <w:shd w:val="clear" w:color="auto" w:fill="C6EFCE"/>
            <w:noWrap/>
          </w:tcPr>
          <w:p w14:paraId="2BA9A511" w14:textId="77777777" w:rsidR="00A00259" w:rsidRDefault="00371282">
            <w:pPr>
              <w:pStyle w:val="P68B1DB1-Normal12"/>
              <w:spacing w:after="0" w:line="240" w:lineRule="auto"/>
              <w:rPr>
                <w:rFonts w:eastAsia="Times New Roman"/>
                <w:noProof/>
              </w:rPr>
            </w:pPr>
            <w:r>
              <w:rPr>
                <w:noProof/>
              </w:rPr>
              <w:t>8 - 3.1. Promouvoir la création d'emplois et la participation au marché du travail - 16942_Transformation numérique du service public de l'emploi</w:t>
            </w:r>
          </w:p>
        </w:tc>
        <w:tc>
          <w:tcPr>
            <w:tcW w:w="1151" w:type="dxa"/>
            <w:shd w:val="clear" w:color="auto" w:fill="C6EFCE"/>
            <w:noWrap/>
          </w:tcPr>
          <w:p w14:paraId="262E55BE" w14:textId="77777777" w:rsidR="00A00259" w:rsidRDefault="00371282">
            <w:pPr>
              <w:pStyle w:val="P68B1DB1-Normal12"/>
              <w:spacing w:after="0" w:line="240" w:lineRule="auto"/>
              <w:rPr>
                <w:noProof/>
              </w:rPr>
            </w:pPr>
            <w:r>
              <w:rPr>
                <w:noProof/>
              </w:rPr>
              <w:t>Étape</w:t>
            </w:r>
          </w:p>
        </w:tc>
        <w:tc>
          <w:tcPr>
            <w:tcW w:w="1323" w:type="dxa"/>
            <w:shd w:val="clear" w:color="auto" w:fill="C6EFCE"/>
            <w:noWrap/>
          </w:tcPr>
          <w:p w14:paraId="5A9C2852" w14:textId="77777777" w:rsidR="00A00259" w:rsidRDefault="00371282">
            <w:pPr>
              <w:pStyle w:val="P68B1DB1-Normal12"/>
              <w:spacing w:after="0" w:line="240" w:lineRule="auto"/>
              <w:rPr>
                <w:noProof/>
              </w:rPr>
            </w:pPr>
            <w:r>
              <w:rPr>
                <w:noProof/>
              </w:rPr>
              <w:t>Transformation numérique de DYPA</w:t>
            </w:r>
          </w:p>
        </w:tc>
        <w:tc>
          <w:tcPr>
            <w:tcW w:w="1469" w:type="dxa"/>
            <w:shd w:val="clear" w:color="auto" w:fill="C6EFCE"/>
            <w:noWrap/>
          </w:tcPr>
          <w:p w14:paraId="33C3CAE0" w14:textId="392B0EAE" w:rsidR="00A00259" w:rsidRDefault="00371282">
            <w:pPr>
              <w:pStyle w:val="P68B1DB1-Normal12"/>
              <w:spacing w:after="0" w:line="240" w:lineRule="auto"/>
              <w:rPr>
                <w:rFonts w:eastAsia="Times New Roman"/>
                <w:noProof/>
              </w:rPr>
            </w:pPr>
            <w:r>
              <w:rPr>
                <w:noProof/>
              </w:rPr>
              <w:t>Exécution des projets a, b, c et d</w:t>
            </w:r>
          </w:p>
        </w:tc>
        <w:tc>
          <w:tcPr>
            <w:tcW w:w="981" w:type="dxa"/>
            <w:shd w:val="clear" w:color="auto" w:fill="C6EFCE"/>
            <w:noWrap/>
          </w:tcPr>
          <w:p w14:paraId="794ABB3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2FDA7B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3" w:type="dxa"/>
            <w:shd w:val="clear" w:color="auto" w:fill="C6EFCE"/>
            <w:noWrap/>
          </w:tcPr>
          <w:p w14:paraId="1817027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45C5C4C0" w14:textId="77777777" w:rsidR="00A00259" w:rsidRDefault="00371282">
            <w:pPr>
              <w:pStyle w:val="P68B1DB1-Normal12"/>
              <w:spacing w:after="0" w:line="240" w:lineRule="auto"/>
              <w:rPr>
                <w:noProof/>
              </w:rPr>
            </w:pPr>
            <w:r>
              <w:rPr>
                <w:noProof/>
              </w:rPr>
              <w:t>T2</w:t>
            </w:r>
          </w:p>
        </w:tc>
        <w:tc>
          <w:tcPr>
            <w:tcW w:w="992" w:type="dxa"/>
            <w:shd w:val="clear" w:color="auto" w:fill="C6EFCE"/>
            <w:noWrap/>
          </w:tcPr>
          <w:p w14:paraId="4F19E4D2" w14:textId="77777777" w:rsidR="00A00259" w:rsidRDefault="00371282">
            <w:pPr>
              <w:pStyle w:val="P68B1DB1-Normal12"/>
              <w:spacing w:after="0" w:line="240" w:lineRule="auto"/>
              <w:rPr>
                <w:rFonts w:eastAsia="Times New Roman"/>
                <w:noProof/>
              </w:rPr>
            </w:pPr>
            <w:r>
              <w:rPr>
                <w:noProof/>
              </w:rPr>
              <w:t>2025</w:t>
            </w:r>
          </w:p>
        </w:tc>
        <w:tc>
          <w:tcPr>
            <w:tcW w:w="3714" w:type="dxa"/>
            <w:shd w:val="clear" w:color="auto" w:fill="C6EFCE"/>
            <w:noWrap/>
          </w:tcPr>
          <w:p w14:paraId="2F6C3BC9" w14:textId="77777777" w:rsidR="00A00259" w:rsidRDefault="00371282">
            <w:pPr>
              <w:pStyle w:val="P68B1DB1-paragraph37"/>
              <w:spacing w:before="0" w:beforeAutospacing="0" w:after="0" w:afterAutospacing="0"/>
              <w:textAlignment w:val="baseline"/>
              <w:rPr>
                <w:noProof/>
              </w:rPr>
            </w:pPr>
            <w:r>
              <w:rPr>
                <w:noProof/>
              </w:rPr>
              <w:t xml:space="preserve">Réalisation des projets suivants: </w:t>
            </w:r>
          </w:p>
          <w:p w14:paraId="663E4C48" w14:textId="13A8C66A" w:rsidR="00A00259" w:rsidRDefault="00371282">
            <w:pPr>
              <w:pStyle w:val="P68B1DB1-paragraph37"/>
              <w:spacing w:before="0" w:beforeAutospacing="0" w:after="0" w:afterAutospacing="0"/>
              <w:textAlignment w:val="baseline"/>
              <w:rPr>
                <w:noProof/>
              </w:rPr>
            </w:pPr>
            <w:r>
              <w:rPr>
                <w:noProof/>
              </w:rPr>
              <w:t>a) Systèmes informatiques nouveaux ou mis à niveau (IIS pour l'éducation et la formation, FMIS, HRM, Cybersécurité, Chatbot, Virtual Desktop Infrastructure (VDI))</w:t>
            </w:r>
          </w:p>
          <w:p w14:paraId="10B90358" w14:textId="26CCD329" w:rsidR="00A00259" w:rsidRDefault="00371282">
            <w:pPr>
              <w:pStyle w:val="P68B1DB1-paragraph37"/>
              <w:spacing w:before="0" w:beforeAutospacing="0" w:after="0" w:afterAutospacing="0"/>
              <w:textAlignment w:val="baseline"/>
              <w:rPr>
                <w:noProof/>
              </w:rPr>
            </w:pPr>
            <w:r>
              <w:rPr>
                <w:noProof/>
              </w:rPr>
              <w:t>b) Mise à niveau du système d'information intégré du DYPA</w:t>
            </w:r>
          </w:p>
          <w:p w14:paraId="7F01642F" w14:textId="11F6D500" w:rsidR="00A00259" w:rsidRDefault="00371282">
            <w:pPr>
              <w:pStyle w:val="P68B1DB1-paragraph37"/>
              <w:spacing w:before="0" w:beforeAutospacing="0" w:after="0" w:afterAutospacing="0"/>
              <w:textAlignment w:val="baseline"/>
              <w:rPr>
                <w:noProof/>
              </w:rPr>
            </w:pPr>
            <w:r>
              <w:rPr>
                <w:noProof/>
              </w:rPr>
              <w:t>c) Nouveau système de prise de décision fondé sur des données probantes</w:t>
            </w:r>
          </w:p>
          <w:p w14:paraId="4329D85B" w14:textId="11D54413" w:rsidR="00A00259" w:rsidRDefault="00371282">
            <w:pPr>
              <w:pStyle w:val="P68B1DB1-paragraph37"/>
              <w:spacing w:before="0" w:beforeAutospacing="0" w:after="0" w:afterAutospacing="0"/>
              <w:rPr>
                <w:noProof/>
              </w:rPr>
            </w:pPr>
            <w:r>
              <w:rPr>
                <w:noProof/>
              </w:rPr>
              <w:t>d) Un outil d'appariement de l'offre et de la demande de main-d'œuvre fondé sur les compétences.</w:t>
            </w:r>
          </w:p>
        </w:tc>
      </w:tr>
      <w:tr w:rsidR="00A00259" w14:paraId="6D3C34D2" w14:textId="77777777" w:rsidTr="00CE3F9A">
        <w:trPr>
          <w:trHeight w:val="420"/>
        </w:trPr>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838C7DF" w14:textId="77777777" w:rsidR="00A00259" w:rsidRDefault="00371282">
            <w:pPr>
              <w:pStyle w:val="P68B1DB1-Normal23"/>
              <w:spacing w:after="0" w:line="240" w:lineRule="auto"/>
              <w:rPr>
                <w:noProof/>
              </w:rPr>
            </w:pPr>
            <w:r>
              <w:rPr>
                <w:noProof/>
              </w:rPr>
              <w:t>134a</w:t>
            </w:r>
          </w:p>
        </w:tc>
        <w:tc>
          <w:tcPr>
            <w:tcW w:w="2160" w:type="dxa"/>
            <w:tcBorders>
              <w:top w:val="single" w:sz="4" w:space="0" w:color="auto"/>
              <w:left w:val="single" w:sz="4" w:space="0" w:color="auto"/>
              <w:bottom w:val="single" w:sz="4" w:space="0" w:color="auto"/>
              <w:right w:val="single" w:sz="4" w:space="0" w:color="auto"/>
            </w:tcBorders>
            <w:shd w:val="clear" w:color="auto" w:fill="C6EFCE"/>
            <w:noWrap/>
          </w:tcPr>
          <w:p w14:paraId="25586DFC" w14:textId="77777777" w:rsidR="00A00259" w:rsidRDefault="00371282">
            <w:pPr>
              <w:pStyle w:val="P68B1DB1-Normal12"/>
              <w:spacing w:after="0" w:line="240" w:lineRule="auto"/>
              <w:rPr>
                <w:rFonts w:eastAsia="Times New Roman"/>
                <w:noProof/>
              </w:rPr>
            </w:pPr>
            <w:r>
              <w:rPr>
                <w:noProof/>
              </w:rPr>
              <w:t>8 - 3.1. Promouvoir la création d'emplois et la participation au marché du travail - 16750_Transformation numérique des systèmes de travail</w:t>
            </w:r>
          </w:p>
        </w:tc>
        <w:tc>
          <w:tcPr>
            <w:tcW w:w="1151" w:type="dxa"/>
            <w:tcBorders>
              <w:top w:val="single" w:sz="4" w:space="0" w:color="auto"/>
              <w:left w:val="single" w:sz="4" w:space="0" w:color="auto"/>
              <w:bottom w:val="single" w:sz="4" w:space="0" w:color="auto"/>
              <w:right w:val="single" w:sz="4" w:space="0" w:color="auto"/>
            </w:tcBorders>
            <w:shd w:val="clear" w:color="auto" w:fill="C6EFCE"/>
            <w:noWrap/>
          </w:tcPr>
          <w:p w14:paraId="4C802A52" w14:textId="77777777" w:rsidR="00A00259" w:rsidRDefault="00371282">
            <w:pPr>
              <w:pStyle w:val="P68B1DB1-Normal23"/>
              <w:spacing w:after="0" w:line="240" w:lineRule="auto"/>
              <w:rPr>
                <w:noProof/>
              </w:rPr>
            </w:pPr>
            <w:r>
              <w:rPr>
                <w:noProof/>
              </w:rPr>
              <w:t>Étape</w:t>
            </w:r>
          </w:p>
        </w:tc>
        <w:tc>
          <w:tcPr>
            <w:tcW w:w="1323" w:type="dxa"/>
            <w:tcBorders>
              <w:top w:val="single" w:sz="4" w:space="0" w:color="auto"/>
              <w:left w:val="single" w:sz="4" w:space="0" w:color="auto"/>
              <w:bottom w:val="single" w:sz="4" w:space="0" w:color="auto"/>
              <w:right w:val="single" w:sz="4" w:space="0" w:color="auto"/>
            </w:tcBorders>
            <w:shd w:val="clear" w:color="auto" w:fill="C6EFCE"/>
            <w:noWrap/>
          </w:tcPr>
          <w:p w14:paraId="6BE47A75" w14:textId="77777777" w:rsidR="00A00259" w:rsidRDefault="00371282">
            <w:pPr>
              <w:pStyle w:val="P68B1DB1-Normal12"/>
              <w:spacing w:after="0" w:line="240" w:lineRule="auto"/>
              <w:rPr>
                <w:rFonts w:eastAsia="Times New Roman"/>
                <w:noProof/>
              </w:rPr>
            </w:pPr>
            <w:r>
              <w:rPr>
                <w:noProof/>
              </w:rPr>
              <w:t>Mise en œuvre des systèmes informatiques de travail</w:t>
            </w:r>
          </w:p>
        </w:tc>
        <w:tc>
          <w:tcPr>
            <w:tcW w:w="1469" w:type="dxa"/>
            <w:tcBorders>
              <w:top w:val="single" w:sz="4" w:space="0" w:color="auto"/>
              <w:left w:val="single" w:sz="4" w:space="0" w:color="auto"/>
              <w:bottom w:val="single" w:sz="4" w:space="0" w:color="auto"/>
              <w:right w:val="single" w:sz="4" w:space="0" w:color="auto"/>
            </w:tcBorders>
            <w:shd w:val="clear" w:color="auto" w:fill="C6EFCE"/>
            <w:noWrap/>
          </w:tcPr>
          <w:p w14:paraId="373ABF35" w14:textId="0DF1980D" w:rsidR="00A00259" w:rsidRDefault="00371282">
            <w:pPr>
              <w:pStyle w:val="P68B1DB1-Normal12"/>
              <w:spacing w:after="0" w:line="240" w:lineRule="auto"/>
              <w:rPr>
                <w:rFonts w:eastAsia="Times New Roman"/>
                <w:noProof/>
              </w:rPr>
            </w:pPr>
            <w:r>
              <w:rPr>
                <w:noProof/>
              </w:rPr>
              <w:t>Réalisation des projets 1-5</w:t>
            </w:r>
          </w:p>
        </w:tc>
        <w:tc>
          <w:tcPr>
            <w:tcW w:w="981" w:type="dxa"/>
            <w:tcBorders>
              <w:top w:val="single" w:sz="4" w:space="0" w:color="auto"/>
              <w:left w:val="single" w:sz="4" w:space="0" w:color="auto"/>
              <w:bottom w:val="single" w:sz="4" w:space="0" w:color="auto"/>
              <w:right w:val="single" w:sz="4" w:space="0" w:color="auto"/>
            </w:tcBorders>
            <w:shd w:val="clear" w:color="auto" w:fill="C6EFCE"/>
            <w:noWrap/>
          </w:tcPr>
          <w:p w14:paraId="63C632E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59B181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3" w:type="dxa"/>
            <w:tcBorders>
              <w:top w:val="single" w:sz="4" w:space="0" w:color="auto"/>
              <w:left w:val="single" w:sz="4" w:space="0" w:color="auto"/>
              <w:bottom w:val="single" w:sz="4" w:space="0" w:color="auto"/>
              <w:right w:val="single" w:sz="4" w:space="0" w:color="auto"/>
            </w:tcBorders>
            <w:shd w:val="clear" w:color="auto" w:fill="C6EFCE"/>
            <w:noWrap/>
          </w:tcPr>
          <w:p w14:paraId="69F8EEB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DEAEF0D" w14:textId="77777777" w:rsidR="00A00259" w:rsidRDefault="00371282">
            <w:pPr>
              <w:pStyle w:val="P68B1DB1-Normal23"/>
              <w:spacing w:after="0" w:line="240" w:lineRule="auto"/>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8E16FE9" w14:textId="77777777" w:rsidR="00A00259" w:rsidRDefault="00371282">
            <w:pPr>
              <w:pStyle w:val="P68B1DB1-Normal23"/>
              <w:spacing w:after="0" w:line="240" w:lineRule="auto"/>
              <w:rPr>
                <w:noProof/>
              </w:rPr>
            </w:pPr>
            <w:r>
              <w:rPr>
                <w:noProof/>
              </w:rPr>
              <w:t>2025</w:t>
            </w:r>
          </w:p>
        </w:tc>
        <w:tc>
          <w:tcPr>
            <w:tcW w:w="3714" w:type="dxa"/>
            <w:tcBorders>
              <w:top w:val="single" w:sz="4" w:space="0" w:color="auto"/>
              <w:left w:val="single" w:sz="4" w:space="0" w:color="auto"/>
              <w:bottom w:val="single" w:sz="4" w:space="0" w:color="auto"/>
              <w:right w:val="single" w:sz="4" w:space="0" w:color="auto"/>
            </w:tcBorders>
            <w:shd w:val="clear" w:color="auto" w:fill="C6EFCE"/>
            <w:noWrap/>
          </w:tcPr>
          <w:p w14:paraId="1A80347D" w14:textId="64A70EA0" w:rsidR="00A00259" w:rsidRDefault="00371282">
            <w:pPr>
              <w:pStyle w:val="P68B1DB1-Normal12"/>
              <w:spacing w:after="0" w:line="240" w:lineRule="auto"/>
              <w:rPr>
                <w:noProof/>
              </w:rPr>
            </w:pPr>
            <w:r>
              <w:rPr>
                <w:noProof/>
              </w:rPr>
              <w:t>Réalisation des projets suivants, confirmés par le protocole d'acceptation du comité de suivi des projets concerné:</w:t>
            </w:r>
          </w:p>
          <w:p w14:paraId="272491FC" w14:textId="77777777" w:rsidR="00A00259" w:rsidRDefault="00A00259">
            <w:pPr>
              <w:spacing w:after="0" w:line="240" w:lineRule="auto"/>
              <w:rPr>
                <w:rFonts w:ascii="Times New Roman" w:hAnsi="Times New Roman" w:cs="Times New Roman"/>
                <w:noProof/>
                <w:color w:val="006100"/>
                <w:sz w:val="18"/>
                <w:szCs w:val="18"/>
              </w:rPr>
            </w:pPr>
          </w:p>
          <w:p w14:paraId="486626AD" w14:textId="4130D44B" w:rsidR="00A00259" w:rsidRDefault="00371282">
            <w:pPr>
              <w:pStyle w:val="P68B1DB1-Normal12"/>
              <w:spacing w:after="0" w:line="240" w:lineRule="auto"/>
              <w:rPr>
                <w:rFonts w:eastAsia="Times New Roman"/>
                <w:noProof/>
              </w:rPr>
            </w:pPr>
            <w:r>
              <w:rPr>
                <w:noProof/>
              </w:rPr>
              <w:t>1. Système d’information intégré pour le suivi du marché du travail – Carte de travail</w:t>
            </w:r>
          </w:p>
          <w:p w14:paraId="4CFDA767" w14:textId="04A170DF" w:rsidR="00A00259" w:rsidRDefault="00371282">
            <w:pPr>
              <w:pStyle w:val="P68B1DB1-Normal23"/>
              <w:spacing w:after="0" w:line="240" w:lineRule="auto"/>
              <w:rPr>
                <w:noProof/>
              </w:rPr>
            </w:pPr>
            <w:r>
              <w:rPr>
                <w:noProof/>
              </w:rPr>
              <w:t>2. Flux unifié de données sur l’emploi et les assurances – Révision du système intégré d’information pour l’inspection du travail (ARIADNE)</w:t>
            </w:r>
          </w:p>
          <w:p w14:paraId="1774F8BF" w14:textId="06B35182" w:rsidR="00A00259" w:rsidRDefault="00371282">
            <w:pPr>
              <w:pStyle w:val="P68B1DB1-Normal12"/>
              <w:spacing w:after="0" w:line="240" w:lineRule="auto"/>
              <w:rPr>
                <w:noProof/>
              </w:rPr>
            </w:pPr>
            <w:r>
              <w:rPr>
                <w:noProof/>
              </w:rPr>
              <w:t>3. Numérisation de l’historique d’assurance du Fonds de pension unique (e-EFKA) et soutien du système d’octroi des pensions</w:t>
            </w:r>
          </w:p>
          <w:p w14:paraId="43B9EEBC" w14:textId="57B3DBE6" w:rsidR="00A00259" w:rsidRDefault="00371282">
            <w:pPr>
              <w:pStyle w:val="P68B1DB1-Normal12"/>
              <w:spacing w:after="0" w:line="240" w:lineRule="auto"/>
              <w:rPr>
                <w:noProof/>
              </w:rPr>
            </w:pPr>
            <w:r>
              <w:rPr>
                <w:noProof/>
              </w:rPr>
              <w:t>4. Développement d'un nouveau système d'information intégré pour e-EFKA</w:t>
            </w:r>
          </w:p>
          <w:p w14:paraId="6A237494" w14:textId="426BD33D" w:rsidR="00A00259" w:rsidRDefault="00371282">
            <w:pPr>
              <w:pStyle w:val="P68B1DB1-Normal12"/>
              <w:spacing w:after="0" w:line="240" w:lineRule="auto"/>
              <w:rPr>
                <w:rFonts w:eastAsia="Times New Roman"/>
                <w:noProof/>
                <w:sz w:val="20"/>
                <w:szCs w:val="20"/>
              </w:rPr>
            </w:pPr>
            <w:r>
              <w:rPr>
                <w:noProof/>
              </w:rPr>
              <w:t>5. Système de santé et de sécurité au travail (HERIDANOS)</w:t>
            </w:r>
          </w:p>
        </w:tc>
      </w:tr>
    </w:tbl>
    <w:p w14:paraId="39C33B13" w14:textId="77777777" w:rsidR="00A00259" w:rsidRDefault="00A00259">
      <w:pPr>
        <w:spacing w:before="120" w:after="120" w:line="240" w:lineRule="auto"/>
        <w:jc w:val="both"/>
        <w:rPr>
          <w:rFonts w:ascii="Times New Roman" w:hAnsi="Times New Roman" w:cs="Times New Roman"/>
          <w:noProof/>
          <w:sz w:val="24"/>
        </w:rPr>
        <w:sectPr w:rsidR="00A00259">
          <w:headerReference w:type="even" r:id="rId174"/>
          <w:headerReference w:type="default" r:id="rId175"/>
          <w:footerReference w:type="even" r:id="rId176"/>
          <w:footerReference w:type="default" r:id="rId177"/>
          <w:headerReference w:type="first" r:id="rId178"/>
          <w:footerReference w:type="first" r:id="rId179"/>
          <w:pgSz w:w="16839" w:h="11907" w:orient="landscape"/>
          <w:pgMar w:top="1134" w:right="1134" w:bottom="1134" w:left="1134" w:header="567" w:footer="567" w:gutter="0"/>
          <w:cols w:space="720"/>
          <w:docGrid w:linePitch="360"/>
        </w:sectPr>
      </w:pPr>
    </w:p>
    <w:p w14:paraId="11BE1934" w14:textId="77777777" w:rsidR="00A00259" w:rsidRDefault="00371282">
      <w:pPr>
        <w:pStyle w:val="P68B1DB1-Normal9"/>
        <w:keepNext/>
        <w:keepLines/>
        <w:spacing w:before="40" w:after="0" w:line="240" w:lineRule="auto"/>
        <w:jc w:val="both"/>
        <w:outlineLvl w:val="4"/>
        <w:rPr>
          <w:rFonts w:eastAsia="Times New Roman"/>
          <w:noProof/>
          <w:szCs w:val="24"/>
        </w:rPr>
      </w:pPr>
      <w:r>
        <w:rPr>
          <w:noProof/>
        </w:rPr>
        <w:t>Groupe 11: Promouvoir la création d'emplois et la participation au marché du travail / Éducation, enseignement et formation professionnels et compétences- DYPA- Réformes &amp; Investissements</w:t>
      </w:r>
    </w:p>
    <w:p w14:paraId="44D99670" w14:textId="77777777" w:rsidR="00A00259" w:rsidRDefault="00371282">
      <w:pPr>
        <w:pStyle w:val="P68B1DB1-Normal5"/>
        <w:numPr>
          <w:ilvl w:val="0"/>
          <w:numId w:val="43"/>
        </w:numPr>
        <w:spacing w:before="120" w:after="0" w:line="240" w:lineRule="auto"/>
        <w:jc w:val="both"/>
        <w:rPr>
          <w:rFonts w:cs="Times New Roman"/>
          <w:noProof/>
        </w:rPr>
      </w:pPr>
      <w:r>
        <w:rPr>
          <w:noProof/>
        </w:rPr>
        <w:t>Restructuration et rebranding des succursales locales de DYPA pour la promotion de l’emploi (KPA2) (ID: 16941)</w:t>
      </w:r>
    </w:p>
    <w:p w14:paraId="6A6D2984" w14:textId="77777777" w:rsidR="00A00259" w:rsidRDefault="00371282">
      <w:pPr>
        <w:pStyle w:val="P68B1DB1-Normal5"/>
        <w:numPr>
          <w:ilvl w:val="0"/>
          <w:numId w:val="43"/>
        </w:numPr>
        <w:spacing w:before="120" w:after="0" w:line="240" w:lineRule="auto"/>
        <w:jc w:val="both"/>
        <w:rPr>
          <w:rFonts w:cs="Times New Roman"/>
          <w:noProof/>
        </w:rPr>
      </w:pPr>
      <w:r>
        <w:rPr>
          <w:noProof/>
        </w:rPr>
        <w:t>Réforme active des politiques du marché du travail (ID: 16747)</w:t>
      </w:r>
    </w:p>
    <w:p w14:paraId="78DE9D31" w14:textId="77777777" w:rsidR="00A00259" w:rsidRDefault="00371282">
      <w:pPr>
        <w:pStyle w:val="P68B1DB1-Normal5"/>
        <w:numPr>
          <w:ilvl w:val="0"/>
          <w:numId w:val="43"/>
        </w:numPr>
        <w:spacing w:before="120" w:after="0" w:line="240" w:lineRule="auto"/>
        <w:jc w:val="both"/>
        <w:rPr>
          <w:rFonts w:cs="Times New Roman"/>
          <w:noProof/>
        </w:rPr>
      </w:pPr>
      <w:r>
        <w:rPr>
          <w:noProof/>
        </w:rPr>
        <w:t>Renforcement du système d'apprentissage (ID: 16794)</w:t>
      </w:r>
    </w:p>
    <w:p w14:paraId="0F4164C1" w14:textId="77777777" w:rsidR="00A00259" w:rsidRDefault="00371282">
      <w:pPr>
        <w:pStyle w:val="P68B1DB1-Normal5"/>
        <w:numPr>
          <w:ilvl w:val="0"/>
          <w:numId w:val="43"/>
        </w:numPr>
        <w:spacing w:before="120" w:after="0" w:line="240" w:lineRule="auto"/>
        <w:jc w:val="both"/>
        <w:rPr>
          <w:rFonts w:cs="Times New Roman"/>
          <w:noProof/>
        </w:rPr>
      </w:pPr>
      <w:r>
        <w:rPr>
          <w:noProof/>
        </w:rPr>
        <w:t>Réforme des politiques passives du marché du travail pour soutenir les transitions vers l'emploi (ID: 16746)</w:t>
      </w:r>
    </w:p>
    <w:p w14:paraId="5AC2EEA4" w14:textId="77777777" w:rsidR="00A00259" w:rsidRDefault="00371282">
      <w:pPr>
        <w:pStyle w:val="P68B1DB1-Normal5"/>
        <w:numPr>
          <w:ilvl w:val="0"/>
          <w:numId w:val="43"/>
        </w:numPr>
        <w:spacing w:before="120" w:after="120" w:line="240" w:lineRule="auto"/>
        <w:jc w:val="both"/>
        <w:rPr>
          <w:rFonts w:cs="Times New Roman"/>
          <w:noProof/>
        </w:rPr>
      </w:pPr>
      <w:r>
        <w:rPr>
          <w:noProof/>
        </w:rPr>
        <w:t>Compétence, reconversion et perfectionnement de la main-d’œuvre au moyen d’un modèle de formation réformé (formation professionnelle et amplification; réforme de la formation) (ID: 16792)</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
        <w:gridCol w:w="2241"/>
        <w:gridCol w:w="1099"/>
        <w:gridCol w:w="1365"/>
        <w:gridCol w:w="1471"/>
        <w:gridCol w:w="1135"/>
        <w:gridCol w:w="1031"/>
        <w:gridCol w:w="851"/>
        <w:gridCol w:w="992"/>
        <w:gridCol w:w="709"/>
        <w:gridCol w:w="4022"/>
      </w:tblGrid>
      <w:tr w:rsidR="00A00259" w14:paraId="1BA5724F" w14:textId="77777777" w:rsidTr="00CE3F9A">
        <w:trPr>
          <w:trHeight w:val="741"/>
          <w:tblHeader/>
          <w:jc w:val="center"/>
        </w:trPr>
        <w:tc>
          <w:tcPr>
            <w:tcW w:w="672" w:type="dxa"/>
            <w:vMerge w:val="restart"/>
            <w:shd w:val="clear" w:color="auto" w:fill="BDD7EE"/>
            <w:vAlign w:val="center"/>
            <w:hideMark/>
          </w:tcPr>
          <w:p w14:paraId="034A0211"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Seq. </w:t>
            </w:r>
            <w:r>
              <w:rPr>
                <w:noProof/>
              </w:rPr>
              <w:br/>
              <w:t>Non.</w:t>
            </w:r>
          </w:p>
        </w:tc>
        <w:tc>
          <w:tcPr>
            <w:tcW w:w="2241" w:type="dxa"/>
            <w:vMerge w:val="restart"/>
            <w:shd w:val="clear" w:color="auto" w:fill="BDD7EE"/>
            <w:vAlign w:val="center"/>
            <w:hideMark/>
          </w:tcPr>
          <w:p w14:paraId="493DFCA6" w14:textId="77777777" w:rsidR="00A00259" w:rsidRDefault="00371282">
            <w:pPr>
              <w:pStyle w:val="P68B1DB1-Normal15"/>
              <w:spacing w:after="0" w:line="240" w:lineRule="auto"/>
              <w:jc w:val="center"/>
              <w:rPr>
                <w:rFonts w:eastAsia="Times New Roman"/>
                <w:bCs/>
                <w:noProof/>
              </w:rPr>
            </w:pPr>
            <w:r>
              <w:rPr>
                <w:noProof/>
              </w:rPr>
              <w:t>Mesure connexe (réforme ou investissement)</w:t>
            </w:r>
          </w:p>
        </w:tc>
        <w:tc>
          <w:tcPr>
            <w:tcW w:w="1099" w:type="dxa"/>
            <w:vMerge w:val="restart"/>
            <w:shd w:val="clear" w:color="auto" w:fill="BDD7EE"/>
            <w:vAlign w:val="center"/>
            <w:hideMark/>
          </w:tcPr>
          <w:p w14:paraId="6A12482B" w14:textId="77777777" w:rsidR="00A00259" w:rsidRDefault="00371282">
            <w:pPr>
              <w:pStyle w:val="P68B1DB1-Normal15"/>
              <w:spacing w:after="0" w:line="240" w:lineRule="auto"/>
              <w:jc w:val="center"/>
              <w:rPr>
                <w:rFonts w:eastAsia="Times New Roman"/>
                <w:bCs/>
                <w:noProof/>
              </w:rPr>
            </w:pPr>
            <w:r>
              <w:rPr>
                <w:noProof/>
              </w:rPr>
              <w:t>Étape/cible</w:t>
            </w:r>
          </w:p>
        </w:tc>
        <w:tc>
          <w:tcPr>
            <w:tcW w:w="1365" w:type="dxa"/>
            <w:vMerge w:val="restart"/>
            <w:shd w:val="clear" w:color="auto" w:fill="BDD7EE"/>
            <w:vAlign w:val="center"/>
            <w:hideMark/>
          </w:tcPr>
          <w:p w14:paraId="5A677EA0" w14:textId="77777777" w:rsidR="00A00259" w:rsidRDefault="00371282">
            <w:pPr>
              <w:pStyle w:val="P68B1DB1-Normal15"/>
              <w:spacing w:after="0" w:line="240" w:lineRule="auto"/>
              <w:jc w:val="center"/>
              <w:rPr>
                <w:rFonts w:eastAsia="Times New Roman"/>
                <w:bCs/>
                <w:noProof/>
              </w:rPr>
            </w:pPr>
            <w:r>
              <w:rPr>
                <w:noProof/>
              </w:rPr>
              <w:t>Nom</w:t>
            </w:r>
          </w:p>
        </w:tc>
        <w:tc>
          <w:tcPr>
            <w:tcW w:w="1471" w:type="dxa"/>
            <w:vMerge w:val="restart"/>
            <w:shd w:val="clear" w:color="auto" w:fill="BDD7EE"/>
            <w:vAlign w:val="center"/>
            <w:hideMark/>
          </w:tcPr>
          <w:p w14:paraId="4F719445" w14:textId="6E663873" w:rsidR="00A00259" w:rsidRDefault="00371282">
            <w:pPr>
              <w:pStyle w:val="P68B1DB1-Normal15"/>
              <w:spacing w:after="0" w:line="240" w:lineRule="auto"/>
              <w:jc w:val="center"/>
              <w:rPr>
                <w:rFonts w:eastAsia="Times New Roman"/>
                <w:bCs/>
                <w:noProof/>
              </w:rPr>
            </w:pPr>
            <w:r>
              <w:rPr>
                <w:noProof/>
              </w:rPr>
              <w:t xml:space="preserve">Indicateurs qualitatifs </w:t>
            </w:r>
            <w:r>
              <w:rPr>
                <w:noProof/>
              </w:rPr>
              <w:br/>
              <w:t xml:space="preserve"> (pour les jalons)</w:t>
            </w:r>
          </w:p>
        </w:tc>
        <w:tc>
          <w:tcPr>
            <w:tcW w:w="3017" w:type="dxa"/>
            <w:gridSpan w:val="3"/>
            <w:shd w:val="clear" w:color="auto" w:fill="BDD7EE"/>
            <w:vAlign w:val="center"/>
            <w:hideMark/>
          </w:tcPr>
          <w:p w14:paraId="5351F43B" w14:textId="77777777" w:rsidR="00A00259" w:rsidRDefault="00371282">
            <w:pPr>
              <w:pStyle w:val="P68B1DB1-Normal15"/>
              <w:spacing w:after="0" w:line="240" w:lineRule="auto"/>
              <w:jc w:val="center"/>
              <w:rPr>
                <w:rFonts w:eastAsia="Times New Roman"/>
                <w:bCs/>
                <w:noProof/>
              </w:rPr>
            </w:pPr>
            <w:r>
              <w:rPr>
                <w:noProof/>
              </w:rPr>
              <w:t>Indicateurs quantitatifs (pour les objectifs)</w:t>
            </w:r>
          </w:p>
        </w:tc>
        <w:tc>
          <w:tcPr>
            <w:tcW w:w="1701" w:type="dxa"/>
            <w:gridSpan w:val="2"/>
            <w:shd w:val="clear" w:color="auto" w:fill="BDD7EE"/>
            <w:vAlign w:val="center"/>
            <w:hideMark/>
          </w:tcPr>
          <w:p w14:paraId="0A135B1F" w14:textId="77777777" w:rsidR="00A00259" w:rsidRDefault="00371282">
            <w:pPr>
              <w:pStyle w:val="P68B1DB1-Normal15"/>
              <w:spacing w:after="0" w:line="240" w:lineRule="auto"/>
              <w:jc w:val="center"/>
              <w:rPr>
                <w:rFonts w:eastAsia="Times New Roman"/>
                <w:bCs/>
                <w:noProof/>
              </w:rPr>
            </w:pPr>
            <w:r>
              <w:rPr>
                <w:noProof/>
              </w:rPr>
              <w:t xml:space="preserve">Calendrier indicatif d'achèvement </w:t>
            </w:r>
          </w:p>
        </w:tc>
        <w:tc>
          <w:tcPr>
            <w:tcW w:w="4022" w:type="dxa"/>
            <w:vMerge w:val="restart"/>
            <w:shd w:val="clear" w:color="auto" w:fill="BDD7EE"/>
            <w:vAlign w:val="center"/>
            <w:hideMark/>
          </w:tcPr>
          <w:p w14:paraId="239B6604" w14:textId="77777777" w:rsidR="00A00259" w:rsidRDefault="00371282">
            <w:pPr>
              <w:pStyle w:val="P68B1DB1-Normal15"/>
              <w:spacing w:after="0" w:line="240" w:lineRule="auto"/>
              <w:jc w:val="center"/>
              <w:rPr>
                <w:rFonts w:eastAsia="Times New Roman"/>
                <w:bCs/>
                <w:noProof/>
              </w:rPr>
            </w:pPr>
            <w:r>
              <w:rPr>
                <w:noProof/>
              </w:rPr>
              <w:t>Description de chaque jalon et cible</w:t>
            </w:r>
          </w:p>
        </w:tc>
      </w:tr>
      <w:tr w:rsidR="00A00259" w14:paraId="00AC7A2B" w14:textId="77777777" w:rsidTr="00CE3F9A">
        <w:trPr>
          <w:trHeight w:val="512"/>
          <w:tblHeader/>
          <w:jc w:val="center"/>
        </w:trPr>
        <w:tc>
          <w:tcPr>
            <w:tcW w:w="672" w:type="dxa"/>
            <w:vMerge/>
            <w:vAlign w:val="center"/>
            <w:hideMark/>
          </w:tcPr>
          <w:p w14:paraId="351F05C9" w14:textId="77777777" w:rsidR="00A00259" w:rsidRDefault="00A00259">
            <w:pPr>
              <w:spacing w:after="0" w:line="240" w:lineRule="auto"/>
              <w:rPr>
                <w:rFonts w:ascii="Times New Roman" w:eastAsia="Times New Roman" w:hAnsi="Times New Roman" w:cs="Times New Roman"/>
                <w:b/>
                <w:bCs/>
                <w:noProof/>
                <w:sz w:val="18"/>
                <w:szCs w:val="18"/>
              </w:rPr>
            </w:pPr>
          </w:p>
        </w:tc>
        <w:tc>
          <w:tcPr>
            <w:tcW w:w="2241" w:type="dxa"/>
            <w:vMerge/>
            <w:vAlign w:val="center"/>
            <w:hideMark/>
          </w:tcPr>
          <w:p w14:paraId="022DB5A2" w14:textId="77777777" w:rsidR="00A00259" w:rsidRDefault="00A00259">
            <w:pPr>
              <w:spacing w:after="0" w:line="240" w:lineRule="auto"/>
              <w:rPr>
                <w:rFonts w:ascii="Times New Roman" w:eastAsia="Times New Roman" w:hAnsi="Times New Roman" w:cs="Times New Roman"/>
                <w:b/>
                <w:bCs/>
                <w:noProof/>
                <w:sz w:val="18"/>
                <w:szCs w:val="18"/>
              </w:rPr>
            </w:pPr>
          </w:p>
        </w:tc>
        <w:tc>
          <w:tcPr>
            <w:tcW w:w="1099" w:type="dxa"/>
            <w:vMerge/>
            <w:vAlign w:val="center"/>
            <w:hideMark/>
          </w:tcPr>
          <w:p w14:paraId="2E9DB183" w14:textId="77777777" w:rsidR="00A00259" w:rsidRDefault="00A00259">
            <w:pPr>
              <w:spacing w:after="0" w:line="240" w:lineRule="auto"/>
              <w:rPr>
                <w:rFonts w:ascii="Times New Roman" w:eastAsia="Times New Roman" w:hAnsi="Times New Roman" w:cs="Times New Roman"/>
                <w:b/>
                <w:bCs/>
                <w:noProof/>
                <w:sz w:val="18"/>
                <w:szCs w:val="18"/>
              </w:rPr>
            </w:pPr>
          </w:p>
        </w:tc>
        <w:tc>
          <w:tcPr>
            <w:tcW w:w="1365" w:type="dxa"/>
            <w:vMerge/>
            <w:vAlign w:val="center"/>
            <w:hideMark/>
          </w:tcPr>
          <w:p w14:paraId="72AFC821" w14:textId="77777777" w:rsidR="00A00259" w:rsidRDefault="00A00259">
            <w:pPr>
              <w:spacing w:after="0" w:line="240" w:lineRule="auto"/>
              <w:rPr>
                <w:rFonts w:ascii="Times New Roman" w:eastAsia="Times New Roman" w:hAnsi="Times New Roman" w:cs="Times New Roman"/>
                <w:b/>
                <w:bCs/>
                <w:noProof/>
                <w:sz w:val="18"/>
                <w:szCs w:val="18"/>
              </w:rPr>
            </w:pPr>
          </w:p>
        </w:tc>
        <w:tc>
          <w:tcPr>
            <w:tcW w:w="1471" w:type="dxa"/>
            <w:vMerge/>
            <w:vAlign w:val="center"/>
            <w:hideMark/>
          </w:tcPr>
          <w:p w14:paraId="5C9D8D27" w14:textId="77777777" w:rsidR="00A00259" w:rsidRDefault="00A00259">
            <w:pPr>
              <w:spacing w:after="0" w:line="240" w:lineRule="auto"/>
              <w:rPr>
                <w:rFonts w:ascii="Times New Roman" w:eastAsia="Times New Roman" w:hAnsi="Times New Roman" w:cs="Times New Roman"/>
                <w:b/>
                <w:bCs/>
                <w:noProof/>
                <w:sz w:val="18"/>
                <w:szCs w:val="18"/>
              </w:rPr>
            </w:pPr>
          </w:p>
        </w:tc>
        <w:tc>
          <w:tcPr>
            <w:tcW w:w="1135" w:type="dxa"/>
            <w:shd w:val="clear" w:color="auto" w:fill="BDD7EE"/>
            <w:vAlign w:val="center"/>
            <w:hideMark/>
          </w:tcPr>
          <w:p w14:paraId="233CF20D" w14:textId="77777777" w:rsidR="00A00259" w:rsidRDefault="00371282">
            <w:pPr>
              <w:pStyle w:val="P68B1DB1-Normal15"/>
              <w:spacing w:after="0" w:line="240" w:lineRule="auto"/>
              <w:jc w:val="center"/>
              <w:rPr>
                <w:rFonts w:eastAsia="Times New Roman"/>
                <w:bCs/>
                <w:noProof/>
              </w:rPr>
            </w:pPr>
            <w:r>
              <w:rPr>
                <w:noProof/>
              </w:rPr>
              <w:t>Unité de mesure</w:t>
            </w:r>
          </w:p>
        </w:tc>
        <w:tc>
          <w:tcPr>
            <w:tcW w:w="1031" w:type="dxa"/>
            <w:shd w:val="clear" w:color="auto" w:fill="BDD7EE"/>
            <w:vAlign w:val="center"/>
            <w:hideMark/>
          </w:tcPr>
          <w:p w14:paraId="741EB13D" w14:textId="77777777" w:rsidR="00A00259" w:rsidRDefault="00371282">
            <w:pPr>
              <w:pStyle w:val="P68B1DB1-Normal15"/>
              <w:spacing w:after="0" w:line="240" w:lineRule="auto"/>
              <w:jc w:val="center"/>
              <w:rPr>
                <w:rFonts w:eastAsia="Times New Roman"/>
                <w:bCs/>
                <w:noProof/>
              </w:rPr>
            </w:pPr>
            <w:r>
              <w:rPr>
                <w:noProof/>
              </w:rPr>
              <w:t xml:space="preserve">Données de référence </w:t>
            </w:r>
          </w:p>
        </w:tc>
        <w:tc>
          <w:tcPr>
            <w:tcW w:w="851" w:type="dxa"/>
            <w:shd w:val="clear" w:color="auto" w:fill="BDD7EE"/>
            <w:vAlign w:val="center"/>
            <w:hideMark/>
          </w:tcPr>
          <w:p w14:paraId="58826D2A" w14:textId="77777777" w:rsidR="00A00259" w:rsidRDefault="00371282">
            <w:pPr>
              <w:pStyle w:val="P68B1DB1-Normal15"/>
              <w:spacing w:after="0" w:line="240" w:lineRule="auto"/>
              <w:jc w:val="center"/>
              <w:rPr>
                <w:rFonts w:eastAsia="Times New Roman"/>
                <w:bCs/>
                <w:noProof/>
              </w:rPr>
            </w:pPr>
            <w:r>
              <w:rPr>
                <w:noProof/>
              </w:rPr>
              <w:t xml:space="preserve">Objectif </w:t>
            </w:r>
          </w:p>
        </w:tc>
        <w:tc>
          <w:tcPr>
            <w:tcW w:w="992" w:type="dxa"/>
            <w:shd w:val="clear" w:color="auto" w:fill="BDD7EE"/>
            <w:vAlign w:val="center"/>
            <w:hideMark/>
          </w:tcPr>
          <w:p w14:paraId="1EA2D5C7" w14:textId="77777777" w:rsidR="00A00259" w:rsidRDefault="00371282">
            <w:pPr>
              <w:pStyle w:val="P68B1DB1-Normal15"/>
              <w:spacing w:after="0" w:line="240" w:lineRule="auto"/>
              <w:jc w:val="center"/>
              <w:rPr>
                <w:rFonts w:eastAsia="Times New Roman"/>
                <w:bCs/>
                <w:noProof/>
              </w:rPr>
            </w:pPr>
            <w:r>
              <w:rPr>
                <w:noProof/>
              </w:rPr>
              <w:t>Trimestre</w:t>
            </w:r>
          </w:p>
        </w:tc>
        <w:tc>
          <w:tcPr>
            <w:tcW w:w="709" w:type="dxa"/>
            <w:shd w:val="clear" w:color="auto" w:fill="BDD7EE"/>
            <w:vAlign w:val="center"/>
            <w:hideMark/>
          </w:tcPr>
          <w:p w14:paraId="67EFEDE3" w14:textId="77777777" w:rsidR="00A00259" w:rsidRDefault="00371282">
            <w:pPr>
              <w:pStyle w:val="P68B1DB1-Normal15"/>
              <w:spacing w:after="0" w:line="240" w:lineRule="auto"/>
              <w:jc w:val="center"/>
              <w:rPr>
                <w:rFonts w:eastAsia="Times New Roman"/>
                <w:bCs/>
                <w:noProof/>
              </w:rPr>
            </w:pPr>
            <w:r>
              <w:rPr>
                <w:noProof/>
              </w:rPr>
              <w:t>Année</w:t>
            </w:r>
          </w:p>
        </w:tc>
        <w:tc>
          <w:tcPr>
            <w:tcW w:w="4022" w:type="dxa"/>
            <w:vMerge/>
            <w:vAlign w:val="center"/>
            <w:hideMark/>
          </w:tcPr>
          <w:p w14:paraId="7A85F8F3"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04D930E6" w14:textId="77777777" w:rsidTr="00CE3F9A">
        <w:trPr>
          <w:trHeight w:val="309"/>
          <w:jc w:val="center"/>
        </w:trPr>
        <w:tc>
          <w:tcPr>
            <w:tcW w:w="672" w:type="dxa"/>
            <w:shd w:val="clear" w:color="auto" w:fill="C6EFCE"/>
            <w:noWrap/>
          </w:tcPr>
          <w:p w14:paraId="73D768B5" w14:textId="77777777" w:rsidR="00A00259" w:rsidRDefault="00371282">
            <w:pPr>
              <w:pStyle w:val="P68B1DB1-Normal12"/>
              <w:spacing w:after="0" w:line="240" w:lineRule="auto"/>
              <w:rPr>
                <w:rFonts w:eastAsia="Times New Roman"/>
                <w:noProof/>
              </w:rPr>
            </w:pPr>
            <w:r>
              <w:rPr>
                <w:noProof/>
              </w:rPr>
              <w:t>141</w:t>
            </w:r>
          </w:p>
        </w:tc>
        <w:tc>
          <w:tcPr>
            <w:tcW w:w="2241" w:type="dxa"/>
            <w:shd w:val="clear" w:color="auto" w:fill="C6EFCE"/>
            <w:noWrap/>
          </w:tcPr>
          <w:p w14:paraId="29D8E496" w14:textId="77777777" w:rsidR="00A00259" w:rsidRDefault="00371282">
            <w:pPr>
              <w:pStyle w:val="P68B1DB1-Normal12"/>
              <w:spacing w:after="0" w:line="240" w:lineRule="auto"/>
              <w:rPr>
                <w:rFonts w:eastAsia="Times New Roman"/>
                <w:noProof/>
              </w:rPr>
            </w:pPr>
            <w:r>
              <w:rPr>
                <w:noProof/>
              </w:rPr>
              <w:t>8 - 3.1. Promouvoir la création d'emplois et la participation au marché du travail - 16941_Restructuration et rebranding des SPE locaux DYPA (KPA2)</w:t>
            </w:r>
          </w:p>
        </w:tc>
        <w:tc>
          <w:tcPr>
            <w:tcW w:w="1099" w:type="dxa"/>
            <w:shd w:val="clear" w:color="auto" w:fill="C6EFCE"/>
            <w:noWrap/>
          </w:tcPr>
          <w:p w14:paraId="00C6250A" w14:textId="77777777" w:rsidR="00A00259" w:rsidRDefault="00371282">
            <w:pPr>
              <w:pStyle w:val="P68B1DB1-Normal12"/>
              <w:spacing w:after="0" w:line="240" w:lineRule="auto"/>
              <w:rPr>
                <w:rFonts w:eastAsia="Times New Roman"/>
                <w:noProof/>
              </w:rPr>
            </w:pPr>
            <w:r>
              <w:rPr>
                <w:noProof/>
              </w:rPr>
              <w:t>Étape</w:t>
            </w:r>
          </w:p>
        </w:tc>
        <w:tc>
          <w:tcPr>
            <w:tcW w:w="1365" w:type="dxa"/>
            <w:shd w:val="clear" w:color="auto" w:fill="C6EFCE"/>
            <w:noWrap/>
          </w:tcPr>
          <w:p w14:paraId="4C879C3E" w14:textId="77777777" w:rsidR="00A00259" w:rsidRDefault="00371282">
            <w:pPr>
              <w:pStyle w:val="P68B1DB1-Normal12"/>
              <w:spacing w:after="0" w:line="240" w:lineRule="auto"/>
              <w:rPr>
                <w:rFonts w:eastAsia="Times New Roman"/>
                <w:noProof/>
              </w:rPr>
            </w:pPr>
            <w:r>
              <w:rPr>
                <w:noProof/>
              </w:rPr>
              <w:t xml:space="preserve">DYPA Réforme organisationnelle Entrée en vigueur de la législation </w:t>
            </w:r>
          </w:p>
        </w:tc>
        <w:tc>
          <w:tcPr>
            <w:tcW w:w="1471" w:type="dxa"/>
            <w:shd w:val="clear" w:color="auto" w:fill="C6EFCE"/>
            <w:noWrap/>
          </w:tcPr>
          <w:p w14:paraId="0981C56E" w14:textId="77777777" w:rsidR="00A00259" w:rsidRDefault="00371282">
            <w:pPr>
              <w:pStyle w:val="P68B1DB1-Normal12"/>
              <w:spacing w:after="0" w:line="240" w:lineRule="auto"/>
              <w:rPr>
                <w:rFonts w:eastAsia="Times New Roman"/>
                <w:noProof/>
              </w:rPr>
            </w:pPr>
            <w:r>
              <w:rPr>
                <w:noProof/>
              </w:rPr>
              <w:t xml:space="preserve">Entrée en vigueur de la législation </w:t>
            </w:r>
          </w:p>
        </w:tc>
        <w:tc>
          <w:tcPr>
            <w:tcW w:w="1135" w:type="dxa"/>
            <w:shd w:val="clear" w:color="auto" w:fill="C6EFCE"/>
            <w:noWrap/>
          </w:tcPr>
          <w:p w14:paraId="527FAFC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31" w:type="dxa"/>
            <w:shd w:val="clear" w:color="auto" w:fill="C6EFCE"/>
            <w:noWrap/>
          </w:tcPr>
          <w:p w14:paraId="0788371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0FB5811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125F0C6" w14:textId="77777777" w:rsidR="00A00259" w:rsidRDefault="00371282">
            <w:pPr>
              <w:pStyle w:val="P68B1DB1-Normal12"/>
              <w:spacing w:after="0" w:line="240" w:lineRule="auto"/>
              <w:rPr>
                <w:rFonts w:eastAsia="Times New Roman"/>
                <w:noProof/>
              </w:rPr>
            </w:pPr>
            <w:r>
              <w:rPr>
                <w:noProof/>
              </w:rPr>
              <w:t>T3</w:t>
            </w:r>
          </w:p>
        </w:tc>
        <w:tc>
          <w:tcPr>
            <w:tcW w:w="709" w:type="dxa"/>
            <w:shd w:val="clear" w:color="auto" w:fill="C6EFCE"/>
            <w:noWrap/>
          </w:tcPr>
          <w:p w14:paraId="6792B637" w14:textId="77777777" w:rsidR="00A00259" w:rsidRDefault="00371282">
            <w:pPr>
              <w:pStyle w:val="P68B1DB1-Normal12"/>
              <w:spacing w:after="0" w:line="240" w:lineRule="auto"/>
              <w:rPr>
                <w:rFonts w:eastAsia="Times New Roman"/>
                <w:noProof/>
              </w:rPr>
            </w:pPr>
            <w:r>
              <w:rPr>
                <w:noProof/>
              </w:rPr>
              <w:t>2021</w:t>
            </w:r>
          </w:p>
        </w:tc>
        <w:tc>
          <w:tcPr>
            <w:tcW w:w="4022" w:type="dxa"/>
            <w:shd w:val="clear" w:color="auto" w:fill="C6EFCE"/>
            <w:noWrap/>
          </w:tcPr>
          <w:p w14:paraId="02655777" w14:textId="77777777" w:rsidR="00A00259" w:rsidRDefault="00371282">
            <w:pPr>
              <w:pStyle w:val="P68B1DB1-Normal12"/>
              <w:spacing w:after="0" w:line="240" w:lineRule="auto"/>
              <w:rPr>
                <w:rFonts w:eastAsia="Times New Roman"/>
                <w:noProof/>
              </w:rPr>
            </w:pPr>
            <w:r>
              <w:rPr>
                <w:noProof/>
              </w:rPr>
              <w:t>Entrée en vigueur de la réforme organisationnelle de l'Organisation hellénique pour l'emploi de la main-d'œuvre (DYPA), restructuration, rénovation et rebranding de ses services publics de l'emploi locaux en vue d'améliorer la qualité, la capacité et l'efficacité des services offerts.</w:t>
            </w:r>
          </w:p>
        </w:tc>
      </w:tr>
      <w:tr w:rsidR="00A00259" w14:paraId="284E4130" w14:textId="77777777" w:rsidTr="00CE3F9A">
        <w:trPr>
          <w:trHeight w:val="309"/>
          <w:jc w:val="center"/>
        </w:trPr>
        <w:tc>
          <w:tcPr>
            <w:tcW w:w="672" w:type="dxa"/>
            <w:shd w:val="clear" w:color="auto" w:fill="C6EFCE"/>
            <w:noWrap/>
          </w:tcPr>
          <w:p w14:paraId="618C49E5" w14:textId="77777777" w:rsidR="00A00259" w:rsidRDefault="00371282">
            <w:pPr>
              <w:pStyle w:val="P68B1DB1-Normal12"/>
              <w:spacing w:after="0" w:line="240" w:lineRule="auto"/>
              <w:rPr>
                <w:rFonts w:eastAsia="Times New Roman"/>
                <w:noProof/>
              </w:rPr>
            </w:pPr>
            <w:r>
              <w:rPr>
                <w:noProof/>
              </w:rPr>
              <w:t>142</w:t>
            </w:r>
          </w:p>
        </w:tc>
        <w:tc>
          <w:tcPr>
            <w:tcW w:w="2241" w:type="dxa"/>
            <w:shd w:val="clear" w:color="auto" w:fill="C6EFCE"/>
            <w:noWrap/>
          </w:tcPr>
          <w:p w14:paraId="49BF02C8" w14:textId="5AF75C80" w:rsidR="00A00259" w:rsidRDefault="00371282">
            <w:pPr>
              <w:pStyle w:val="P68B1DB1-Normal12"/>
              <w:spacing w:after="0" w:line="240" w:lineRule="auto"/>
              <w:rPr>
                <w:noProof/>
              </w:rPr>
            </w:pPr>
            <w:r>
              <w:rPr>
                <w:noProof/>
              </w:rPr>
              <w:t>8 - 3.1. Promouvoir la création d’emplois et la participation au marché du travail – 16746</w:t>
            </w:r>
          </w:p>
          <w:p w14:paraId="5DFBC948" w14:textId="0075FEDD" w:rsidR="00A00259" w:rsidRDefault="00371282">
            <w:pPr>
              <w:pStyle w:val="P68B1DB1-Normal12"/>
              <w:spacing w:after="0" w:line="240" w:lineRule="auto"/>
              <w:rPr>
                <w:rFonts w:eastAsia="Times New Roman"/>
                <w:noProof/>
              </w:rPr>
            </w:pPr>
            <w:r>
              <w:rPr>
                <w:noProof/>
              </w:rPr>
              <w:t>_Réforme des politiques passives du marché du travail pour soutenir les transitions vers l'emploi</w:t>
            </w:r>
          </w:p>
        </w:tc>
        <w:tc>
          <w:tcPr>
            <w:tcW w:w="1099" w:type="dxa"/>
            <w:shd w:val="clear" w:color="auto" w:fill="C6EFCE"/>
            <w:noWrap/>
          </w:tcPr>
          <w:p w14:paraId="1F65A8FF" w14:textId="77777777" w:rsidR="00A00259" w:rsidRDefault="00371282">
            <w:pPr>
              <w:pStyle w:val="P68B1DB1-Normal12"/>
              <w:spacing w:after="0" w:line="240" w:lineRule="auto"/>
              <w:rPr>
                <w:rFonts w:eastAsia="Times New Roman"/>
                <w:noProof/>
              </w:rPr>
            </w:pPr>
            <w:r>
              <w:rPr>
                <w:noProof/>
              </w:rPr>
              <w:t>Étape</w:t>
            </w:r>
          </w:p>
        </w:tc>
        <w:tc>
          <w:tcPr>
            <w:tcW w:w="1365" w:type="dxa"/>
            <w:shd w:val="clear" w:color="auto" w:fill="C6EFCE"/>
            <w:noWrap/>
          </w:tcPr>
          <w:p w14:paraId="1A111050" w14:textId="77777777" w:rsidR="00A00259" w:rsidRDefault="00371282">
            <w:pPr>
              <w:pStyle w:val="P68B1DB1-Normal12"/>
              <w:spacing w:after="0" w:line="240" w:lineRule="auto"/>
              <w:rPr>
                <w:rFonts w:eastAsia="Times New Roman"/>
                <w:noProof/>
                <w:highlight w:val="yellow"/>
              </w:rPr>
            </w:pPr>
            <w:r>
              <w:rPr>
                <w:noProof/>
              </w:rPr>
              <w:t xml:space="preserve">Réforme du cadre des obligations mutuelles Entrée en vigueur de la législation </w:t>
            </w:r>
          </w:p>
        </w:tc>
        <w:tc>
          <w:tcPr>
            <w:tcW w:w="1471" w:type="dxa"/>
            <w:shd w:val="clear" w:color="auto" w:fill="C6EFCE"/>
            <w:noWrap/>
          </w:tcPr>
          <w:p w14:paraId="1BAB8017" w14:textId="77777777" w:rsidR="00A00259" w:rsidRDefault="00371282">
            <w:pPr>
              <w:pStyle w:val="P68B1DB1-Normal12"/>
              <w:spacing w:after="0" w:line="240" w:lineRule="auto"/>
              <w:rPr>
                <w:rFonts w:eastAsia="Times New Roman"/>
                <w:noProof/>
              </w:rPr>
            </w:pPr>
            <w:r>
              <w:rPr>
                <w:noProof/>
              </w:rPr>
              <w:t>Entrée en vigueur de la législation</w:t>
            </w:r>
          </w:p>
        </w:tc>
        <w:tc>
          <w:tcPr>
            <w:tcW w:w="1135" w:type="dxa"/>
            <w:shd w:val="clear" w:color="auto" w:fill="C6EFCE"/>
            <w:noWrap/>
          </w:tcPr>
          <w:p w14:paraId="1D5DC09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31" w:type="dxa"/>
            <w:shd w:val="clear" w:color="auto" w:fill="C6EFCE"/>
            <w:noWrap/>
          </w:tcPr>
          <w:p w14:paraId="30B1DFE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32E6AD1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568AB926" w14:textId="77777777" w:rsidR="00A00259" w:rsidRDefault="00371282">
            <w:pPr>
              <w:pStyle w:val="P68B1DB1-Normal12"/>
              <w:spacing w:after="0" w:line="240" w:lineRule="auto"/>
              <w:rPr>
                <w:rFonts w:eastAsia="Times New Roman"/>
                <w:noProof/>
              </w:rPr>
            </w:pPr>
            <w:r>
              <w:rPr>
                <w:noProof/>
              </w:rPr>
              <w:t>T3</w:t>
            </w:r>
          </w:p>
        </w:tc>
        <w:tc>
          <w:tcPr>
            <w:tcW w:w="709" w:type="dxa"/>
            <w:shd w:val="clear" w:color="auto" w:fill="C6EFCE"/>
            <w:noWrap/>
          </w:tcPr>
          <w:p w14:paraId="22EDBB53" w14:textId="77777777" w:rsidR="00A00259" w:rsidRDefault="00371282">
            <w:pPr>
              <w:pStyle w:val="P68B1DB1-Normal12"/>
              <w:spacing w:after="0" w:line="240" w:lineRule="auto"/>
              <w:rPr>
                <w:rFonts w:eastAsia="Times New Roman"/>
                <w:noProof/>
              </w:rPr>
            </w:pPr>
            <w:r>
              <w:rPr>
                <w:noProof/>
              </w:rPr>
              <w:t>2022</w:t>
            </w:r>
          </w:p>
        </w:tc>
        <w:tc>
          <w:tcPr>
            <w:tcW w:w="4022" w:type="dxa"/>
            <w:shd w:val="clear" w:color="auto" w:fill="C6EFCE"/>
            <w:noWrap/>
          </w:tcPr>
          <w:p w14:paraId="153834CC" w14:textId="77777777" w:rsidR="00A00259" w:rsidRDefault="00371282">
            <w:pPr>
              <w:pStyle w:val="P68B1DB1-Normal12"/>
              <w:spacing w:after="0" w:line="240" w:lineRule="auto"/>
              <w:rPr>
                <w:rFonts w:eastAsia="Times New Roman"/>
                <w:noProof/>
              </w:rPr>
            </w:pPr>
            <w:r>
              <w:rPr>
                <w:noProof/>
              </w:rPr>
              <w:t>Entrée en vigueur de la législation visant à réformer le cadre des obligations mutuelles, qui définit les relations entre le service public de l'emploi (SPE) et le demandeur d'emploi. Entre autres, la réforme comprendra une nouvelle définition de la recherche active d'emploi et des sanctions pour les chômeurs qui ne respectent pas les nouvelles règles.</w:t>
            </w:r>
          </w:p>
        </w:tc>
      </w:tr>
      <w:tr w:rsidR="00A00259" w14:paraId="6E4E0FE7" w14:textId="77777777" w:rsidTr="00CE3F9A">
        <w:trPr>
          <w:trHeight w:val="309"/>
          <w:jc w:val="center"/>
        </w:trPr>
        <w:tc>
          <w:tcPr>
            <w:tcW w:w="672" w:type="dxa"/>
            <w:shd w:val="clear" w:color="auto" w:fill="C6EFCE"/>
            <w:noWrap/>
          </w:tcPr>
          <w:p w14:paraId="5D27A86D" w14:textId="77777777" w:rsidR="00A00259" w:rsidRDefault="00371282">
            <w:pPr>
              <w:pStyle w:val="P68B1DB1-Normal12"/>
              <w:spacing w:after="0" w:line="240" w:lineRule="auto"/>
              <w:rPr>
                <w:rFonts w:eastAsia="Times New Roman"/>
                <w:noProof/>
              </w:rPr>
            </w:pPr>
            <w:r>
              <w:rPr>
                <w:noProof/>
              </w:rPr>
              <w:t>142 bis</w:t>
            </w:r>
          </w:p>
        </w:tc>
        <w:tc>
          <w:tcPr>
            <w:tcW w:w="2241" w:type="dxa"/>
            <w:shd w:val="clear" w:color="auto" w:fill="C6EFCE"/>
            <w:noWrap/>
          </w:tcPr>
          <w:p w14:paraId="55753D35" w14:textId="77777777" w:rsidR="00A00259" w:rsidRDefault="00371282">
            <w:pPr>
              <w:pStyle w:val="P68B1DB1-Normal12"/>
              <w:spacing w:after="0" w:line="240" w:lineRule="auto"/>
              <w:rPr>
                <w:rFonts w:eastAsia="Times New Roman"/>
                <w:noProof/>
              </w:rPr>
            </w:pPr>
            <w:r>
              <w:rPr>
                <w:noProof/>
              </w:rPr>
              <w:t>8 - 3.1. «Promouvoir la création d'emplois et la participation au marché du travail» - 16746_Réforme des politiques passives du marché du travail pour soutenir les transitions vers l'emploi</w:t>
            </w:r>
          </w:p>
        </w:tc>
        <w:tc>
          <w:tcPr>
            <w:tcW w:w="1099" w:type="dxa"/>
            <w:shd w:val="clear" w:color="auto" w:fill="C6EFCE"/>
            <w:noWrap/>
          </w:tcPr>
          <w:p w14:paraId="0DB9EB68" w14:textId="77777777" w:rsidR="00A00259" w:rsidRDefault="00371282">
            <w:pPr>
              <w:pStyle w:val="P68B1DB1-Normal12"/>
              <w:spacing w:after="0" w:line="240" w:lineRule="auto"/>
              <w:rPr>
                <w:rFonts w:eastAsia="Times New Roman"/>
                <w:noProof/>
              </w:rPr>
            </w:pPr>
            <w:r>
              <w:rPr>
                <w:noProof/>
              </w:rPr>
              <w:t>Étape</w:t>
            </w:r>
          </w:p>
        </w:tc>
        <w:tc>
          <w:tcPr>
            <w:tcW w:w="1365" w:type="dxa"/>
            <w:shd w:val="clear" w:color="auto" w:fill="C6EFCE"/>
            <w:noWrap/>
          </w:tcPr>
          <w:p w14:paraId="30889D65" w14:textId="77777777" w:rsidR="00A00259" w:rsidRDefault="00371282">
            <w:pPr>
              <w:pStyle w:val="P68B1DB1-Normal12"/>
              <w:spacing w:after="0" w:line="240" w:lineRule="auto"/>
              <w:rPr>
                <w:rFonts w:eastAsia="Times New Roman"/>
                <w:noProof/>
              </w:rPr>
            </w:pPr>
            <w:r>
              <w:rPr>
                <w:noProof/>
              </w:rPr>
              <w:t xml:space="preserve">Législation sur les prestations et allocations de chômage </w:t>
            </w:r>
          </w:p>
        </w:tc>
        <w:tc>
          <w:tcPr>
            <w:tcW w:w="1471" w:type="dxa"/>
            <w:shd w:val="clear" w:color="auto" w:fill="C6EFCE"/>
            <w:noWrap/>
          </w:tcPr>
          <w:p w14:paraId="040AF068" w14:textId="77777777" w:rsidR="00A00259" w:rsidRDefault="00371282">
            <w:pPr>
              <w:pStyle w:val="P68B1DB1-Normal12"/>
              <w:spacing w:after="0" w:line="240" w:lineRule="auto"/>
              <w:rPr>
                <w:noProof/>
              </w:rPr>
            </w:pPr>
            <w:r>
              <w:rPr>
                <w:noProof/>
              </w:rPr>
              <w:t>Entrée en vigueur de la législation</w:t>
            </w:r>
          </w:p>
          <w:p w14:paraId="32B5688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5" w:type="dxa"/>
            <w:shd w:val="clear" w:color="auto" w:fill="C6EFCE"/>
            <w:noWrap/>
          </w:tcPr>
          <w:p w14:paraId="7478A77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31" w:type="dxa"/>
            <w:shd w:val="clear" w:color="auto" w:fill="C6EFCE"/>
            <w:noWrap/>
          </w:tcPr>
          <w:p w14:paraId="53BE3E1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44604CD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3D700009"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0CBE3AC1" w14:textId="77777777" w:rsidR="00A00259" w:rsidRDefault="00371282">
            <w:pPr>
              <w:pStyle w:val="P68B1DB1-Normal12"/>
              <w:spacing w:after="0" w:line="240" w:lineRule="auto"/>
              <w:rPr>
                <w:rFonts w:eastAsia="Times New Roman"/>
                <w:noProof/>
              </w:rPr>
            </w:pPr>
            <w:r>
              <w:rPr>
                <w:noProof/>
              </w:rPr>
              <w:t>2024</w:t>
            </w:r>
          </w:p>
        </w:tc>
        <w:tc>
          <w:tcPr>
            <w:tcW w:w="4022" w:type="dxa"/>
            <w:shd w:val="clear" w:color="auto" w:fill="C6EFCE"/>
            <w:noWrap/>
          </w:tcPr>
          <w:p w14:paraId="78E0BDA6" w14:textId="77777777" w:rsidR="00A00259" w:rsidRDefault="00371282">
            <w:pPr>
              <w:pStyle w:val="P68B1DB1-paragraph37"/>
              <w:spacing w:before="0" w:beforeAutospacing="0" w:after="0" w:afterAutospacing="0"/>
              <w:textAlignment w:val="baseline"/>
              <w:rPr>
                <w:noProof/>
              </w:rPr>
            </w:pPr>
            <w:r>
              <w:rPr>
                <w:noProof/>
              </w:rPr>
              <w:t>Entrée en vigueur d’une législation visant à consolider et à rationaliser les prestations et allocations de chômage et à supprimer les obstacles au perfectionnement et à la reconversion professionnels des chômeurs en maintenant leur droit aux prestations de chômage pendant leur participation à des formations.</w:t>
            </w:r>
          </w:p>
          <w:p w14:paraId="60D88AB4" w14:textId="77777777" w:rsidR="00A00259" w:rsidRDefault="00A00259">
            <w:pPr>
              <w:pStyle w:val="paragraph"/>
              <w:spacing w:before="0" w:beforeAutospacing="0" w:after="0" w:afterAutospacing="0"/>
              <w:textAlignment w:val="baseline"/>
              <w:rPr>
                <w:noProof/>
                <w:color w:val="006100"/>
                <w:sz w:val="18"/>
                <w:szCs w:val="18"/>
              </w:rPr>
            </w:pPr>
          </w:p>
        </w:tc>
      </w:tr>
      <w:tr w:rsidR="00A00259" w14:paraId="651975CC" w14:textId="77777777" w:rsidTr="00CE3F9A">
        <w:trPr>
          <w:trHeight w:val="309"/>
          <w:jc w:val="center"/>
        </w:trPr>
        <w:tc>
          <w:tcPr>
            <w:tcW w:w="672" w:type="dxa"/>
            <w:shd w:val="clear" w:color="auto" w:fill="C6EFCE"/>
            <w:noWrap/>
          </w:tcPr>
          <w:p w14:paraId="43C4FC11" w14:textId="5BFCAB9E" w:rsidR="00A00259" w:rsidRDefault="00371282">
            <w:pPr>
              <w:pStyle w:val="P68B1DB1-Normal12"/>
              <w:spacing w:after="0" w:line="240" w:lineRule="auto"/>
              <w:rPr>
                <w:noProof/>
              </w:rPr>
            </w:pPr>
            <w:r>
              <w:rPr>
                <w:noProof/>
              </w:rPr>
              <w:t>142 ter</w:t>
            </w:r>
          </w:p>
        </w:tc>
        <w:tc>
          <w:tcPr>
            <w:tcW w:w="2241" w:type="dxa"/>
            <w:shd w:val="clear" w:color="auto" w:fill="C6EFCE"/>
            <w:noWrap/>
          </w:tcPr>
          <w:p w14:paraId="7706E86C" w14:textId="77777777" w:rsidR="00A00259" w:rsidRDefault="00371282">
            <w:pPr>
              <w:pStyle w:val="P68B1DB1-Normal12"/>
              <w:spacing w:after="0" w:line="240" w:lineRule="auto"/>
              <w:rPr>
                <w:noProof/>
              </w:rPr>
            </w:pPr>
            <w:r>
              <w:rPr>
                <w:noProof/>
              </w:rPr>
              <w:t>8 - 3.1. «Promouvoir la création d'emplois et la participation au marché du travail» - 16746_Réforme des politiques passives du marché du travail pour soutenir les transitions vers l'emploi</w:t>
            </w:r>
          </w:p>
        </w:tc>
        <w:tc>
          <w:tcPr>
            <w:tcW w:w="1099" w:type="dxa"/>
            <w:shd w:val="clear" w:color="auto" w:fill="C6EFCE"/>
            <w:noWrap/>
          </w:tcPr>
          <w:p w14:paraId="5F0F65AD" w14:textId="77777777" w:rsidR="00A00259" w:rsidRDefault="00371282">
            <w:pPr>
              <w:pStyle w:val="P68B1DB1-Normal12"/>
              <w:spacing w:after="0" w:line="240" w:lineRule="auto"/>
              <w:rPr>
                <w:noProof/>
              </w:rPr>
            </w:pPr>
            <w:r>
              <w:rPr>
                <w:noProof/>
              </w:rPr>
              <w:t>Étape</w:t>
            </w:r>
          </w:p>
        </w:tc>
        <w:tc>
          <w:tcPr>
            <w:tcW w:w="1365" w:type="dxa"/>
            <w:shd w:val="clear" w:color="auto" w:fill="C6EFCE"/>
            <w:noWrap/>
          </w:tcPr>
          <w:p w14:paraId="6CBC9428" w14:textId="76AD1D0B" w:rsidR="00A00259" w:rsidRDefault="00371282">
            <w:pPr>
              <w:pStyle w:val="P68B1DB1-Normal12"/>
              <w:spacing w:after="0" w:line="240" w:lineRule="auto"/>
              <w:rPr>
                <w:noProof/>
              </w:rPr>
            </w:pPr>
            <w:r>
              <w:rPr>
                <w:noProof/>
              </w:rPr>
              <w:t>Projet pilote sur les allocations de chômage</w:t>
            </w:r>
          </w:p>
        </w:tc>
        <w:tc>
          <w:tcPr>
            <w:tcW w:w="1471" w:type="dxa"/>
            <w:shd w:val="clear" w:color="auto" w:fill="C6EFCE"/>
            <w:noWrap/>
          </w:tcPr>
          <w:p w14:paraId="198CBB78" w14:textId="5F3C3958" w:rsidR="00A00259" w:rsidRDefault="00371282">
            <w:pPr>
              <w:pStyle w:val="P68B1DB1-Normal12"/>
              <w:spacing w:after="0" w:line="240" w:lineRule="auto"/>
              <w:rPr>
                <w:noProof/>
              </w:rPr>
            </w:pPr>
            <w:r>
              <w:rPr>
                <w:noProof/>
              </w:rPr>
              <w:t>Entrée des bénéficiaires dans un projet pilote</w:t>
            </w:r>
          </w:p>
        </w:tc>
        <w:tc>
          <w:tcPr>
            <w:tcW w:w="1135" w:type="dxa"/>
            <w:shd w:val="clear" w:color="auto" w:fill="C6EFCE"/>
            <w:noWrap/>
          </w:tcPr>
          <w:p w14:paraId="4700A4A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31" w:type="dxa"/>
            <w:shd w:val="clear" w:color="auto" w:fill="C6EFCE"/>
            <w:noWrap/>
          </w:tcPr>
          <w:p w14:paraId="7EB9DED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3BA6596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77BFF3DE" w14:textId="08C107B5" w:rsidR="00A00259" w:rsidRDefault="00371282">
            <w:pPr>
              <w:pStyle w:val="P68B1DB1-Normal12"/>
              <w:spacing w:after="0" w:line="240" w:lineRule="auto"/>
              <w:rPr>
                <w:noProof/>
              </w:rPr>
            </w:pPr>
            <w:r>
              <w:rPr>
                <w:noProof/>
              </w:rPr>
              <w:t>T2</w:t>
            </w:r>
          </w:p>
        </w:tc>
        <w:tc>
          <w:tcPr>
            <w:tcW w:w="709" w:type="dxa"/>
            <w:shd w:val="clear" w:color="auto" w:fill="C6EFCE"/>
            <w:noWrap/>
          </w:tcPr>
          <w:p w14:paraId="19FB81BD" w14:textId="77777777" w:rsidR="00A00259" w:rsidRDefault="00371282">
            <w:pPr>
              <w:pStyle w:val="P68B1DB1-Normal12"/>
              <w:spacing w:after="0" w:line="240" w:lineRule="auto"/>
              <w:rPr>
                <w:noProof/>
              </w:rPr>
            </w:pPr>
            <w:r>
              <w:rPr>
                <w:noProof/>
              </w:rPr>
              <w:t>2025</w:t>
            </w:r>
          </w:p>
        </w:tc>
        <w:tc>
          <w:tcPr>
            <w:tcW w:w="4022" w:type="dxa"/>
            <w:shd w:val="clear" w:color="auto" w:fill="C6EFCE"/>
            <w:noWrap/>
          </w:tcPr>
          <w:p w14:paraId="60ACED53" w14:textId="687AC237" w:rsidR="00A00259" w:rsidRDefault="00371282">
            <w:pPr>
              <w:pStyle w:val="P68B1DB1-Normal12"/>
              <w:spacing w:after="0" w:line="240" w:lineRule="auto"/>
              <w:rPr>
                <w:noProof/>
              </w:rPr>
            </w:pPr>
            <w:r>
              <w:rPr>
                <w:noProof/>
              </w:rPr>
              <w:t xml:space="preserve">Entrée de 13 500 bénéficiaires dans un projet pilote introduisant une indexation de l'allocation de chômage combinée au dernier niveau de salaire journalier. </w:t>
            </w:r>
          </w:p>
        </w:tc>
      </w:tr>
      <w:tr w:rsidR="00A00259" w14:paraId="10730890" w14:textId="77777777" w:rsidTr="00CE3F9A">
        <w:trPr>
          <w:trHeight w:val="309"/>
          <w:jc w:val="center"/>
        </w:trPr>
        <w:tc>
          <w:tcPr>
            <w:tcW w:w="672" w:type="dxa"/>
            <w:shd w:val="clear" w:color="auto" w:fill="C6EFCE"/>
            <w:noWrap/>
          </w:tcPr>
          <w:p w14:paraId="1CC8FB7D" w14:textId="77777777" w:rsidR="00A00259" w:rsidRDefault="00371282">
            <w:pPr>
              <w:pStyle w:val="P68B1DB1-Normal12"/>
              <w:spacing w:after="0" w:line="240" w:lineRule="auto"/>
              <w:rPr>
                <w:rFonts w:eastAsia="Times New Roman"/>
                <w:noProof/>
              </w:rPr>
            </w:pPr>
            <w:r>
              <w:rPr>
                <w:noProof/>
              </w:rPr>
              <w:t>144</w:t>
            </w:r>
          </w:p>
        </w:tc>
        <w:tc>
          <w:tcPr>
            <w:tcW w:w="2241" w:type="dxa"/>
            <w:shd w:val="clear" w:color="auto" w:fill="C6EFCE"/>
            <w:noWrap/>
          </w:tcPr>
          <w:p w14:paraId="65649EDC" w14:textId="77777777" w:rsidR="00A00259" w:rsidRDefault="00371282">
            <w:pPr>
              <w:pStyle w:val="P68B1DB1-Normal12"/>
              <w:spacing w:after="0" w:line="240" w:lineRule="auto"/>
              <w:rPr>
                <w:noProof/>
              </w:rPr>
            </w:pPr>
            <w:r>
              <w:rPr>
                <w:noProof/>
              </w:rPr>
              <w:t>8 - 3.1. Promouvoir la création d’emplois et la participation au marché du travail – 16747</w:t>
            </w:r>
          </w:p>
          <w:p w14:paraId="602F3D74" w14:textId="77777777" w:rsidR="00A00259" w:rsidRDefault="00371282">
            <w:pPr>
              <w:pStyle w:val="P68B1DB1-Normal12"/>
              <w:spacing w:after="0" w:line="240" w:lineRule="auto"/>
              <w:rPr>
                <w:rFonts w:eastAsia="Times New Roman"/>
                <w:noProof/>
              </w:rPr>
            </w:pPr>
            <w:r>
              <w:rPr>
                <w:noProof/>
              </w:rPr>
              <w:t>« _Active Labour Market Policies Reform » (Réforme des politiques actives du marché du travail)</w:t>
            </w:r>
          </w:p>
        </w:tc>
        <w:tc>
          <w:tcPr>
            <w:tcW w:w="1099" w:type="dxa"/>
            <w:shd w:val="clear" w:color="auto" w:fill="C6EFCE"/>
            <w:noWrap/>
          </w:tcPr>
          <w:p w14:paraId="0F557BB0" w14:textId="77777777" w:rsidR="00A00259" w:rsidRDefault="00371282">
            <w:pPr>
              <w:pStyle w:val="P68B1DB1-Normal12"/>
              <w:spacing w:after="0" w:line="240" w:lineRule="auto"/>
              <w:rPr>
                <w:noProof/>
              </w:rPr>
            </w:pPr>
            <w:r>
              <w:rPr>
                <w:noProof/>
              </w:rPr>
              <w:t>Étape</w:t>
            </w:r>
          </w:p>
        </w:tc>
        <w:tc>
          <w:tcPr>
            <w:tcW w:w="1365" w:type="dxa"/>
            <w:shd w:val="clear" w:color="auto" w:fill="C6EFCE"/>
            <w:noWrap/>
          </w:tcPr>
          <w:p w14:paraId="5D76BBAB" w14:textId="77777777" w:rsidR="00A00259" w:rsidRDefault="00371282">
            <w:pPr>
              <w:pStyle w:val="P68B1DB1-Normal12"/>
              <w:spacing w:after="0" w:line="240" w:lineRule="auto"/>
              <w:rPr>
                <w:rFonts w:eastAsia="Times New Roman"/>
                <w:noProof/>
              </w:rPr>
            </w:pPr>
            <w:r>
              <w:rPr>
                <w:noProof/>
              </w:rPr>
              <w:t xml:space="preserve">Mise en œuvre d’un programme de formation à l’emploi dans le cadre des PAMT </w:t>
            </w:r>
          </w:p>
        </w:tc>
        <w:tc>
          <w:tcPr>
            <w:tcW w:w="1471" w:type="dxa"/>
            <w:shd w:val="clear" w:color="auto" w:fill="C6EFCE"/>
            <w:noWrap/>
          </w:tcPr>
          <w:p w14:paraId="2F0A79D2" w14:textId="77777777" w:rsidR="00A00259" w:rsidRDefault="00371282">
            <w:pPr>
              <w:pStyle w:val="P68B1DB1-Normal12"/>
              <w:spacing w:after="0" w:line="240" w:lineRule="auto"/>
              <w:rPr>
                <w:noProof/>
              </w:rPr>
            </w:pPr>
            <w:r>
              <w:rPr>
                <w:noProof/>
              </w:rPr>
              <w:t xml:space="preserve">Mise en œuvre du programme de formation et entrée sur le marché du travail </w:t>
            </w:r>
          </w:p>
          <w:p w14:paraId="3FF039F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5" w:type="dxa"/>
            <w:shd w:val="clear" w:color="auto" w:fill="C6EFCE"/>
            <w:noWrap/>
          </w:tcPr>
          <w:p w14:paraId="7DEBA56B" w14:textId="77777777" w:rsidR="00A00259" w:rsidRDefault="00371282">
            <w:pPr>
              <w:pStyle w:val="P68B1DB1-Normal12"/>
              <w:spacing w:after="0" w:line="240" w:lineRule="auto"/>
              <w:rPr>
                <w:rFonts w:eastAsia="Times New Roman"/>
                <w:noProof/>
              </w:rPr>
            </w:pPr>
            <w:r>
              <w:rPr>
                <w:noProof/>
              </w:rPr>
              <w:t xml:space="preserve"> </w:t>
            </w:r>
          </w:p>
        </w:tc>
        <w:tc>
          <w:tcPr>
            <w:tcW w:w="1031" w:type="dxa"/>
            <w:shd w:val="clear" w:color="auto" w:fill="C6EFCE"/>
            <w:noWrap/>
          </w:tcPr>
          <w:p w14:paraId="5435F607" w14:textId="77777777" w:rsidR="00A00259" w:rsidRDefault="00A00259">
            <w:pPr>
              <w:spacing w:after="0" w:line="240" w:lineRule="auto"/>
              <w:rPr>
                <w:rFonts w:ascii="Times New Roman" w:hAnsi="Times New Roman" w:cs="Times New Roman"/>
                <w:noProof/>
                <w:color w:val="006100"/>
                <w:sz w:val="18"/>
                <w:szCs w:val="18"/>
              </w:rPr>
            </w:pPr>
          </w:p>
        </w:tc>
        <w:tc>
          <w:tcPr>
            <w:tcW w:w="851" w:type="dxa"/>
            <w:shd w:val="clear" w:color="auto" w:fill="C6EFCE"/>
            <w:noWrap/>
          </w:tcPr>
          <w:p w14:paraId="352C43A2" w14:textId="77777777" w:rsidR="00A00259" w:rsidRDefault="00A00259">
            <w:pPr>
              <w:spacing w:after="0" w:line="240" w:lineRule="auto"/>
              <w:rPr>
                <w:rFonts w:ascii="Times New Roman" w:hAnsi="Times New Roman" w:cs="Times New Roman"/>
                <w:noProof/>
                <w:color w:val="006100"/>
                <w:sz w:val="18"/>
                <w:szCs w:val="18"/>
              </w:rPr>
            </w:pPr>
          </w:p>
        </w:tc>
        <w:tc>
          <w:tcPr>
            <w:tcW w:w="992" w:type="dxa"/>
            <w:shd w:val="clear" w:color="auto" w:fill="C6EFCE"/>
            <w:noWrap/>
          </w:tcPr>
          <w:p w14:paraId="7E2B7690"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647074E9" w14:textId="77777777" w:rsidR="00A00259" w:rsidRDefault="00371282">
            <w:pPr>
              <w:pStyle w:val="P68B1DB1-Normal12"/>
              <w:spacing w:after="0" w:line="240" w:lineRule="auto"/>
              <w:rPr>
                <w:noProof/>
              </w:rPr>
            </w:pPr>
            <w:r>
              <w:rPr>
                <w:noProof/>
              </w:rPr>
              <w:t>2024</w:t>
            </w:r>
          </w:p>
        </w:tc>
        <w:tc>
          <w:tcPr>
            <w:tcW w:w="4022" w:type="dxa"/>
            <w:shd w:val="clear" w:color="auto" w:fill="C6EFCE"/>
            <w:noWrap/>
          </w:tcPr>
          <w:p w14:paraId="4941FF90" w14:textId="77777777" w:rsidR="00A00259" w:rsidRDefault="00371282">
            <w:pPr>
              <w:pStyle w:val="P68B1DB1-Normal12"/>
              <w:spacing w:after="0" w:line="240" w:lineRule="auto"/>
              <w:rPr>
                <w:noProof/>
              </w:rPr>
            </w:pPr>
            <w:r>
              <w:rPr>
                <w:noProof/>
              </w:rPr>
              <w:t>Mise en œuvre d'un programme de formation et entrée sur le marché du travail d'au moins 7 000 chômeurs</w:t>
            </w:r>
          </w:p>
          <w:p w14:paraId="03F606E4" w14:textId="77777777" w:rsidR="00A00259" w:rsidRDefault="00A00259">
            <w:pPr>
              <w:spacing w:after="0" w:line="240" w:lineRule="auto"/>
              <w:rPr>
                <w:rFonts w:ascii="Times New Roman" w:eastAsia="Times New Roman" w:hAnsi="Times New Roman" w:cs="Times New Roman"/>
                <w:noProof/>
                <w:color w:val="006100"/>
                <w:sz w:val="18"/>
                <w:szCs w:val="18"/>
              </w:rPr>
            </w:pPr>
          </w:p>
        </w:tc>
      </w:tr>
      <w:tr w:rsidR="00A00259" w14:paraId="26D64F4F" w14:textId="77777777" w:rsidTr="00CE3F9A">
        <w:trPr>
          <w:trHeight w:val="309"/>
          <w:jc w:val="center"/>
        </w:trPr>
        <w:tc>
          <w:tcPr>
            <w:tcW w:w="672" w:type="dxa"/>
            <w:shd w:val="clear" w:color="auto" w:fill="C6EFCE"/>
            <w:noWrap/>
          </w:tcPr>
          <w:p w14:paraId="281C247A" w14:textId="1812BBAB" w:rsidR="00A00259" w:rsidRDefault="00371282">
            <w:pPr>
              <w:pStyle w:val="P68B1DB1-Normal12"/>
              <w:spacing w:after="0" w:line="240" w:lineRule="auto"/>
              <w:rPr>
                <w:rFonts w:eastAsia="Times New Roman"/>
                <w:noProof/>
              </w:rPr>
            </w:pPr>
            <w:r>
              <w:rPr>
                <w:noProof/>
              </w:rPr>
              <w:t>144 bis</w:t>
            </w:r>
          </w:p>
        </w:tc>
        <w:tc>
          <w:tcPr>
            <w:tcW w:w="2241" w:type="dxa"/>
            <w:shd w:val="clear" w:color="auto" w:fill="C6EFCE"/>
            <w:noWrap/>
          </w:tcPr>
          <w:p w14:paraId="5AB01D95" w14:textId="77777777" w:rsidR="00A00259" w:rsidRDefault="00371282">
            <w:pPr>
              <w:pStyle w:val="P68B1DB1-Normal12"/>
              <w:spacing w:after="0" w:line="240" w:lineRule="auto"/>
              <w:rPr>
                <w:rFonts w:eastAsia="Times New Roman"/>
                <w:noProof/>
              </w:rPr>
            </w:pPr>
            <w:r>
              <w:rPr>
                <w:noProof/>
              </w:rPr>
              <w:t>8 - 3.1. Promouvoir la création d'emplois et la participation au marché du travail - 16747_Réforme des politiques actives du marché du travail</w:t>
            </w:r>
          </w:p>
        </w:tc>
        <w:tc>
          <w:tcPr>
            <w:tcW w:w="1099" w:type="dxa"/>
            <w:shd w:val="clear" w:color="auto" w:fill="C6EFCE"/>
            <w:noWrap/>
          </w:tcPr>
          <w:p w14:paraId="316BBEFD" w14:textId="77777777" w:rsidR="00A00259" w:rsidRDefault="00371282">
            <w:pPr>
              <w:pStyle w:val="P68B1DB1-Normal12"/>
              <w:spacing w:after="0" w:line="240" w:lineRule="auto"/>
              <w:rPr>
                <w:noProof/>
              </w:rPr>
            </w:pPr>
            <w:r>
              <w:rPr>
                <w:noProof/>
              </w:rPr>
              <w:t>Étape</w:t>
            </w:r>
          </w:p>
        </w:tc>
        <w:tc>
          <w:tcPr>
            <w:tcW w:w="1365" w:type="dxa"/>
            <w:shd w:val="clear" w:color="auto" w:fill="C6EFCE"/>
            <w:noWrap/>
          </w:tcPr>
          <w:p w14:paraId="0D8AABEE" w14:textId="7EB8CA78" w:rsidR="00A00259" w:rsidRDefault="00371282">
            <w:pPr>
              <w:pStyle w:val="P68B1DB1-Normal12"/>
              <w:spacing w:after="0" w:line="240" w:lineRule="auto"/>
              <w:rPr>
                <w:noProof/>
              </w:rPr>
            </w:pPr>
            <w:r>
              <w:rPr>
                <w:noProof/>
              </w:rPr>
              <w:t xml:space="preserve">Programmes d’emploi dans le cadre des PAMT: renforcement temporaire du personnel de la DYPA </w:t>
            </w:r>
          </w:p>
        </w:tc>
        <w:tc>
          <w:tcPr>
            <w:tcW w:w="1471" w:type="dxa"/>
            <w:shd w:val="clear" w:color="auto" w:fill="C6EFCE"/>
            <w:noWrap/>
          </w:tcPr>
          <w:p w14:paraId="1BF28FE5" w14:textId="311AEA88" w:rsidR="00A00259" w:rsidRDefault="00371282">
            <w:pPr>
              <w:pStyle w:val="P68B1DB1-Normal12"/>
              <w:spacing w:after="0" w:line="240" w:lineRule="auto"/>
              <w:rPr>
                <w:noProof/>
              </w:rPr>
            </w:pPr>
            <w:r>
              <w:rPr>
                <w:noProof/>
              </w:rPr>
              <w:t>Réalisation des projets a et b</w:t>
            </w:r>
          </w:p>
          <w:p w14:paraId="43871424" w14:textId="77777777" w:rsidR="00A00259" w:rsidRDefault="00A00259">
            <w:pPr>
              <w:spacing w:after="0" w:line="240" w:lineRule="auto"/>
              <w:rPr>
                <w:rFonts w:ascii="Times New Roman" w:hAnsi="Times New Roman" w:cs="Times New Roman"/>
                <w:noProof/>
                <w:color w:val="006100"/>
                <w:sz w:val="18"/>
                <w:szCs w:val="18"/>
              </w:rPr>
            </w:pPr>
          </w:p>
        </w:tc>
        <w:tc>
          <w:tcPr>
            <w:tcW w:w="1135" w:type="dxa"/>
            <w:shd w:val="clear" w:color="auto" w:fill="C6EFCE"/>
            <w:noWrap/>
          </w:tcPr>
          <w:p w14:paraId="301C7BA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31" w:type="dxa"/>
            <w:shd w:val="clear" w:color="auto" w:fill="C6EFCE"/>
            <w:noWrap/>
          </w:tcPr>
          <w:p w14:paraId="4FC06F9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2485B6F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38C9FE86" w14:textId="77777777" w:rsidR="00A00259" w:rsidRDefault="00371282">
            <w:pPr>
              <w:pStyle w:val="P68B1DB1-Normal12"/>
              <w:spacing w:after="0" w:line="240" w:lineRule="auto"/>
              <w:rPr>
                <w:rFonts w:eastAsia="Times New Roman"/>
                <w:noProof/>
              </w:rPr>
            </w:pPr>
            <w:r>
              <w:rPr>
                <w:noProof/>
              </w:rPr>
              <w:t>T2</w:t>
            </w:r>
          </w:p>
        </w:tc>
        <w:tc>
          <w:tcPr>
            <w:tcW w:w="709" w:type="dxa"/>
            <w:shd w:val="clear" w:color="auto" w:fill="C6EFCE"/>
            <w:noWrap/>
          </w:tcPr>
          <w:p w14:paraId="383622C3" w14:textId="77777777" w:rsidR="00A00259" w:rsidRDefault="00371282">
            <w:pPr>
              <w:pStyle w:val="P68B1DB1-Normal12"/>
              <w:spacing w:after="0" w:line="240" w:lineRule="auto"/>
              <w:rPr>
                <w:rFonts w:eastAsia="Times New Roman"/>
                <w:noProof/>
              </w:rPr>
            </w:pPr>
            <w:r>
              <w:rPr>
                <w:noProof/>
              </w:rPr>
              <w:t>2025</w:t>
            </w:r>
          </w:p>
        </w:tc>
        <w:tc>
          <w:tcPr>
            <w:tcW w:w="4022" w:type="dxa"/>
            <w:shd w:val="clear" w:color="auto" w:fill="C6EFCE"/>
            <w:noWrap/>
          </w:tcPr>
          <w:p w14:paraId="2E34F237" w14:textId="313043E2" w:rsidR="00A00259" w:rsidRDefault="00371282">
            <w:pPr>
              <w:pStyle w:val="P68B1DB1-paragraph37"/>
              <w:spacing w:before="0" w:beforeAutospacing="0" w:after="0" w:afterAutospacing="0"/>
              <w:textAlignment w:val="baseline"/>
              <w:rPr>
                <w:noProof/>
              </w:rPr>
            </w:pPr>
            <w:r>
              <w:rPr>
                <w:noProof/>
              </w:rPr>
              <w:t xml:space="preserve">- Au moins 30 600 chômeurs entrent sur le marché du travail grâce à quatre programmes ciblés </w:t>
            </w:r>
          </w:p>
          <w:p w14:paraId="7BEF4FD3" w14:textId="7E8D5F84" w:rsidR="00A00259" w:rsidRDefault="00371282">
            <w:pPr>
              <w:pStyle w:val="P68B1DB1-paragraph37"/>
              <w:spacing w:before="0" w:beforeAutospacing="0" w:after="0" w:afterAutospacing="0"/>
              <w:textAlignment w:val="baseline"/>
              <w:rPr>
                <w:noProof/>
              </w:rPr>
            </w:pPr>
            <w:r>
              <w:rPr>
                <w:noProof/>
              </w:rPr>
              <w:t>- Renforcement temporaire du personnel de conseil du service public de l'emploi par le recrutement de 600 conseillers pour l'emploi </w:t>
            </w:r>
          </w:p>
        </w:tc>
      </w:tr>
    </w:tbl>
    <w:p w14:paraId="06AD54B5" w14:textId="77777777" w:rsidR="00A00259" w:rsidRDefault="00A00259">
      <w:pPr>
        <w:rPr>
          <w:noProof/>
        </w:rPr>
      </w:pPr>
    </w:p>
    <w:p w14:paraId="42975069" w14:textId="77777777" w:rsidR="00A00259" w:rsidRDefault="00A00259">
      <w:pPr>
        <w:spacing w:before="120" w:after="120" w:line="240" w:lineRule="auto"/>
        <w:ind w:firstLine="6"/>
        <w:jc w:val="both"/>
        <w:outlineLvl w:val="3"/>
        <w:rPr>
          <w:rFonts w:ascii="Times New Roman" w:hAnsi="Times New Roman"/>
          <w:b/>
          <w:noProof/>
          <w:sz w:val="24"/>
        </w:rPr>
        <w:sectPr w:rsidR="00A00259">
          <w:headerReference w:type="even" r:id="rId180"/>
          <w:headerReference w:type="default" r:id="rId181"/>
          <w:footerReference w:type="even" r:id="rId182"/>
          <w:footerReference w:type="default" r:id="rId183"/>
          <w:headerReference w:type="first" r:id="rId184"/>
          <w:footerReference w:type="first" r:id="rId185"/>
          <w:pgSz w:w="16838" w:h="11906" w:orient="landscape"/>
          <w:pgMar w:top="1134" w:right="1134" w:bottom="1134" w:left="1134" w:header="567" w:footer="567" w:gutter="0"/>
          <w:cols w:space="708"/>
          <w:docGrid w:linePitch="360"/>
        </w:sectPr>
      </w:pPr>
    </w:p>
    <w:p w14:paraId="41F4AFE0" w14:textId="21B65F4C" w:rsidR="00A00259" w:rsidRDefault="00371282">
      <w:pPr>
        <w:pStyle w:val="P68B1DB1-Normal17"/>
        <w:spacing w:before="120" w:after="120" w:line="240" w:lineRule="auto"/>
        <w:ind w:firstLine="6"/>
        <w:jc w:val="both"/>
        <w:outlineLvl w:val="3"/>
        <w:rPr>
          <w:rFonts w:cs="Times New Roman"/>
          <w:bCs/>
          <w:noProof/>
        </w:rPr>
      </w:pPr>
      <w:r>
        <w:rPr>
          <w:noProof/>
        </w:rPr>
        <w:t>I. ÉLÉMENT 3.2: ÉDUCATION, ÉDUCATION ET FORMATION PROFESSIONNELLES ET COMPÉTENCES</w:t>
      </w:r>
    </w:p>
    <w:p w14:paraId="630BF525" w14:textId="77777777" w:rsidR="00A00259" w:rsidRDefault="00371282">
      <w:pPr>
        <w:pStyle w:val="P68B1DB1-Normal5"/>
        <w:spacing w:before="120" w:after="120" w:line="240" w:lineRule="auto"/>
        <w:jc w:val="both"/>
        <w:rPr>
          <w:rFonts w:cs="Times New Roman"/>
          <w:noProof/>
          <w:color w:val="000000"/>
          <w:shd w:val="clear" w:color="auto" w:fill="FFFFFF"/>
        </w:rPr>
      </w:pPr>
      <w:r>
        <w:rPr>
          <w:noProof/>
        </w:rPr>
        <w:t xml:space="preserve">Ce volet du plan grec pour la reprise et la résilience vise à améliorer la qualité, l’efficience et l’efficacité des systèmes d’éducation et d’apprentissage tout au long de la vie. Ce volet comprend un investissement dans des programmes horizontaux de perfectionnement des compétences numériques, vertes et financières pour un total de 628 000 bénéficiaires. Cela s’accompagne d’une réforme du système d’apprentissage tout au long de la vie afin d’améliorer l’offre de formation, ainsi que d’un ensemble de réformes et d’investissements axés sur les systèmes d’enseignement et de formation professionnels (EFP) et d’apprentissage afin d’améliorer leur pertinence sur le marché du travail. En ce qui concerne l’EFP, le plan vise à moderniser les infrastructures et les équipements d’EFP et à moderniser les programmes d’études existants. En outre, le plan prévoit une nouvelle stratégie d’excellence dans les universités, visant à améliorer leurs performances en matière de recherche et la qualité de l’enseignement grâce à </w:t>
      </w:r>
      <w:r>
        <w:rPr>
          <w:noProof/>
          <w:color w:val="000000"/>
        </w:rPr>
        <w:t xml:space="preserve">des investissements dans la modernisation des infrastructures de recherche et d’enseignement et à un soutien aux </w:t>
      </w:r>
      <w:r>
        <w:rPr>
          <w:noProof/>
        </w:rPr>
        <w:t>projets de recherche. Ces réformes s’accompagnent d’investissements dans la numérisation du système éducatif, dont une grande partie est allouée aux systèmes d’apprentissage interactif dans les écoles primaires et secondaires et à des bons d’achat d’équipements informatiques pour les élèves et les étudiants issus de familles à faible revenu.</w:t>
      </w:r>
      <w:r>
        <w:rPr>
          <w:noProof/>
          <w:color w:val="000000"/>
          <w:shd w:val="clear" w:color="auto" w:fill="FFFFFF"/>
        </w:rPr>
        <w:t xml:space="preserve"> </w:t>
      </w:r>
    </w:p>
    <w:p w14:paraId="5CC8854D" w14:textId="77777777" w:rsidR="00A00259" w:rsidRDefault="00371282">
      <w:pPr>
        <w:pStyle w:val="P68B1DB1-Normal7"/>
        <w:spacing w:before="120" w:after="120" w:line="240" w:lineRule="auto"/>
        <w:jc w:val="both"/>
        <w:rPr>
          <w:rFonts w:cs="Times New Roman"/>
          <w:noProof/>
        </w:rPr>
      </w:pPr>
      <w:r>
        <w:rPr>
          <w:noProof/>
          <w:color w:val="000000"/>
          <w:shd w:val="clear" w:color="auto" w:fill="FFFFFF"/>
        </w:rPr>
        <w:t xml:space="preserve">Ce volet est conforme aux recommandations par pays visant à investir dans l’éducation, l’employabilité et les compétences et à améliorer la numérisation de l’administration publique (recommandations par pays 3 2020 et 2 2019). </w:t>
      </w: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13AEB44A" w14:textId="77777777" w:rsidR="00A00259" w:rsidRDefault="00371282">
      <w:pPr>
        <w:pStyle w:val="P68B1DB1-Normal6"/>
        <w:spacing w:before="120" w:after="120" w:line="240" w:lineRule="auto"/>
        <w:jc w:val="both"/>
        <w:rPr>
          <w:rFonts w:cs="Times New Roman"/>
          <w:bCs/>
          <w:i/>
          <w:iCs/>
          <w:noProof/>
          <w:color w:val="4F81BD"/>
        </w:rPr>
      </w:pPr>
      <w:r>
        <w:rPr>
          <w:noProof/>
        </w:rPr>
        <w:t>I.1. Description des réformes et des investissements pour le soutien financier non remboursable</w:t>
      </w:r>
    </w:p>
    <w:p w14:paraId="30474224"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Une nouvelle stratégie pour la formation tout au long de la vie: Moderniser et moderniser le système grec de perfectionnement et de reconversion professionnels (mesure ID: 16913)</w:t>
      </w:r>
    </w:p>
    <w:p w14:paraId="38C12EF4" w14:textId="77777777" w:rsidR="00A00259" w:rsidRDefault="00371282">
      <w:pPr>
        <w:pStyle w:val="P68B1DB1-Normal7"/>
        <w:spacing w:before="120" w:after="120" w:line="240" w:lineRule="auto"/>
        <w:jc w:val="both"/>
        <w:rPr>
          <w:noProof/>
        </w:rPr>
      </w:pPr>
      <w:r>
        <w:rPr>
          <w:noProof/>
        </w:rPr>
        <w:t xml:space="preserve">L'objectif de la mesure est d'améliorer le cadre national d'éducation et de formation tout au long de la vie en vue d'en améliorer la qualité et l'adéquation au marché du travail. La mesure consiste en a) l'entrée en vigueur du droit primaire et du droit dérivé définissant les éléments clés du nouveau cadre pour l'éducation et la formation tout au long de la vie et b) des programmes de formation destinés à divers groupes de population et sujets. </w:t>
      </w:r>
    </w:p>
    <w:p w14:paraId="6633123E" w14:textId="77777777" w:rsidR="00A00259" w:rsidRDefault="00371282">
      <w:pPr>
        <w:pStyle w:val="P68B1DB1-Normal5"/>
        <w:rPr>
          <w:b/>
          <w:noProof/>
        </w:rPr>
      </w:pPr>
      <w:r>
        <w:rPr>
          <w:b/>
          <w:noProof/>
        </w:rPr>
        <w:t>Réforme:</w:t>
      </w:r>
      <w:r>
        <w:rPr>
          <w:noProof/>
        </w:rPr>
        <w:t xml:space="preserve"> Stratégie pour l'excellence dans les universités &amp; Innovation (mesure ID: 16289)</w:t>
      </w:r>
    </w:p>
    <w:p w14:paraId="504FB8ED" w14:textId="77777777" w:rsidR="00A00259" w:rsidRDefault="00371282">
      <w:pPr>
        <w:pStyle w:val="P68B1DB1-Normal7"/>
        <w:spacing w:before="120" w:after="120" w:line="240" w:lineRule="auto"/>
        <w:jc w:val="both"/>
        <w:rPr>
          <w:noProof/>
        </w:rPr>
      </w:pPr>
      <w:r>
        <w:rPr>
          <w:noProof/>
        </w:rPr>
        <w:t>L'objectif de la mesure est d'améliorer les performances de recherche et l'extraversion des universités grecques. La réforme comprend des projets de recherche collaborative, des projets pour les universités grecques et des décisions d'approbation pour les programmes de troisième cycle.</w:t>
      </w:r>
    </w:p>
    <w:p w14:paraId="1D764539"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Renforcement du système d’apprentissage (mesure ID: 16794)</w:t>
      </w:r>
    </w:p>
    <w:p w14:paraId="5D4A6F7A" w14:textId="0F85D87B" w:rsidR="00A00259" w:rsidRDefault="00371282">
      <w:pPr>
        <w:pStyle w:val="P68B1DB1-Normal7"/>
        <w:spacing w:before="120" w:after="120" w:line="240" w:lineRule="auto"/>
        <w:jc w:val="both"/>
        <w:rPr>
          <w:noProof/>
        </w:rPr>
      </w:pPr>
      <w:r>
        <w:rPr>
          <w:noProof/>
        </w:rPr>
        <w:t>L’objectif de la mesure est de moderniser le système national d’enseignement et de formation professionnels (EFP). Il s’agit d’un nouveau cadre juridique pour le système d’EFP.</w:t>
      </w:r>
    </w:p>
    <w:p w14:paraId="0BA37803"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Compétence, reconversion et perfectionnement professionnels de la main-d’œuvre au moyen d’un modèle de formation réformé (enseignement et formation professionnels; réforme de la formation) (mesure ID: 16792)</w:t>
      </w:r>
    </w:p>
    <w:p w14:paraId="193FB2A8" w14:textId="1970C208" w:rsidR="00A00259" w:rsidRDefault="00371282">
      <w:pPr>
        <w:pStyle w:val="P68B1DB1-Normal7"/>
        <w:spacing w:after="0" w:line="240" w:lineRule="auto"/>
        <w:jc w:val="both"/>
        <w:rPr>
          <w:noProof/>
        </w:rPr>
      </w:pPr>
      <w:r>
        <w:rPr>
          <w:noProof/>
        </w:rPr>
        <w:t xml:space="preserve">L’objectif de la mesure est d’améliorer le contrôle de la qualité et de mettre à jour le système de formation professionnelle du service public de l’emploi (DYPA) afin de répondre aux besoins du marché du travail. Cette mesure consiste en des investissements visant à promouvoir un système de contrôle de la qualité du système de formation professionnelle du DYPA et des programmes de formation sectoriels. </w:t>
      </w:r>
    </w:p>
    <w:p w14:paraId="3BB586E9" w14:textId="20DE7767" w:rsidR="00A00259" w:rsidRDefault="00371282">
      <w:pPr>
        <w:pStyle w:val="P68B1DB1-Normal7"/>
        <w:spacing w:before="120" w:after="120" w:line="240" w:lineRule="auto"/>
        <w:jc w:val="both"/>
        <w:rPr>
          <w:rFonts w:cs="Times New Roman"/>
          <w:noProof/>
        </w:rPr>
      </w:pPr>
      <w:r>
        <w:rPr>
          <w:b/>
          <w:noProof/>
        </w:rPr>
        <w:t>Réforme:</w:t>
      </w:r>
      <w:r>
        <w:rPr>
          <w:noProof/>
        </w:rPr>
        <w:t xml:space="preserve"> Mise à niveau de l’enseignement et de la formation professionnels (mesure ID: 16934)</w:t>
      </w:r>
    </w:p>
    <w:p w14:paraId="6766B716" w14:textId="5B93BC18" w:rsidR="00A00259" w:rsidRDefault="00371282">
      <w:pPr>
        <w:pStyle w:val="P68B1DB1-Normal7"/>
        <w:spacing w:before="120" w:after="120" w:line="240" w:lineRule="auto"/>
        <w:jc w:val="both"/>
        <w:rPr>
          <w:noProof/>
        </w:rPr>
      </w:pPr>
      <w:r>
        <w:rPr>
          <w:noProof/>
        </w:rPr>
        <w:t>L’objectif de la mesure est d’améliorer le système d’enseignement et de formation professionnels (EFP). La mesure consiste à fournir des systèmes d’information de l’Organisation nationale pour la certification des qualifications et l’orientation professionnelle (EOPPEP) et à développer une plateforme d’apprentissage en ligne pour l’EFP.</w:t>
      </w:r>
    </w:p>
    <w:p w14:paraId="726A6C31"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Transformation numérique de l’éducation (mesure ID: 16676)</w:t>
      </w:r>
    </w:p>
    <w:p w14:paraId="77C57667" w14:textId="127C2EEA" w:rsidR="00A00259" w:rsidRDefault="00371282">
      <w:pPr>
        <w:pStyle w:val="P68B1DB1-Normal7"/>
        <w:spacing w:before="120" w:after="120" w:line="240" w:lineRule="auto"/>
        <w:jc w:val="both"/>
        <w:rPr>
          <w:rFonts w:cs="Times New Roman"/>
          <w:noProof/>
        </w:rPr>
      </w:pPr>
      <w:r>
        <w:rPr>
          <w:noProof/>
        </w:rPr>
        <w:t>L’objectif de la mesure est de permettre la transformation numérique dans l’éducation. L'investissement comprend les composantes suivantes: le contenu numérique dans les écoles; les équipements numériques dans les écoles; et les services numériques dans les écoles.</w:t>
      </w:r>
    </w:p>
    <w:p w14:paraId="6D5C4F1E" w14:textId="701E4E00" w:rsidR="00A00259" w:rsidRDefault="00371282">
      <w:pPr>
        <w:pStyle w:val="P68B1DB1-Normal5"/>
        <w:spacing w:before="120" w:after="120" w:line="240" w:lineRule="auto"/>
        <w:jc w:val="both"/>
        <w:rPr>
          <w:rFonts w:cs="Times New Roman"/>
          <w:noProof/>
        </w:rPr>
      </w:pPr>
      <w:r>
        <w:rPr>
          <w:b/>
          <w:noProof/>
        </w:rPr>
        <w:t>Investissement:</w:t>
      </w:r>
      <w:r>
        <w:rPr>
          <w:noProof/>
        </w:rPr>
        <w:t xml:space="preserve"> Amélioration de l’enseignement et de la formation professionnels (EFP): Achat d’équipements de laboratoire pour les laboratoires des unités d’EFP (mesure ID: 16933)</w:t>
      </w:r>
    </w:p>
    <w:p w14:paraId="09541BED" w14:textId="66751F68" w:rsidR="00A00259" w:rsidRDefault="00371282">
      <w:pPr>
        <w:pStyle w:val="P68B1DB1-Normal7"/>
        <w:spacing w:before="120" w:after="120" w:line="240" w:lineRule="auto"/>
        <w:jc w:val="both"/>
        <w:rPr>
          <w:noProof/>
        </w:rPr>
      </w:pPr>
      <w:r>
        <w:rPr>
          <w:noProof/>
        </w:rPr>
        <w:t xml:space="preserve">L’objectif de la mesure est de moderniser les infrastructures de laboratoire des unités d’enseignement et de formation professionnels (EFP) dans toute la Grèce. La mesure consiste en la modernisation des infrastructures des unités d’EFP. </w:t>
      </w:r>
    </w:p>
    <w:p w14:paraId="7AC00778" w14:textId="77777777" w:rsidR="00A00259" w:rsidRDefault="00A00259">
      <w:pPr>
        <w:spacing w:before="120" w:after="120" w:line="240" w:lineRule="auto"/>
        <w:ind w:left="709"/>
        <w:jc w:val="both"/>
        <w:rPr>
          <w:rFonts w:ascii="Times New Roman" w:hAnsi="Times New Roman" w:cs="Times New Roman"/>
          <w:noProof/>
          <w:sz w:val="24"/>
        </w:rPr>
      </w:pPr>
    </w:p>
    <w:p w14:paraId="33EB8586" w14:textId="77777777" w:rsidR="00A00259" w:rsidRDefault="00A00259">
      <w:pPr>
        <w:spacing w:before="120" w:after="120" w:line="240" w:lineRule="auto"/>
        <w:ind w:left="709"/>
        <w:jc w:val="both"/>
        <w:rPr>
          <w:rFonts w:ascii="Times New Roman" w:hAnsi="Times New Roman" w:cs="Times New Roman"/>
          <w:noProof/>
          <w:sz w:val="24"/>
        </w:rPr>
        <w:sectPr w:rsidR="00A00259">
          <w:headerReference w:type="even" r:id="rId186"/>
          <w:headerReference w:type="default" r:id="rId187"/>
          <w:footerReference w:type="even" r:id="rId188"/>
          <w:footerReference w:type="default" r:id="rId189"/>
          <w:headerReference w:type="first" r:id="rId190"/>
          <w:footerReference w:type="first" r:id="rId191"/>
          <w:pgSz w:w="11906" w:h="16838"/>
          <w:pgMar w:top="1134" w:right="1134" w:bottom="1134" w:left="1134" w:header="567" w:footer="567" w:gutter="0"/>
          <w:cols w:space="708"/>
          <w:docGrid w:linePitch="360"/>
        </w:sectPr>
      </w:pPr>
    </w:p>
    <w:p w14:paraId="6D6E3421" w14:textId="77777777" w:rsidR="00A00259" w:rsidRDefault="00371282">
      <w:pPr>
        <w:pStyle w:val="P68B1DB1-Normal6"/>
        <w:spacing w:before="120" w:after="120" w:line="240" w:lineRule="auto"/>
        <w:jc w:val="both"/>
        <w:rPr>
          <w:rFonts w:cs="Times New Roman"/>
          <w:bCs/>
          <w:noProof/>
        </w:rPr>
      </w:pPr>
      <w:r>
        <w:rPr>
          <w:noProof/>
        </w:rPr>
        <w:t>I.2. Étapes, cibles, indicateurs et calendrier pour le suivi et la mise en œuvre du soutien financier non remboursable</w:t>
      </w:r>
    </w:p>
    <w:p w14:paraId="37D2B6A6" w14:textId="77777777" w:rsidR="00A00259" w:rsidRDefault="00371282">
      <w:pPr>
        <w:pStyle w:val="P68B1DB1-Normal38"/>
        <w:keepNext/>
        <w:keepLines/>
        <w:spacing w:before="40" w:after="0" w:line="240" w:lineRule="auto"/>
        <w:jc w:val="both"/>
        <w:outlineLvl w:val="4"/>
        <w:rPr>
          <w:noProof/>
          <w:color w:val="365F91"/>
        </w:rPr>
      </w:pPr>
      <w:r>
        <w:rPr>
          <w:noProof/>
        </w:rPr>
        <w:t>Investissement principal 5: Une nouvelle stratégie pour la formation tout au long de la vie: Moderniser et moderniser le système grec de perfectionnement et de reconversion professionnels</w:t>
      </w:r>
    </w:p>
    <w:tbl>
      <w:tblPr>
        <w:tblW w:w="159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6"/>
        <w:gridCol w:w="2203"/>
        <w:gridCol w:w="1043"/>
        <w:gridCol w:w="1142"/>
        <w:gridCol w:w="1459"/>
        <w:gridCol w:w="1332"/>
        <w:gridCol w:w="870"/>
        <w:gridCol w:w="998"/>
        <w:gridCol w:w="850"/>
        <w:gridCol w:w="709"/>
        <w:gridCol w:w="4761"/>
      </w:tblGrid>
      <w:tr w:rsidR="00A00259" w14:paraId="195B8A0D" w14:textId="77777777">
        <w:trPr>
          <w:trHeight w:val="740"/>
          <w:tblHeader/>
          <w:jc w:val="center"/>
        </w:trPr>
        <w:tc>
          <w:tcPr>
            <w:tcW w:w="536" w:type="dxa"/>
            <w:vMerge w:val="restart"/>
            <w:shd w:val="clear" w:color="auto" w:fill="BDD7EE"/>
            <w:vAlign w:val="center"/>
            <w:hideMark/>
          </w:tcPr>
          <w:p w14:paraId="29B5BE12"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Seq. </w:t>
            </w:r>
            <w:r>
              <w:rPr>
                <w:noProof/>
              </w:rPr>
              <w:br/>
              <w:t>Non.</w:t>
            </w:r>
          </w:p>
        </w:tc>
        <w:tc>
          <w:tcPr>
            <w:tcW w:w="2203" w:type="dxa"/>
            <w:vMerge w:val="restart"/>
            <w:shd w:val="clear" w:color="auto" w:fill="BDD7EE"/>
            <w:vAlign w:val="center"/>
            <w:hideMark/>
          </w:tcPr>
          <w:p w14:paraId="3C49821F"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043" w:type="dxa"/>
            <w:vMerge w:val="restart"/>
            <w:shd w:val="clear" w:color="auto" w:fill="BDD7EE"/>
            <w:vAlign w:val="center"/>
            <w:hideMark/>
          </w:tcPr>
          <w:p w14:paraId="6B11A0F9"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142" w:type="dxa"/>
            <w:vMerge w:val="restart"/>
            <w:shd w:val="clear" w:color="auto" w:fill="BDD7EE"/>
            <w:vAlign w:val="center"/>
            <w:hideMark/>
          </w:tcPr>
          <w:p w14:paraId="1E5955C3"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459" w:type="dxa"/>
            <w:vMerge w:val="restart"/>
            <w:shd w:val="clear" w:color="auto" w:fill="BDD7EE"/>
            <w:vAlign w:val="center"/>
            <w:hideMark/>
          </w:tcPr>
          <w:p w14:paraId="643BE37E"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3200" w:type="dxa"/>
            <w:gridSpan w:val="3"/>
            <w:shd w:val="clear" w:color="auto" w:fill="BDD7EE"/>
            <w:vAlign w:val="center"/>
            <w:hideMark/>
          </w:tcPr>
          <w:p w14:paraId="689347D1" w14:textId="77777777" w:rsidR="00A00259" w:rsidRDefault="00371282">
            <w:pPr>
              <w:pStyle w:val="P68B1DB1-Normal18"/>
              <w:spacing w:after="0" w:line="240" w:lineRule="auto"/>
              <w:jc w:val="center"/>
              <w:rPr>
                <w:rFonts w:ascii="Times New Roman" w:eastAsia="Times New Roman" w:hAnsi="Times New Roman" w:cs="Times New Roman"/>
                <w:bCs/>
                <w:noProof/>
                <w:szCs w:val="18"/>
              </w:rPr>
            </w:pPr>
            <w:r>
              <w:rPr>
                <w:rFonts w:ascii="Times New Roman" w:hAnsi="Times New Roman"/>
                <w:noProof/>
              </w:rPr>
              <w:t xml:space="preserve">Indicateurs quantitatifs </w:t>
            </w:r>
            <w:r>
              <w:rPr>
                <w:rFonts w:ascii="Times New Roman" w:hAnsi="Times New Roman" w:cs="Times New Roman"/>
                <w:noProof/>
                <w:szCs w:val="18"/>
              </w:rPr>
              <w:br/>
            </w:r>
            <w:r>
              <w:rPr>
                <w:rFonts w:ascii="Times New Roman" w:hAnsi="Times New Roman"/>
                <w:noProof/>
              </w:rPr>
              <w:t xml:space="preserve"> (pour les objectifs)</w:t>
            </w:r>
          </w:p>
        </w:tc>
        <w:tc>
          <w:tcPr>
            <w:tcW w:w="1559" w:type="dxa"/>
            <w:gridSpan w:val="2"/>
            <w:shd w:val="clear" w:color="auto" w:fill="BDD7EE"/>
            <w:vAlign w:val="center"/>
            <w:hideMark/>
          </w:tcPr>
          <w:p w14:paraId="7536FE1B"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4761" w:type="dxa"/>
            <w:vMerge w:val="restart"/>
            <w:shd w:val="clear" w:color="auto" w:fill="BDD7EE"/>
            <w:vAlign w:val="center"/>
            <w:hideMark/>
          </w:tcPr>
          <w:p w14:paraId="59BF4233"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4A8AB7BE" w14:textId="77777777">
        <w:trPr>
          <w:trHeight w:val="512"/>
          <w:tblHeader/>
          <w:jc w:val="center"/>
        </w:trPr>
        <w:tc>
          <w:tcPr>
            <w:tcW w:w="536" w:type="dxa"/>
            <w:vMerge/>
            <w:vAlign w:val="center"/>
            <w:hideMark/>
          </w:tcPr>
          <w:p w14:paraId="67CBE14C" w14:textId="77777777" w:rsidR="00A00259" w:rsidRDefault="00A00259">
            <w:pPr>
              <w:spacing w:after="0" w:line="240" w:lineRule="auto"/>
              <w:rPr>
                <w:rFonts w:ascii="Times New Roman" w:eastAsia="Times New Roman" w:hAnsi="Times New Roman" w:cs="Times New Roman"/>
                <w:b/>
                <w:bCs/>
                <w:noProof/>
                <w:sz w:val="18"/>
                <w:szCs w:val="18"/>
              </w:rPr>
            </w:pPr>
          </w:p>
        </w:tc>
        <w:tc>
          <w:tcPr>
            <w:tcW w:w="2203" w:type="dxa"/>
            <w:vMerge/>
            <w:vAlign w:val="center"/>
            <w:hideMark/>
          </w:tcPr>
          <w:p w14:paraId="138F12E1" w14:textId="77777777" w:rsidR="00A00259" w:rsidRDefault="00A00259">
            <w:pPr>
              <w:spacing w:after="0" w:line="240" w:lineRule="auto"/>
              <w:rPr>
                <w:rFonts w:ascii="Times New Roman" w:eastAsia="Times New Roman" w:hAnsi="Times New Roman" w:cs="Times New Roman"/>
                <w:b/>
                <w:bCs/>
                <w:noProof/>
                <w:sz w:val="18"/>
                <w:szCs w:val="18"/>
              </w:rPr>
            </w:pPr>
          </w:p>
        </w:tc>
        <w:tc>
          <w:tcPr>
            <w:tcW w:w="1043" w:type="dxa"/>
            <w:vMerge/>
            <w:vAlign w:val="center"/>
            <w:hideMark/>
          </w:tcPr>
          <w:p w14:paraId="72D3F549" w14:textId="77777777" w:rsidR="00A00259" w:rsidRDefault="00A00259">
            <w:pPr>
              <w:spacing w:after="0" w:line="240" w:lineRule="auto"/>
              <w:rPr>
                <w:rFonts w:ascii="Times New Roman" w:eastAsia="Times New Roman" w:hAnsi="Times New Roman" w:cs="Times New Roman"/>
                <w:b/>
                <w:bCs/>
                <w:noProof/>
                <w:sz w:val="18"/>
                <w:szCs w:val="18"/>
              </w:rPr>
            </w:pPr>
          </w:p>
        </w:tc>
        <w:tc>
          <w:tcPr>
            <w:tcW w:w="1142" w:type="dxa"/>
            <w:vMerge/>
            <w:vAlign w:val="center"/>
            <w:hideMark/>
          </w:tcPr>
          <w:p w14:paraId="4875F086" w14:textId="77777777" w:rsidR="00A00259" w:rsidRDefault="00A00259">
            <w:pPr>
              <w:spacing w:after="0" w:line="240" w:lineRule="auto"/>
              <w:rPr>
                <w:rFonts w:ascii="Times New Roman" w:eastAsia="Times New Roman" w:hAnsi="Times New Roman" w:cs="Times New Roman"/>
                <w:b/>
                <w:bCs/>
                <w:noProof/>
                <w:sz w:val="18"/>
                <w:szCs w:val="18"/>
              </w:rPr>
            </w:pPr>
          </w:p>
        </w:tc>
        <w:tc>
          <w:tcPr>
            <w:tcW w:w="1459" w:type="dxa"/>
            <w:vMerge/>
            <w:vAlign w:val="center"/>
            <w:hideMark/>
          </w:tcPr>
          <w:p w14:paraId="6F991A05" w14:textId="77777777" w:rsidR="00A00259" w:rsidRDefault="00A00259">
            <w:pPr>
              <w:spacing w:after="0" w:line="240" w:lineRule="auto"/>
              <w:rPr>
                <w:rFonts w:ascii="Times New Roman" w:eastAsia="Times New Roman" w:hAnsi="Times New Roman" w:cs="Times New Roman"/>
                <w:b/>
                <w:bCs/>
                <w:noProof/>
                <w:sz w:val="18"/>
                <w:szCs w:val="18"/>
              </w:rPr>
            </w:pPr>
          </w:p>
        </w:tc>
        <w:tc>
          <w:tcPr>
            <w:tcW w:w="1332" w:type="dxa"/>
            <w:shd w:val="clear" w:color="auto" w:fill="BDD7EE"/>
            <w:vAlign w:val="center"/>
            <w:hideMark/>
          </w:tcPr>
          <w:p w14:paraId="5F882DBF"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870" w:type="dxa"/>
            <w:shd w:val="clear" w:color="auto" w:fill="BDD7EE"/>
            <w:vAlign w:val="center"/>
            <w:hideMark/>
          </w:tcPr>
          <w:p w14:paraId="064FE303"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998" w:type="dxa"/>
            <w:shd w:val="clear" w:color="auto" w:fill="BDD7EE"/>
            <w:vAlign w:val="center"/>
            <w:hideMark/>
          </w:tcPr>
          <w:p w14:paraId="41C4AFC6"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850" w:type="dxa"/>
            <w:shd w:val="clear" w:color="auto" w:fill="BDD7EE"/>
            <w:vAlign w:val="center"/>
            <w:hideMark/>
          </w:tcPr>
          <w:p w14:paraId="319815EC"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709" w:type="dxa"/>
            <w:shd w:val="clear" w:color="auto" w:fill="BDD7EE"/>
            <w:vAlign w:val="center"/>
            <w:hideMark/>
          </w:tcPr>
          <w:p w14:paraId="328DD427"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4761" w:type="dxa"/>
            <w:vMerge/>
            <w:vAlign w:val="center"/>
            <w:hideMark/>
          </w:tcPr>
          <w:p w14:paraId="0610B8B5"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0EC85D0A" w14:textId="77777777">
        <w:trPr>
          <w:trHeight w:val="309"/>
          <w:jc w:val="center"/>
        </w:trPr>
        <w:tc>
          <w:tcPr>
            <w:tcW w:w="536" w:type="dxa"/>
            <w:shd w:val="clear" w:color="auto" w:fill="C6EFCE"/>
            <w:noWrap/>
          </w:tcPr>
          <w:p w14:paraId="46B7D282" w14:textId="77777777" w:rsidR="00A00259" w:rsidRDefault="00371282">
            <w:pPr>
              <w:pStyle w:val="P68B1DB1-Normal12"/>
              <w:spacing w:after="0" w:line="240" w:lineRule="auto"/>
              <w:rPr>
                <w:rFonts w:eastAsia="Times New Roman"/>
                <w:noProof/>
              </w:rPr>
            </w:pPr>
            <w:r>
              <w:rPr>
                <w:noProof/>
              </w:rPr>
              <w:t>138</w:t>
            </w:r>
          </w:p>
        </w:tc>
        <w:tc>
          <w:tcPr>
            <w:tcW w:w="2203" w:type="dxa"/>
            <w:shd w:val="clear" w:color="auto" w:fill="C6EFCE"/>
            <w:noWrap/>
          </w:tcPr>
          <w:p w14:paraId="1513A0F1" w14:textId="77777777" w:rsidR="00A00259" w:rsidRDefault="00371282">
            <w:pPr>
              <w:pStyle w:val="P68B1DB1-Normal12"/>
              <w:spacing w:after="0" w:line="240" w:lineRule="auto"/>
              <w:rPr>
                <w:rFonts w:eastAsia="Times New Roman"/>
                <w:noProof/>
              </w:rPr>
            </w:pPr>
            <w:r>
              <w:rPr>
                <w:noProof/>
              </w:rPr>
              <w:t>9 - 3.2. Éducation, enseignement et formation professionnels et compétences - 16913_Une nouvelle stratégie pour la formation tout au long de la vie: Moderniser et moderniser le système grec de perfectionnement et de reconversion professionnels</w:t>
            </w:r>
          </w:p>
        </w:tc>
        <w:tc>
          <w:tcPr>
            <w:tcW w:w="1043" w:type="dxa"/>
            <w:shd w:val="clear" w:color="auto" w:fill="C6EFCE"/>
            <w:noWrap/>
          </w:tcPr>
          <w:p w14:paraId="2D11FD9E" w14:textId="77777777" w:rsidR="00A00259" w:rsidRDefault="00371282">
            <w:pPr>
              <w:pStyle w:val="P68B1DB1-Normal12"/>
              <w:spacing w:after="0" w:line="240" w:lineRule="auto"/>
              <w:rPr>
                <w:rFonts w:eastAsia="Times New Roman"/>
                <w:noProof/>
              </w:rPr>
            </w:pPr>
            <w:r>
              <w:rPr>
                <w:noProof/>
              </w:rPr>
              <w:t>Étape</w:t>
            </w:r>
          </w:p>
        </w:tc>
        <w:tc>
          <w:tcPr>
            <w:tcW w:w="1142" w:type="dxa"/>
            <w:shd w:val="clear" w:color="auto" w:fill="C6EFCE"/>
            <w:noWrap/>
          </w:tcPr>
          <w:p w14:paraId="263B557D" w14:textId="77777777" w:rsidR="00A00259" w:rsidRDefault="00371282">
            <w:pPr>
              <w:pStyle w:val="P68B1DB1-Normal12"/>
              <w:spacing w:after="0" w:line="240" w:lineRule="auto"/>
              <w:rPr>
                <w:rFonts w:eastAsia="Times New Roman"/>
                <w:noProof/>
              </w:rPr>
            </w:pPr>
            <w:r>
              <w:rPr>
                <w:noProof/>
              </w:rPr>
              <w:t>Entrée en vigueur de la législation relative à la stratégie d'éducation et de formation tout au long de la vie</w:t>
            </w:r>
          </w:p>
        </w:tc>
        <w:tc>
          <w:tcPr>
            <w:tcW w:w="1459" w:type="dxa"/>
            <w:shd w:val="clear" w:color="auto" w:fill="C6EFCE"/>
            <w:noWrap/>
          </w:tcPr>
          <w:p w14:paraId="4D4B7400" w14:textId="77777777" w:rsidR="00A00259" w:rsidRDefault="00371282">
            <w:pPr>
              <w:pStyle w:val="P68B1DB1-Normal12"/>
              <w:spacing w:after="0" w:line="240" w:lineRule="auto"/>
              <w:rPr>
                <w:rFonts w:eastAsia="Times New Roman"/>
                <w:noProof/>
              </w:rPr>
            </w:pPr>
            <w:r>
              <w:rPr>
                <w:noProof/>
              </w:rPr>
              <w:t xml:space="preserve">Entrée en vigueur du droit primaire et du droit dérivé </w:t>
            </w:r>
          </w:p>
        </w:tc>
        <w:tc>
          <w:tcPr>
            <w:tcW w:w="1332" w:type="dxa"/>
            <w:shd w:val="clear" w:color="auto" w:fill="C6EFCE"/>
            <w:noWrap/>
          </w:tcPr>
          <w:p w14:paraId="62AE0AC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70" w:type="dxa"/>
            <w:shd w:val="clear" w:color="auto" w:fill="C6EFCE"/>
            <w:noWrap/>
          </w:tcPr>
          <w:p w14:paraId="49E13C6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8" w:type="dxa"/>
            <w:shd w:val="clear" w:color="auto" w:fill="C6EFCE"/>
            <w:noWrap/>
          </w:tcPr>
          <w:p w14:paraId="60D724C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38AA5BE1" w14:textId="77777777" w:rsidR="00A00259" w:rsidRDefault="00371282">
            <w:pPr>
              <w:pStyle w:val="P68B1DB1-Normal12"/>
              <w:spacing w:after="0" w:line="240" w:lineRule="auto"/>
              <w:rPr>
                <w:rFonts w:eastAsia="Times New Roman"/>
                <w:noProof/>
              </w:rPr>
            </w:pPr>
            <w:r>
              <w:rPr>
                <w:noProof/>
              </w:rPr>
              <w:t>T2</w:t>
            </w:r>
          </w:p>
        </w:tc>
        <w:tc>
          <w:tcPr>
            <w:tcW w:w="709" w:type="dxa"/>
            <w:shd w:val="clear" w:color="auto" w:fill="C6EFCE"/>
            <w:noWrap/>
          </w:tcPr>
          <w:p w14:paraId="7A93970F" w14:textId="77777777" w:rsidR="00A00259" w:rsidRDefault="00371282">
            <w:pPr>
              <w:pStyle w:val="P68B1DB1-Normal12"/>
              <w:spacing w:after="0" w:line="240" w:lineRule="auto"/>
              <w:rPr>
                <w:rFonts w:eastAsia="Times New Roman"/>
                <w:noProof/>
              </w:rPr>
            </w:pPr>
            <w:r>
              <w:rPr>
                <w:noProof/>
              </w:rPr>
              <w:t>2022</w:t>
            </w:r>
          </w:p>
        </w:tc>
        <w:tc>
          <w:tcPr>
            <w:tcW w:w="4761" w:type="dxa"/>
            <w:shd w:val="clear" w:color="auto" w:fill="C6EFCE"/>
            <w:noWrap/>
          </w:tcPr>
          <w:p w14:paraId="0B170FDE" w14:textId="77777777" w:rsidR="00A00259" w:rsidRDefault="00371282">
            <w:pPr>
              <w:pStyle w:val="P68B1DB1-Normal12"/>
              <w:spacing w:after="0" w:line="240" w:lineRule="auto"/>
              <w:rPr>
                <w:rFonts w:eastAsia="Times New Roman"/>
                <w:noProof/>
              </w:rPr>
            </w:pPr>
            <w:r>
              <w:rPr>
                <w:noProof/>
              </w:rPr>
              <w:t>Sur la base de la stratégie nationale pour l'éducation et la formation tout au long de la vie, le droit primaire et le droit dérivé entreront en vigueur et définiront les éléments clés du nouveau cadre pour l'éducation et la formation tout au long de la vie (y compris des dispositions visant à établir le Conseil national des compétences en tant qu'organe central de surveillance, à créer des comptes des compétences tout au long de la vie, une liste nationale des prestataires de formation éligibles et un tableau de bord, ainsi qu'un mécanisme de diagnostic du marché du travail).</w:t>
            </w:r>
          </w:p>
        </w:tc>
      </w:tr>
      <w:tr w:rsidR="00A00259" w14:paraId="108DB0A4" w14:textId="77777777">
        <w:trPr>
          <w:trHeight w:val="309"/>
          <w:jc w:val="center"/>
        </w:trPr>
        <w:tc>
          <w:tcPr>
            <w:tcW w:w="536" w:type="dxa"/>
            <w:shd w:val="clear" w:color="auto" w:fill="C6EFCE"/>
            <w:noWrap/>
          </w:tcPr>
          <w:p w14:paraId="37A6149C" w14:textId="77777777" w:rsidR="00A00259" w:rsidRDefault="00371282">
            <w:pPr>
              <w:pStyle w:val="P68B1DB1-Normal12"/>
              <w:spacing w:after="0" w:line="240" w:lineRule="auto"/>
              <w:rPr>
                <w:rFonts w:eastAsia="Times New Roman"/>
                <w:noProof/>
              </w:rPr>
            </w:pPr>
            <w:r>
              <w:rPr>
                <w:noProof/>
              </w:rPr>
              <w:t>139</w:t>
            </w:r>
          </w:p>
        </w:tc>
        <w:tc>
          <w:tcPr>
            <w:tcW w:w="2203" w:type="dxa"/>
            <w:shd w:val="clear" w:color="auto" w:fill="C6EFCE"/>
            <w:noWrap/>
          </w:tcPr>
          <w:p w14:paraId="7971858D" w14:textId="77777777" w:rsidR="00A00259" w:rsidRDefault="00371282">
            <w:pPr>
              <w:pStyle w:val="P68B1DB1-Normal12"/>
              <w:spacing w:after="0" w:line="240" w:lineRule="auto"/>
              <w:rPr>
                <w:rFonts w:eastAsia="Times New Roman"/>
                <w:noProof/>
              </w:rPr>
            </w:pPr>
            <w:r>
              <w:rPr>
                <w:noProof/>
              </w:rPr>
              <w:t>9 - 3.2. Éducation, enseignement et formation professionnels et compétences - 16913_Une nouvelle stratégie pour la formation tout au long de la vie: Moderniser et moderniser le système grec de perfectionnement et de reconversion professionnels</w:t>
            </w:r>
          </w:p>
        </w:tc>
        <w:tc>
          <w:tcPr>
            <w:tcW w:w="1043" w:type="dxa"/>
            <w:shd w:val="clear" w:color="auto" w:fill="C6EFCE"/>
            <w:noWrap/>
          </w:tcPr>
          <w:p w14:paraId="131D6D1C" w14:textId="77777777" w:rsidR="00A00259" w:rsidRDefault="00371282">
            <w:pPr>
              <w:pStyle w:val="P68B1DB1-Normal12"/>
              <w:spacing w:after="0" w:line="240" w:lineRule="auto"/>
              <w:rPr>
                <w:rFonts w:eastAsia="Times New Roman"/>
                <w:noProof/>
              </w:rPr>
            </w:pPr>
            <w:r>
              <w:rPr>
                <w:noProof/>
              </w:rPr>
              <w:t>Objectif</w:t>
            </w:r>
          </w:p>
        </w:tc>
        <w:tc>
          <w:tcPr>
            <w:tcW w:w="1142" w:type="dxa"/>
            <w:shd w:val="clear" w:color="auto" w:fill="C6EFCE"/>
            <w:noWrap/>
          </w:tcPr>
          <w:p w14:paraId="6AEF7A73" w14:textId="77777777" w:rsidR="00A00259" w:rsidRDefault="00371282">
            <w:pPr>
              <w:pStyle w:val="P68B1DB1-Normal12"/>
              <w:spacing w:after="0" w:line="240" w:lineRule="auto"/>
              <w:rPr>
                <w:rFonts w:eastAsia="Times New Roman"/>
                <w:noProof/>
              </w:rPr>
            </w:pPr>
            <w:r>
              <w:rPr>
                <w:noProof/>
              </w:rPr>
              <w:t>Validation de l'achèvement de la stratégie d'éducation et de formation tout au long de la vie</w:t>
            </w:r>
          </w:p>
        </w:tc>
        <w:tc>
          <w:tcPr>
            <w:tcW w:w="1459" w:type="dxa"/>
            <w:shd w:val="clear" w:color="auto" w:fill="C6EFCE"/>
            <w:noWrap/>
          </w:tcPr>
          <w:p w14:paraId="00397F3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332" w:type="dxa"/>
            <w:shd w:val="clear" w:color="auto" w:fill="C6EFCE"/>
            <w:noWrap/>
          </w:tcPr>
          <w:p w14:paraId="38D2617C" w14:textId="77777777" w:rsidR="00A00259" w:rsidRDefault="00371282">
            <w:pPr>
              <w:pStyle w:val="P68B1DB1-Normal12"/>
              <w:spacing w:after="0" w:line="240" w:lineRule="auto"/>
              <w:rPr>
                <w:rFonts w:eastAsia="Times New Roman"/>
                <w:noProof/>
              </w:rPr>
            </w:pPr>
            <w:r>
              <w:rPr>
                <w:noProof/>
              </w:rPr>
              <w:t>Nombre de personnes ayant obtenu un certificat de participation réussie à un programme de formation</w:t>
            </w:r>
          </w:p>
        </w:tc>
        <w:tc>
          <w:tcPr>
            <w:tcW w:w="870" w:type="dxa"/>
            <w:shd w:val="clear" w:color="auto" w:fill="C6EFCE"/>
            <w:noWrap/>
          </w:tcPr>
          <w:p w14:paraId="79F2993A" w14:textId="77777777" w:rsidR="00A00259" w:rsidRDefault="00371282">
            <w:pPr>
              <w:pStyle w:val="P68B1DB1-Normal12"/>
              <w:spacing w:after="0" w:line="240" w:lineRule="auto"/>
              <w:rPr>
                <w:noProof/>
              </w:rPr>
            </w:pPr>
            <w:r>
              <w:rPr>
                <w:noProof/>
              </w:rPr>
              <w:t>0</w:t>
            </w:r>
          </w:p>
        </w:tc>
        <w:tc>
          <w:tcPr>
            <w:tcW w:w="998" w:type="dxa"/>
            <w:shd w:val="clear" w:color="auto" w:fill="C6EFCE"/>
            <w:noWrap/>
          </w:tcPr>
          <w:p w14:paraId="6AED43B9" w14:textId="77777777" w:rsidR="00A00259" w:rsidRDefault="00371282">
            <w:pPr>
              <w:pStyle w:val="P68B1DB1-Normal12"/>
              <w:spacing w:after="0" w:line="240" w:lineRule="auto"/>
              <w:rPr>
                <w:rFonts w:eastAsia="Times New Roman"/>
                <w:noProof/>
              </w:rPr>
            </w:pPr>
            <w:r>
              <w:rPr>
                <w:noProof/>
              </w:rPr>
              <w:t>150 000</w:t>
            </w:r>
          </w:p>
        </w:tc>
        <w:tc>
          <w:tcPr>
            <w:tcW w:w="850" w:type="dxa"/>
            <w:shd w:val="clear" w:color="auto" w:fill="C6EFCE"/>
            <w:noWrap/>
          </w:tcPr>
          <w:p w14:paraId="2B4C0193"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1DE53780" w14:textId="77777777" w:rsidR="00A00259" w:rsidRDefault="00371282">
            <w:pPr>
              <w:pStyle w:val="P68B1DB1-Normal12"/>
              <w:spacing w:after="0" w:line="240" w:lineRule="auto"/>
              <w:rPr>
                <w:rFonts w:eastAsia="Times New Roman"/>
                <w:noProof/>
              </w:rPr>
            </w:pPr>
            <w:r>
              <w:rPr>
                <w:noProof/>
              </w:rPr>
              <w:t>2022</w:t>
            </w:r>
          </w:p>
        </w:tc>
        <w:tc>
          <w:tcPr>
            <w:tcW w:w="4761" w:type="dxa"/>
            <w:shd w:val="clear" w:color="auto" w:fill="C6EFCE"/>
            <w:noWrap/>
          </w:tcPr>
          <w:p w14:paraId="7D8EEDD5" w14:textId="77777777" w:rsidR="00A00259" w:rsidRDefault="00371282">
            <w:pPr>
              <w:pStyle w:val="P68B1DB1-Normal12"/>
              <w:spacing w:after="0" w:line="240" w:lineRule="auto"/>
              <w:rPr>
                <w:rFonts w:eastAsia="Times New Roman"/>
                <w:noProof/>
              </w:rPr>
            </w:pPr>
            <w:r>
              <w:rPr>
                <w:noProof/>
              </w:rPr>
              <w:t xml:space="preserve">Achèvement des programmes de formation sur les compétences numériques, vertes et financières pour au moins 150 000 participants et validation et certification des compétences acquises pour tous les participants ayant réussi. </w:t>
            </w:r>
          </w:p>
          <w:p w14:paraId="6F46F764" w14:textId="77777777" w:rsidR="00A00259" w:rsidRDefault="00371282">
            <w:pPr>
              <w:pStyle w:val="P68B1DB1-Normal12"/>
              <w:spacing w:after="0" w:line="240" w:lineRule="auto"/>
              <w:rPr>
                <w:rFonts w:eastAsia="Times New Roman"/>
                <w:noProof/>
              </w:rPr>
            </w:pPr>
            <w:r>
              <w:rPr>
                <w:noProof/>
              </w:rPr>
              <w:t xml:space="preserve"> Cet investissement répond au besoin de compétences numériques, écologiques et financières des groupes de population suivants: a) les chômeurs, en particulier les jeunes et les chômeurs de longue durée, b) les salariés, en particulier ceux qui présentent un risque de chômage élevé et ceux qui sont laissés pour compte par la technologie de l'espace de travail, c) les salariés, en particulier dans les PME ayant une capacité de formation interne limitée, d) les employés du secteur public, y compris les enseignants. Les compétences offertes sont: a) Compétences numériques de base, b) Compétences numériques de niveau moyen, c) Compétences vertes et d) Compétences en matière de littératie financière.</w:t>
            </w:r>
          </w:p>
        </w:tc>
      </w:tr>
      <w:tr w:rsidR="00A00259" w14:paraId="7ACD0F9F" w14:textId="77777777">
        <w:trPr>
          <w:trHeight w:val="2870"/>
          <w:jc w:val="center"/>
        </w:trPr>
        <w:tc>
          <w:tcPr>
            <w:tcW w:w="536" w:type="dxa"/>
            <w:shd w:val="clear" w:color="auto" w:fill="C6EFCE"/>
            <w:noWrap/>
            <w:hideMark/>
          </w:tcPr>
          <w:p w14:paraId="26BE3A0E" w14:textId="77777777" w:rsidR="00A00259" w:rsidRDefault="00371282">
            <w:pPr>
              <w:pStyle w:val="P68B1DB1-Normal12"/>
              <w:spacing w:after="0" w:line="240" w:lineRule="auto"/>
              <w:rPr>
                <w:rFonts w:eastAsia="Times New Roman"/>
                <w:noProof/>
              </w:rPr>
            </w:pPr>
            <w:r>
              <w:rPr>
                <w:noProof/>
              </w:rPr>
              <w:t>140</w:t>
            </w:r>
          </w:p>
        </w:tc>
        <w:tc>
          <w:tcPr>
            <w:tcW w:w="2203" w:type="dxa"/>
            <w:shd w:val="clear" w:color="auto" w:fill="C6EFCE"/>
            <w:noWrap/>
            <w:hideMark/>
          </w:tcPr>
          <w:p w14:paraId="6AC5E095" w14:textId="77777777" w:rsidR="00A00259" w:rsidRDefault="00371282">
            <w:pPr>
              <w:pStyle w:val="P68B1DB1-Normal12"/>
              <w:spacing w:after="0" w:line="240" w:lineRule="auto"/>
              <w:rPr>
                <w:rFonts w:eastAsia="Times New Roman"/>
                <w:noProof/>
              </w:rPr>
            </w:pPr>
            <w:r>
              <w:rPr>
                <w:noProof/>
              </w:rPr>
              <w:t>9 - 3.2. Éducation, enseignement et formation professionnels et compétences - 16913_Une nouvelle stratégie pour la formation tout au long de la vie: Moderniser et moderniser le système grec de perfectionnement et de reconversion professionnels</w:t>
            </w:r>
          </w:p>
        </w:tc>
        <w:tc>
          <w:tcPr>
            <w:tcW w:w="1043" w:type="dxa"/>
            <w:shd w:val="clear" w:color="auto" w:fill="C6EFCE"/>
            <w:noWrap/>
            <w:hideMark/>
          </w:tcPr>
          <w:p w14:paraId="4445A87E" w14:textId="77777777" w:rsidR="00A00259" w:rsidRDefault="00371282">
            <w:pPr>
              <w:pStyle w:val="P68B1DB1-Normal12"/>
              <w:spacing w:after="0" w:line="240" w:lineRule="auto"/>
              <w:rPr>
                <w:noProof/>
              </w:rPr>
            </w:pPr>
            <w:r>
              <w:rPr>
                <w:noProof/>
              </w:rPr>
              <w:t>Étape</w:t>
            </w:r>
          </w:p>
        </w:tc>
        <w:tc>
          <w:tcPr>
            <w:tcW w:w="1142" w:type="dxa"/>
            <w:shd w:val="clear" w:color="auto" w:fill="C6EFCE"/>
            <w:noWrap/>
            <w:hideMark/>
          </w:tcPr>
          <w:p w14:paraId="3F5DC70F" w14:textId="77777777" w:rsidR="00A00259" w:rsidRDefault="00371282">
            <w:pPr>
              <w:pStyle w:val="P68B1DB1-Normal12"/>
              <w:spacing w:after="0" w:line="240" w:lineRule="auto"/>
              <w:rPr>
                <w:noProof/>
              </w:rPr>
            </w:pPr>
            <w:r>
              <w:rPr>
                <w:noProof/>
              </w:rPr>
              <w:t xml:space="preserve">Programmes de formation Stratégie d'apprentissage tout au long de la vie Validation et certification des compétences acquises </w:t>
            </w:r>
          </w:p>
        </w:tc>
        <w:tc>
          <w:tcPr>
            <w:tcW w:w="1459" w:type="dxa"/>
            <w:shd w:val="clear" w:color="auto" w:fill="C6EFCE"/>
            <w:noWrap/>
            <w:hideMark/>
          </w:tcPr>
          <w:p w14:paraId="0BAA69C3" w14:textId="77777777" w:rsidR="00A00259" w:rsidRDefault="00371282">
            <w:pPr>
              <w:pStyle w:val="P68B1DB1-Normal12"/>
              <w:spacing w:after="0" w:line="240" w:lineRule="auto"/>
              <w:rPr>
                <w:rFonts w:eastAsia="Times New Roman"/>
                <w:noProof/>
              </w:rPr>
            </w:pPr>
            <w:r>
              <w:rPr>
                <w:noProof/>
              </w:rPr>
              <w:t xml:space="preserve">Mise en place de programmes de formation et validation et certification des compétences acquises </w:t>
            </w:r>
          </w:p>
        </w:tc>
        <w:tc>
          <w:tcPr>
            <w:tcW w:w="1332" w:type="dxa"/>
            <w:shd w:val="clear" w:color="auto" w:fill="C6EFCE"/>
            <w:noWrap/>
            <w:hideMark/>
          </w:tcPr>
          <w:p w14:paraId="23A8131E" w14:textId="77777777" w:rsidR="00A00259" w:rsidRDefault="00A00259">
            <w:pPr>
              <w:spacing w:after="0" w:line="240" w:lineRule="auto"/>
              <w:rPr>
                <w:rFonts w:ascii="Times New Roman" w:hAnsi="Times New Roman" w:cs="Times New Roman"/>
                <w:noProof/>
                <w:color w:val="006100"/>
                <w:sz w:val="18"/>
                <w:szCs w:val="18"/>
              </w:rPr>
            </w:pPr>
          </w:p>
        </w:tc>
        <w:tc>
          <w:tcPr>
            <w:tcW w:w="870" w:type="dxa"/>
            <w:shd w:val="clear" w:color="auto" w:fill="C6EFCE"/>
            <w:noWrap/>
          </w:tcPr>
          <w:p w14:paraId="01F21EFF" w14:textId="77777777" w:rsidR="00A00259" w:rsidRDefault="00A00259">
            <w:pPr>
              <w:spacing w:after="0" w:line="240" w:lineRule="auto"/>
              <w:rPr>
                <w:rFonts w:ascii="Times New Roman" w:hAnsi="Times New Roman" w:cs="Times New Roman"/>
                <w:noProof/>
                <w:color w:val="006100"/>
                <w:sz w:val="18"/>
                <w:szCs w:val="18"/>
              </w:rPr>
            </w:pPr>
          </w:p>
        </w:tc>
        <w:tc>
          <w:tcPr>
            <w:tcW w:w="998" w:type="dxa"/>
            <w:shd w:val="clear" w:color="auto" w:fill="C6EFCE"/>
            <w:noWrap/>
          </w:tcPr>
          <w:p w14:paraId="409BDFD9" w14:textId="77777777" w:rsidR="00A00259" w:rsidRDefault="00A00259">
            <w:pPr>
              <w:spacing w:after="0" w:line="240" w:lineRule="auto"/>
              <w:rPr>
                <w:rFonts w:ascii="Times New Roman" w:hAnsi="Times New Roman" w:cs="Times New Roman"/>
                <w:noProof/>
                <w:color w:val="006100"/>
                <w:sz w:val="18"/>
                <w:szCs w:val="18"/>
              </w:rPr>
            </w:pPr>
          </w:p>
        </w:tc>
        <w:tc>
          <w:tcPr>
            <w:tcW w:w="850" w:type="dxa"/>
            <w:shd w:val="clear" w:color="auto" w:fill="C6EFCE"/>
            <w:noWrap/>
            <w:hideMark/>
          </w:tcPr>
          <w:p w14:paraId="36E75F0D"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hideMark/>
          </w:tcPr>
          <w:p w14:paraId="653650AF" w14:textId="77777777" w:rsidR="00A00259" w:rsidRDefault="00371282">
            <w:pPr>
              <w:pStyle w:val="P68B1DB1-Normal12"/>
              <w:spacing w:after="0" w:line="240" w:lineRule="auto"/>
              <w:rPr>
                <w:rFonts w:eastAsia="Times New Roman"/>
                <w:noProof/>
              </w:rPr>
            </w:pPr>
            <w:r>
              <w:rPr>
                <w:noProof/>
              </w:rPr>
              <w:t>2025</w:t>
            </w:r>
          </w:p>
        </w:tc>
        <w:tc>
          <w:tcPr>
            <w:tcW w:w="4761" w:type="dxa"/>
            <w:shd w:val="clear" w:color="auto" w:fill="C6EFCE"/>
            <w:noWrap/>
            <w:hideMark/>
          </w:tcPr>
          <w:p w14:paraId="6FC2370B" w14:textId="77777777" w:rsidR="00A00259" w:rsidRDefault="00371282">
            <w:pPr>
              <w:pStyle w:val="P68B1DB1-Normal12"/>
              <w:spacing w:after="0" w:line="240" w:lineRule="auto"/>
              <w:rPr>
                <w:noProof/>
              </w:rPr>
            </w:pPr>
            <w:r>
              <w:rPr>
                <w:noProof/>
              </w:rPr>
              <w:t xml:space="preserve">Mise en place de programmes de formation sur les compétences numériques, vertes et financières pour 350 000 participants et validation et certification des compétences acquises. </w:t>
            </w:r>
          </w:p>
          <w:p w14:paraId="08C6894D" w14:textId="77777777" w:rsidR="00A00259" w:rsidRDefault="00A00259">
            <w:pPr>
              <w:spacing w:after="0" w:line="240" w:lineRule="auto"/>
              <w:rPr>
                <w:rFonts w:ascii="Times New Roman" w:eastAsia="Times New Roman" w:hAnsi="Times New Roman" w:cs="Times New Roman"/>
                <w:noProof/>
                <w:color w:val="006100"/>
                <w:sz w:val="18"/>
                <w:szCs w:val="18"/>
              </w:rPr>
            </w:pPr>
          </w:p>
          <w:p w14:paraId="54EF48EA" w14:textId="6627ABE9" w:rsidR="00A00259" w:rsidRDefault="00371282">
            <w:pPr>
              <w:pStyle w:val="P68B1DB1-Normal12"/>
              <w:spacing w:after="0" w:line="240" w:lineRule="auto"/>
              <w:rPr>
                <w:noProof/>
              </w:rPr>
            </w:pPr>
            <w:r>
              <w:rPr>
                <w:noProof/>
              </w:rPr>
              <w:t xml:space="preserve">Sur le nombre total de participants au titre de cette mesure, au moins 33 % (165 000 participants sur 500 000 participants) ont mené des programmes de formation liés aux compétences et aux emplois verts dans l’économie verte. </w:t>
            </w:r>
          </w:p>
        </w:tc>
      </w:tr>
      <w:tr w:rsidR="00A00259" w14:paraId="76202E20" w14:textId="77777777">
        <w:trPr>
          <w:trHeight w:val="1693"/>
          <w:jc w:val="center"/>
        </w:trPr>
        <w:tc>
          <w:tcPr>
            <w:tcW w:w="536" w:type="dxa"/>
            <w:shd w:val="clear" w:color="auto" w:fill="C6EFCE"/>
            <w:noWrap/>
          </w:tcPr>
          <w:p w14:paraId="27DD4611" w14:textId="77777777" w:rsidR="00A00259" w:rsidRDefault="00371282">
            <w:pPr>
              <w:pStyle w:val="P68B1DB1-Normal12"/>
              <w:spacing w:after="0" w:line="240" w:lineRule="auto"/>
              <w:rPr>
                <w:noProof/>
              </w:rPr>
            </w:pPr>
            <w:r>
              <w:rPr>
                <w:noProof/>
              </w:rPr>
              <w:t>143</w:t>
            </w:r>
          </w:p>
        </w:tc>
        <w:tc>
          <w:tcPr>
            <w:tcW w:w="2203" w:type="dxa"/>
            <w:shd w:val="clear" w:color="auto" w:fill="C6EFCE"/>
            <w:noWrap/>
          </w:tcPr>
          <w:p w14:paraId="6ED5C507" w14:textId="77777777" w:rsidR="00A00259" w:rsidRDefault="00371282">
            <w:pPr>
              <w:pStyle w:val="P68B1DB1-Normal12"/>
              <w:spacing w:after="0" w:line="240" w:lineRule="auto"/>
              <w:rPr>
                <w:noProof/>
              </w:rPr>
            </w:pPr>
            <w:r>
              <w:rPr>
                <w:noProof/>
              </w:rPr>
              <w:t>9 - 3.2. Éducation, enseignement et formation professionnels et compétences - 16792_Formation, reconversion et perfectionnement professionnels de la main-d'œuvre grâce à un modèle de formation réformé (enseignement et formation professionnels; réforme de la formation)</w:t>
            </w:r>
          </w:p>
        </w:tc>
        <w:tc>
          <w:tcPr>
            <w:tcW w:w="1043" w:type="dxa"/>
            <w:shd w:val="clear" w:color="auto" w:fill="C6EFCE"/>
            <w:noWrap/>
          </w:tcPr>
          <w:p w14:paraId="19F488FE" w14:textId="77777777" w:rsidR="00A00259" w:rsidRDefault="00371282">
            <w:pPr>
              <w:pStyle w:val="P68B1DB1-Normal12"/>
              <w:spacing w:after="0" w:line="240" w:lineRule="auto"/>
              <w:rPr>
                <w:noProof/>
              </w:rPr>
            </w:pPr>
            <w:r>
              <w:rPr>
                <w:noProof/>
              </w:rPr>
              <w:t>Étape</w:t>
            </w:r>
          </w:p>
        </w:tc>
        <w:tc>
          <w:tcPr>
            <w:tcW w:w="1142" w:type="dxa"/>
            <w:shd w:val="clear" w:color="auto" w:fill="C6EFCE"/>
            <w:noWrap/>
          </w:tcPr>
          <w:p w14:paraId="55383E08" w14:textId="77777777" w:rsidR="00A00259" w:rsidRDefault="00371282">
            <w:pPr>
              <w:pStyle w:val="P68B1DB1-Normal12"/>
              <w:spacing w:after="0" w:line="240" w:lineRule="auto"/>
              <w:rPr>
                <w:noProof/>
              </w:rPr>
            </w:pPr>
            <w:r>
              <w:rPr>
                <w:noProof/>
              </w:rPr>
              <w:t>Attribution du contrat relatif au système de contrôle de la qualité de l’EFP</w:t>
            </w:r>
          </w:p>
        </w:tc>
        <w:tc>
          <w:tcPr>
            <w:tcW w:w="1459" w:type="dxa"/>
            <w:shd w:val="clear" w:color="auto" w:fill="C6EFCE"/>
            <w:noWrap/>
          </w:tcPr>
          <w:p w14:paraId="69B096DD" w14:textId="77777777" w:rsidR="00A00259" w:rsidRDefault="00371282">
            <w:pPr>
              <w:pStyle w:val="P68B1DB1-Normal12"/>
              <w:spacing w:after="0" w:line="240" w:lineRule="auto"/>
              <w:rPr>
                <w:noProof/>
              </w:rPr>
            </w:pPr>
            <w:r>
              <w:rPr>
                <w:noProof/>
              </w:rPr>
              <w:t>Notification de l'attribution du marché</w:t>
            </w:r>
          </w:p>
        </w:tc>
        <w:tc>
          <w:tcPr>
            <w:tcW w:w="1332" w:type="dxa"/>
            <w:shd w:val="clear" w:color="auto" w:fill="C6EFCE"/>
            <w:noWrap/>
          </w:tcPr>
          <w:p w14:paraId="369893F2" w14:textId="77777777" w:rsidR="00A00259" w:rsidRDefault="00A00259">
            <w:pPr>
              <w:spacing w:after="0" w:line="240" w:lineRule="auto"/>
              <w:rPr>
                <w:rFonts w:ascii="Times New Roman" w:hAnsi="Times New Roman" w:cs="Times New Roman"/>
                <w:noProof/>
                <w:color w:val="006100"/>
                <w:sz w:val="18"/>
                <w:szCs w:val="18"/>
              </w:rPr>
            </w:pPr>
          </w:p>
        </w:tc>
        <w:tc>
          <w:tcPr>
            <w:tcW w:w="870" w:type="dxa"/>
            <w:shd w:val="clear" w:color="auto" w:fill="C6EFCE"/>
            <w:noWrap/>
          </w:tcPr>
          <w:p w14:paraId="167087D4" w14:textId="77777777" w:rsidR="00A00259" w:rsidRDefault="00A00259">
            <w:pPr>
              <w:spacing w:after="0" w:line="240" w:lineRule="auto"/>
              <w:rPr>
                <w:rFonts w:ascii="Times New Roman" w:hAnsi="Times New Roman" w:cs="Times New Roman"/>
                <w:noProof/>
                <w:color w:val="006100"/>
                <w:sz w:val="18"/>
                <w:szCs w:val="18"/>
              </w:rPr>
            </w:pPr>
          </w:p>
        </w:tc>
        <w:tc>
          <w:tcPr>
            <w:tcW w:w="998" w:type="dxa"/>
            <w:shd w:val="clear" w:color="auto" w:fill="C6EFCE"/>
            <w:noWrap/>
          </w:tcPr>
          <w:p w14:paraId="76178C7B" w14:textId="77777777" w:rsidR="00A00259" w:rsidRDefault="00A00259">
            <w:pPr>
              <w:spacing w:after="0" w:line="240" w:lineRule="auto"/>
              <w:rPr>
                <w:rFonts w:ascii="Times New Roman" w:hAnsi="Times New Roman" w:cs="Times New Roman"/>
                <w:noProof/>
                <w:color w:val="006100"/>
                <w:sz w:val="18"/>
                <w:szCs w:val="18"/>
              </w:rPr>
            </w:pPr>
          </w:p>
        </w:tc>
        <w:tc>
          <w:tcPr>
            <w:tcW w:w="850" w:type="dxa"/>
            <w:shd w:val="clear" w:color="auto" w:fill="C6EFCE"/>
            <w:noWrap/>
          </w:tcPr>
          <w:p w14:paraId="00753AEE" w14:textId="77777777" w:rsidR="00A00259" w:rsidRDefault="00371282">
            <w:pPr>
              <w:pStyle w:val="P68B1DB1-Normal12"/>
              <w:spacing w:after="0" w:line="240" w:lineRule="auto"/>
              <w:rPr>
                <w:noProof/>
              </w:rPr>
            </w:pPr>
            <w:r>
              <w:rPr>
                <w:noProof/>
              </w:rPr>
              <w:t>T2</w:t>
            </w:r>
          </w:p>
        </w:tc>
        <w:tc>
          <w:tcPr>
            <w:tcW w:w="709" w:type="dxa"/>
            <w:shd w:val="clear" w:color="auto" w:fill="C6EFCE"/>
            <w:noWrap/>
          </w:tcPr>
          <w:p w14:paraId="2C6273D6" w14:textId="77777777" w:rsidR="00A00259" w:rsidRDefault="00371282">
            <w:pPr>
              <w:pStyle w:val="P68B1DB1-Normal12"/>
              <w:spacing w:after="0" w:line="240" w:lineRule="auto"/>
              <w:rPr>
                <w:noProof/>
              </w:rPr>
            </w:pPr>
            <w:r>
              <w:rPr>
                <w:noProof/>
              </w:rPr>
              <w:t>2023</w:t>
            </w:r>
          </w:p>
        </w:tc>
        <w:tc>
          <w:tcPr>
            <w:tcW w:w="4761" w:type="dxa"/>
            <w:shd w:val="clear" w:color="auto" w:fill="C6EFCE"/>
            <w:noWrap/>
          </w:tcPr>
          <w:p w14:paraId="58029522" w14:textId="77777777" w:rsidR="00A00259" w:rsidRDefault="00371282">
            <w:pPr>
              <w:pStyle w:val="P68B1DB1-Normal12"/>
              <w:spacing w:after="0" w:line="240" w:lineRule="auto"/>
              <w:rPr>
                <w:noProof/>
              </w:rPr>
            </w:pPr>
            <w:r>
              <w:rPr>
                <w:noProof/>
              </w:rPr>
              <w:t>L’attribution du marché pour le système de contrôle de la qualité de l’enseignement et de la formation professionnels (EFP) visait à améliorer le contrôle de la qualité des unités de formation professionnelle de l’Organisation hellénique pour l’emploi de la main-d’œuvre (DYPA), principalement en évaluant ses résultats et en suivant les progrès et les performances des stagiaires sur le marché du travail.</w:t>
            </w:r>
          </w:p>
        </w:tc>
      </w:tr>
      <w:tr w:rsidR="00A00259" w14:paraId="23FC0F70" w14:textId="77777777">
        <w:trPr>
          <w:trHeight w:val="1253"/>
          <w:jc w:val="center"/>
        </w:trPr>
        <w:tc>
          <w:tcPr>
            <w:tcW w:w="536" w:type="dxa"/>
            <w:shd w:val="clear" w:color="auto" w:fill="C6EFCE"/>
            <w:noWrap/>
          </w:tcPr>
          <w:p w14:paraId="6F95CA37" w14:textId="77777777" w:rsidR="00A00259" w:rsidRDefault="00371282">
            <w:pPr>
              <w:pStyle w:val="P68B1DB1-Normal12"/>
              <w:spacing w:after="0" w:line="240" w:lineRule="auto"/>
              <w:rPr>
                <w:noProof/>
              </w:rPr>
            </w:pPr>
            <w:r>
              <w:rPr>
                <w:noProof/>
              </w:rPr>
              <w:t>145 bis</w:t>
            </w:r>
          </w:p>
        </w:tc>
        <w:tc>
          <w:tcPr>
            <w:tcW w:w="2203" w:type="dxa"/>
            <w:shd w:val="clear" w:color="auto" w:fill="C6EFCE"/>
            <w:noWrap/>
          </w:tcPr>
          <w:p w14:paraId="607B8163" w14:textId="77777777" w:rsidR="00A00259" w:rsidRDefault="00371282">
            <w:pPr>
              <w:pStyle w:val="P68B1DB1-Normal12"/>
              <w:spacing w:after="0" w:line="240" w:lineRule="auto"/>
              <w:rPr>
                <w:noProof/>
              </w:rPr>
            </w:pPr>
            <w:r>
              <w:rPr>
                <w:noProof/>
              </w:rPr>
              <w:t xml:space="preserve">9 - 3.2. Éducation, enseignement et formation professionnels et compétences - 16794_Renforcement du système d'apprentissage </w:t>
            </w:r>
          </w:p>
        </w:tc>
        <w:tc>
          <w:tcPr>
            <w:tcW w:w="1043" w:type="dxa"/>
            <w:shd w:val="clear" w:color="auto" w:fill="C6EFCE"/>
            <w:noWrap/>
          </w:tcPr>
          <w:p w14:paraId="7D1F91E5" w14:textId="77777777" w:rsidR="00A00259" w:rsidRDefault="00371282">
            <w:pPr>
              <w:pStyle w:val="P68B1DB1-Normal12"/>
              <w:spacing w:after="0" w:line="240" w:lineRule="auto"/>
              <w:rPr>
                <w:noProof/>
              </w:rPr>
            </w:pPr>
            <w:r>
              <w:rPr>
                <w:noProof/>
              </w:rPr>
              <w:t>Étape</w:t>
            </w:r>
          </w:p>
        </w:tc>
        <w:tc>
          <w:tcPr>
            <w:tcW w:w="1142" w:type="dxa"/>
            <w:shd w:val="clear" w:color="auto" w:fill="C6EFCE"/>
            <w:noWrap/>
          </w:tcPr>
          <w:p w14:paraId="3F2D03B7" w14:textId="77777777" w:rsidR="00A00259" w:rsidRDefault="00371282">
            <w:pPr>
              <w:pStyle w:val="P68B1DB1-Normal12"/>
              <w:spacing w:after="0" w:line="240" w:lineRule="auto"/>
              <w:rPr>
                <w:noProof/>
              </w:rPr>
            </w:pPr>
            <w:r>
              <w:rPr>
                <w:noProof/>
              </w:rPr>
              <w:t>Cadre juridique Système national d'EFP</w:t>
            </w:r>
          </w:p>
        </w:tc>
        <w:tc>
          <w:tcPr>
            <w:tcW w:w="1459" w:type="dxa"/>
            <w:shd w:val="clear" w:color="auto" w:fill="C6EFCE"/>
            <w:noWrap/>
          </w:tcPr>
          <w:p w14:paraId="3CF45155" w14:textId="77777777" w:rsidR="00A00259" w:rsidRDefault="00371282">
            <w:pPr>
              <w:pStyle w:val="P68B1DB1-Normal12"/>
              <w:spacing w:after="0" w:line="240" w:lineRule="auto"/>
              <w:rPr>
                <w:noProof/>
              </w:rPr>
            </w:pPr>
            <w:r>
              <w:rPr>
                <w:noProof/>
              </w:rPr>
              <w:t>Entrée en vigueur de la législation</w:t>
            </w:r>
          </w:p>
        </w:tc>
        <w:tc>
          <w:tcPr>
            <w:tcW w:w="1332" w:type="dxa"/>
            <w:shd w:val="clear" w:color="auto" w:fill="C6EFCE"/>
            <w:noWrap/>
          </w:tcPr>
          <w:p w14:paraId="03E0F928" w14:textId="77777777" w:rsidR="00A00259" w:rsidRDefault="00A00259">
            <w:pPr>
              <w:spacing w:after="0" w:line="240" w:lineRule="auto"/>
              <w:rPr>
                <w:rFonts w:ascii="Times New Roman" w:hAnsi="Times New Roman" w:cs="Times New Roman"/>
                <w:noProof/>
                <w:color w:val="006100"/>
                <w:sz w:val="18"/>
                <w:szCs w:val="18"/>
              </w:rPr>
            </w:pPr>
          </w:p>
        </w:tc>
        <w:tc>
          <w:tcPr>
            <w:tcW w:w="870" w:type="dxa"/>
            <w:shd w:val="clear" w:color="auto" w:fill="C6EFCE"/>
            <w:noWrap/>
          </w:tcPr>
          <w:p w14:paraId="68C32DC0" w14:textId="77777777" w:rsidR="00A00259" w:rsidRDefault="00A00259">
            <w:pPr>
              <w:spacing w:after="0" w:line="240" w:lineRule="auto"/>
              <w:rPr>
                <w:rFonts w:ascii="Times New Roman" w:hAnsi="Times New Roman" w:cs="Times New Roman"/>
                <w:noProof/>
                <w:color w:val="006100"/>
                <w:sz w:val="18"/>
                <w:szCs w:val="18"/>
              </w:rPr>
            </w:pPr>
          </w:p>
        </w:tc>
        <w:tc>
          <w:tcPr>
            <w:tcW w:w="998" w:type="dxa"/>
            <w:shd w:val="clear" w:color="auto" w:fill="C6EFCE"/>
            <w:noWrap/>
          </w:tcPr>
          <w:p w14:paraId="22BEFDC3" w14:textId="77777777" w:rsidR="00A00259" w:rsidRDefault="00A00259">
            <w:pPr>
              <w:spacing w:after="0" w:line="240" w:lineRule="auto"/>
              <w:rPr>
                <w:rFonts w:ascii="Times New Roman" w:hAnsi="Times New Roman" w:cs="Times New Roman"/>
                <w:noProof/>
                <w:color w:val="006100"/>
                <w:sz w:val="18"/>
                <w:szCs w:val="18"/>
              </w:rPr>
            </w:pPr>
          </w:p>
        </w:tc>
        <w:tc>
          <w:tcPr>
            <w:tcW w:w="850" w:type="dxa"/>
            <w:shd w:val="clear" w:color="auto" w:fill="C6EFCE"/>
            <w:noWrap/>
          </w:tcPr>
          <w:p w14:paraId="1419E19B" w14:textId="77777777" w:rsidR="00A00259" w:rsidRDefault="00371282">
            <w:pPr>
              <w:pStyle w:val="P68B1DB1-Normal12"/>
              <w:spacing w:after="0" w:line="240" w:lineRule="auto"/>
              <w:rPr>
                <w:noProof/>
              </w:rPr>
            </w:pPr>
            <w:r>
              <w:rPr>
                <w:noProof/>
              </w:rPr>
              <w:t>T4</w:t>
            </w:r>
          </w:p>
        </w:tc>
        <w:tc>
          <w:tcPr>
            <w:tcW w:w="709" w:type="dxa"/>
            <w:shd w:val="clear" w:color="auto" w:fill="C6EFCE"/>
            <w:noWrap/>
          </w:tcPr>
          <w:p w14:paraId="3FF0C0E3" w14:textId="77777777" w:rsidR="00A00259" w:rsidRDefault="00371282">
            <w:pPr>
              <w:pStyle w:val="P68B1DB1-Normal12"/>
              <w:spacing w:after="0" w:line="240" w:lineRule="auto"/>
              <w:rPr>
                <w:noProof/>
              </w:rPr>
            </w:pPr>
            <w:r>
              <w:rPr>
                <w:noProof/>
              </w:rPr>
              <w:t>2024</w:t>
            </w:r>
          </w:p>
        </w:tc>
        <w:tc>
          <w:tcPr>
            <w:tcW w:w="4761" w:type="dxa"/>
            <w:shd w:val="clear" w:color="auto" w:fill="C6EFCE"/>
            <w:noWrap/>
          </w:tcPr>
          <w:p w14:paraId="1224AC8B" w14:textId="77777777" w:rsidR="00A00259" w:rsidRDefault="00371282">
            <w:pPr>
              <w:pStyle w:val="P68B1DB1-Normal12"/>
              <w:spacing w:after="0" w:line="240" w:lineRule="auto"/>
              <w:rPr>
                <w:noProof/>
              </w:rPr>
            </w:pPr>
            <w:r>
              <w:rPr>
                <w:noProof/>
              </w:rPr>
              <w:t>Entrée en vigueur d’une loi sur le système national d’EFP.</w:t>
            </w:r>
          </w:p>
        </w:tc>
      </w:tr>
      <w:tr w:rsidR="00A00259" w14:paraId="7B6D9EE7" w14:textId="77777777">
        <w:trPr>
          <w:trHeight w:val="1973"/>
          <w:jc w:val="center"/>
        </w:trPr>
        <w:tc>
          <w:tcPr>
            <w:tcW w:w="536" w:type="dxa"/>
            <w:shd w:val="clear" w:color="auto" w:fill="C6EFCE"/>
            <w:noWrap/>
          </w:tcPr>
          <w:p w14:paraId="507F3812" w14:textId="77777777" w:rsidR="00A00259" w:rsidRDefault="00371282">
            <w:pPr>
              <w:pStyle w:val="P68B1DB1-Normal12"/>
              <w:spacing w:after="0" w:line="240" w:lineRule="auto"/>
              <w:rPr>
                <w:noProof/>
              </w:rPr>
            </w:pPr>
            <w:r>
              <w:rPr>
                <w:noProof/>
              </w:rPr>
              <w:t>146</w:t>
            </w:r>
          </w:p>
        </w:tc>
        <w:tc>
          <w:tcPr>
            <w:tcW w:w="2203" w:type="dxa"/>
            <w:shd w:val="clear" w:color="auto" w:fill="C6EFCE"/>
            <w:noWrap/>
          </w:tcPr>
          <w:p w14:paraId="3B96DD30" w14:textId="77777777" w:rsidR="00A00259" w:rsidRDefault="00371282">
            <w:pPr>
              <w:pStyle w:val="P68B1DB1-Normal12"/>
              <w:spacing w:after="0" w:line="240" w:lineRule="auto"/>
              <w:rPr>
                <w:noProof/>
              </w:rPr>
            </w:pPr>
            <w:r>
              <w:rPr>
                <w:noProof/>
              </w:rPr>
              <w:t>9 - 3.2. Éducation, enseignement et formation professionnels et compétences - 16792_Formation, reconversion et perfectionnement professionnels de la main-d'œuvre grâce à un modèle de formation réformé (enseignement et formation professionnels; réforme de la formation)</w:t>
            </w:r>
          </w:p>
        </w:tc>
        <w:tc>
          <w:tcPr>
            <w:tcW w:w="1043" w:type="dxa"/>
            <w:shd w:val="clear" w:color="auto" w:fill="C6EFCE"/>
            <w:noWrap/>
          </w:tcPr>
          <w:p w14:paraId="25B03B54" w14:textId="77777777" w:rsidR="00A00259" w:rsidRDefault="00371282">
            <w:pPr>
              <w:pStyle w:val="P68B1DB1-Normal12"/>
              <w:spacing w:after="0" w:line="240" w:lineRule="auto"/>
              <w:rPr>
                <w:noProof/>
              </w:rPr>
            </w:pPr>
            <w:r>
              <w:rPr>
                <w:noProof/>
              </w:rPr>
              <w:t>Étape</w:t>
            </w:r>
          </w:p>
        </w:tc>
        <w:tc>
          <w:tcPr>
            <w:tcW w:w="1142" w:type="dxa"/>
            <w:shd w:val="clear" w:color="auto" w:fill="C6EFCE"/>
            <w:noWrap/>
          </w:tcPr>
          <w:p w14:paraId="74E0C487" w14:textId="77777777" w:rsidR="00A00259" w:rsidRDefault="00371282">
            <w:pPr>
              <w:pStyle w:val="P68B1DB1-Normal12"/>
              <w:spacing w:after="0" w:line="240" w:lineRule="auto"/>
              <w:rPr>
                <w:rFonts w:eastAsia="Times New Roman"/>
                <w:noProof/>
              </w:rPr>
            </w:pPr>
            <w:r>
              <w:rPr>
                <w:noProof/>
              </w:rPr>
              <w:t>système de contrôle de la qualité de l’EFP,</w:t>
            </w:r>
          </w:p>
          <w:p w14:paraId="6DE06607" w14:textId="77777777" w:rsidR="00A00259" w:rsidRDefault="00371282">
            <w:pPr>
              <w:pStyle w:val="P68B1DB1-Normal12"/>
              <w:spacing w:after="0" w:line="240" w:lineRule="auto"/>
              <w:rPr>
                <w:noProof/>
              </w:rPr>
            </w:pPr>
            <w:r>
              <w:rPr>
                <w:noProof/>
              </w:rPr>
              <w:t>mise en œuvre de programmes de formation sectoriels</w:t>
            </w:r>
          </w:p>
        </w:tc>
        <w:tc>
          <w:tcPr>
            <w:tcW w:w="1459" w:type="dxa"/>
            <w:shd w:val="clear" w:color="auto" w:fill="C6EFCE"/>
            <w:noWrap/>
          </w:tcPr>
          <w:p w14:paraId="54B70577" w14:textId="77777777" w:rsidR="00A00259" w:rsidRDefault="00371282">
            <w:pPr>
              <w:pStyle w:val="P68B1DB1-Normal12"/>
              <w:spacing w:after="0" w:line="240" w:lineRule="auto"/>
              <w:rPr>
                <w:noProof/>
              </w:rPr>
            </w:pPr>
            <w:r>
              <w:rPr>
                <w:noProof/>
              </w:rPr>
              <w:t xml:space="preserve">Réalisation des projets a et b </w:t>
            </w:r>
          </w:p>
        </w:tc>
        <w:tc>
          <w:tcPr>
            <w:tcW w:w="1332" w:type="dxa"/>
            <w:shd w:val="clear" w:color="auto" w:fill="C6EFCE"/>
            <w:noWrap/>
          </w:tcPr>
          <w:p w14:paraId="0C5987DE" w14:textId="77777777" w:rsidR="00A00259" w:rsidRDefault="00A00259">
            <w:pPr>
              <w:spacing w:after="0" w:line="240" w:lineRule="auto"/>
              <w:rPr>
                <w:rFonts w:ascii="Times New Roman" w:hAnsi="Times New Roman" w:cs="Times New Roman"/>
                <w:noProof/>
                <w:color w:val="006100"/>
                <w:sz w:val="18"/>
                <w:szCs w:val="18"/>
              </w:rPr>
            </w:pPr>
          </w:p>
        </w:tc>
        <w:tc>
          <w:tcPr>
            <w:tcW w:w="870" w:type="dxa"/>
            <w:shd w:val="clear" w:color="auto" w:fill="C6EFCE"/>
            <w:noWrap/>
          </w:tcPr>
          <w:p w14:paraId="61BDF6C2" w14:textId="77777777" w:rsidR="00A00259" w:rsidRDefault="00A00259">
            <w:pPr>
              <w:spacing w:after="0" w:line="240" w:lineRule="auto"/>
              <w:rPr>
                <w:rFonts w:ascii="Times New Roman" w:hAnsi="Times New Roman" w:cs="Times New Roman"/>
                <w:noProof/>
                <w:color w:val="006100"/>
                <w:sz w:val="18"/>
                <w:szCs w:val="18"/>
              </w:rPr>
            </w:pPr>
          </w:p>
        </w:tc>
        <w:tc>
          <w:tcPr>
            <w:tcW w:w="998" w:type="dxa"/>
            <w:shd w:val="clear" w:color="auto" w:fill="C6EFCE"/>
            <w:noWrap/>
          </w:tcPr>
          <w:p w14:paraId="4FB069A3" w14:textId="77777777" w:rsidR="00A00259" w:rsidRDefault="00A00259">
            <w:pPr>
              <w:spacing w:after="0" w:line="240" w:lineRule="auto"/>
              <w:rPr>
                <w:rFonts w:ascii="Times New Roman" w:hAnsi="Times New Roman" w:cs="Times New Roman"/>
                <w:noProof/>
                <w:color w:val="006100"/>
                <w:sz w:val="18"/>
                <w:szCs w:val="18"/>
              </w:rPr>
            </w:pPr>
          </w:p>
        </w:tc>
        <w:tc>
          <w:tcPr>
            <w:tcW w:w="850" w:type="dxa"/>
            <w:shd w:val="clear" w:color="auto" w:fill="C6EFCE"/>
            <w:noWrap/>
          </w:tcPr>
          <w:p w14:paraId="3DD1610A" w14:textId="77777777" w:rsidR="00A00259" w:rsidRDefault="00371282">
            <w:pPr>
              <w:pStyle w:val="P68B1DB1-Normal12"/>
              <w:spacing w:after="0" w:line="240" w:lineRule="auto"/>
              <w:rPr>
                <w:noProof/>
              </w:rPr>
            </w:pPr>
            <w:r>
              <w:rPr>
                <w:noProof/>
              </w:rPr>
              <w:t>T4</w:t>
            </w:r>
          </w:p>
        </w:tc>
        <w:tc>
          <w:tcPr>
            <w:tcW w:w="709" w:type="dxa"/>
            <w:shd w:val="clear" w:color="auto" w:fill="C6EFCE"/>
            <w:noWrap/>
          </w:tcPr>
          <w:p w14:paraId="248499C5" w14:textId="77777777" w:rsidR="00A00259" w:rsidRDefault="00371282">
            <w:pPr>
              <w:pStyle w:val="P68B1DB1-Normal12"/>
              <w:spacing w:after="0" w:line="240" w:lineRule="auto"/>
              <w:rPr>
                <w:noProof/>
              </w:rPr>
            </w:pPr>
            <w:r>
              <w:rPr>
                <w:noProof/>
              </w:rPr>
              <w:t>2025</w:t>
            </w:r>
          </w:p>
        </w:tc>
        <w:tc>
          <w:tcPr>
            <w:tcW w:w="4761" w:type="dxa"/>
            <w:shd w:val="clear" w:color="auto" w:fill="C6EFCE"/>
            <w:noWrap/>
          </w:tcPr>
          <w:p w14:paraId="0E0BEBF1" w14:textId="77777777" w:rsidR="00A00259" w:rsidRDefault="00371282">
            <w:pPr>
              <w:pStyle w:val="P68B1DB1-Normal12"/>
              <w:spacing w:after="0" w:line="240" w:lineRule="auto"/>
              <w:rPr>
                <w:rFonts w:eastAsia="Times New Roman"/>
                <w:noProof/>
              </w:rPr>
            </w:pPr>
            <w:r>
              <w:rPr>
                <w:noProof/>
              </w:rPr>
              <w:t xml:space="preserve">Réalisation des projets suivants: </w:t>
            </w:r>
          </w:p>
          <w:p w14:paraId="7A673A10" w14:textId="77777777" w:rsidR="00A00259" w:rsidRDefault="00371282">
            <w:pPr>
              <w:pStyle w:val="P68B1DB1-Normal12"/>
              <w:spacing w:after="0" w:line="240" w:lineRule="auto"/>
              <w:rPr>
                <w:rFonts w:eastAsia="Times New Roman"/>
                <w:noProof/>
              </w:rPr>
            </w:pPr>
            <w:r>
              <w:rPr>
                <w:noProof/>
              </w:rPr>
              <w:t>a) Système de contrôle de la qualité de l'EFP de l'Organisation nationale pour l'emploi (DYPA)</w:t>
            </w:r>
          </w:p>
          <w:p w14:paraId="5062DAB8" w14:textId="59DB4280" w:rsidR="00A00259" w:rsidRDefault="00371282">
            <w:pPr>
              <w:pStyle w:val="P68B1DB1-paragraph37"/>
              <w:spacing w:before="0" w:beforeAutospacing="0" w:after="0" w:afterAutospacing="0"/>
              <w:rPr>
                <w:noProof/>
              </w:rPr>
            </w:pPr>
            <w:r>
              <w:rPr>
                <w:noProof/>
              </w:rPr>
              <w:t>b) Programmes sectoriels de formation professionnelle continue pour 20 880 participants et certification des compétences acquises confirmée par les certificats délivrés aux participants. </w:t>
            </w:r>
          </w:p>
        </w:tc>
      </w:tr>
    </w:tbl>
    <w:p w14:paraId="377610DC" w14:textId="77777777" w:rsidR="00A00259" w:rsidRDefault="00A00259">
      <w:pPr>
        <w:spacing w:before="120" w:after="120" w:line="240" w:lineRule="auto"/>
        <w:jc w:val="both"/>
        <w:rPr>
          <w:rFonts w:ascii="Times New Roman" w:hAnsi="Times New Roman" w:cs="Times New Roman"/>
          <w:noProof/>
          <w:sz w:val="24"/>
        </w:rPr>
      </w:pPr>
    </w:p>
    <w:p w14:paraId="47719506" w14:textId="77777777" w:rsidR="00A00259" w:rsidRDefault="00A00259">
      <w:pPr>
        <w:spacing w:before="120" w:after="120" w:line="240" w:lineRule="auto"/>
        <w:ind w:left="709"/>
        <w:jc w:val="both"/>
        <w:rPr>
          <w:rFonts w:ascii="Times New Roman" w:hAnsi="Times New Roman" w:cs="Times New Roman"/>
          <w:noProof/>
          <w:sz w:val="24"/>
          <w:szCs w:val="24"/>
        </w:rPr>
        <w:sectPr w:rsidR="00A00259">
          <w:headerReference w:type="even" r:id="rId192"/>
          <w:headerReference w:type="default" r:id="rId193"/>
          <w:footerReference w:type="even" r:id="rId194"/>
          <w:footerReference w:type="default" r:id="rId195"/>
          <w:headerReference w:type="first" r:id="rId196"/>
          <w:footerReference w:type="first" r:id="rId197"/>
          <w:pgSz w:w="16839" w:h="11907" w:orient="landscape"/>
          <w:pgMar w:top="1134" w:right="1134" w:bottom="1134" w:left="1134" w:header="567" w:footer="567" w:gutter="0"/>
          <w:cols w:space="720"/>
          <w:docGrid w:linePitch="360"/>
        </w:sectPr>
      </w:pPr>
    </w:p>
    <w:p w14:paraId="6B6EDD7F" w14:textId="77777777" w:rsidR="00A00259" w:rsidRDefault="00371282">
      <w:pPr>
        <w:pStyle w:val="P68B1DB1-Normal9"/>
        <w:keepNext/>
        <w:keepLines/>
        <w:spacing w:before="240" w:line="240" w:lineRule="auto"/>
        <w:jc w:val="both"/>
        <w:outlineLvl w:val="4"/>
        <w:rPr>
          <w:rFonts w:eastAsia="Times New Roman"/>
          <w:noProof/>
        </w:rPr>
      </w:pPr>
      <w:r>
        <w:rPr>
          <w:noProof/>
        </w:rPr>
        <w:t>Groupe 12: Ministère de l’éducation et des affaires religieuses – Réformes et investissements</w:t>
      </w:r>
    </w:p>
    <w:p w14:paraId="17343492" w14:textId="6135D1CC" w:rsidR="00A00259" w:rsidRDefault="00371282">
      <w:pPr>
        <w:pStyle w:val="P68B1DB1-Normal5"/>
        <w:numPr>
          <w:ilvl w:val="0"/>
          <w:numId w:val="44"/>
        </w:numPr>
        <w:spacing w:before="120" w:after="0" w:line="240" w:lineRule="auto"/>
        <w:jc w:val="both"/>
        <w:rPr>
          <w:rFonts w:cs="Times New Roman"/>
          <w:noProof/>
        </w:rPr>
      </w:pPr>
      <w:r>
        <w:rPr>
          <w:noProof/>
        </w:rPr>
        <w:t>Amélioration de l’enseignement et de la formation professionnels (EFP): Achat d’équipements de laboratoire pour les laboratoires des unités d’EFP (ID: 16933)</w:t>
      </w:r>
    </w:p>
    <w:p w14:paraId="48D17A03" w14:textId="77777777" w:rsidR="00A00259" w:rsidRDefault="00371282">
      <w:pPr>
        <w:pStyle w:val="P68B1DB1-Normal5"/>
        <w:numPr>
          <w:ilvl w:val="0"/>
          <w:numId w:val="44"/>
        </w:numPr>
        <w:spacing w:before="120" w:after="0" w:line="240" w:lineRule="auto"/>
        <w:jc w:val="both"/>
        <w:rPr>
          <w:rFonts w:cs="Times New Roman"/>
          <w:noProof/>
        </w:rPr>
      </w:pPr>
      <w:r>
        <w:rPr>
          <w:noProof/>
        </w:rPr>
        <w:t>Amélioration de l'enseignement et de la formation professionnels (ID: 16934)</w:t>
      </w:r>
    </w:p>
    <w:p w14:paraId="2742AF0A" w14:textId="77777777" w:rsidR="00A00259" w:rsidRDefault="00371282">
      <w:pPr>
        <w:pStyle w:val="P68B1DB1-Normal5"/>
        <w:numPr>
          <w:ilvl w:val="0"/>
          <w:numId w:val="44"/>
        </w:numPr>
        <w:spacing w:before="120" w:after="0" w:line="240" w:lineRule="auto"/>
        <w:jc w:val="both"/>
        <w:rPr>
          <w:rFonts w:cs="Times New Roman"/>
          <w:noProof/>
        </w:rPr>
      </w:pPr>
      <w:r>
        <w:rPr>
          <w:noProof/>
        </w:rPr>
        <w:t>Stratégie pour l'excellence dans les universités &amp; Innovation (ID: 16289)</w:t>
      </w:r>
    </w:p>
    <w:p w14:paraId="4441E654" w14:textId="77777777" w:rsidR="00A00259" w:rsidRDefault="00371282">
      <w:pPr>
        <w:pStyle w:val="P68B1DB1-Normal5"/>
        <w:numPr>
          <w:ilvl w:val="0"/>
          <w:numId w:val="44"/>
        </w:numPr>
        <w:spacing w:before="120" w:after="120" w:line="240" w:lineRule="auto"/>
        <w:jc w:val="both"/>
        <w:rPr>
          <w:rFonts w:cs="Times New Roman"/>
          <w:noProof/>
        </w:rPr>
      </w:pPr>
      <w:r>
        <w:rPr>
          <w:noProof/>
        </w:rPr>
        <w:t>Transformation numérique de l’éducation (ID: 16676)</w:t>
      </w:r>
    </w:p>
    <w:tbl>
      <w:tblPr>
        <w:tblW w:w="1601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6"/>
        <w:gridCol w:w="2557"/>
        <w:gridCol w:w="1172"/>
        <w:gridCol w:w="2047"/>
        <w:gridCol w:w="2222"/>
        <w:gridCol w:w="1154"/>
        <w:gridCol w:w="857"/>
        <w:gridCol w:w="771"/>
        <w:gridCol w:w="851"/>
        <w:gridCol w:w="720"/>
        <w:gridCol w:w="3002"/>
      </w:tblGrid>
      <w:tr w:rsidR="00A00259" w14:paraId="4789A0F6" w14:textId="77777777">
        <w:trPr>
          <w:trHeight w:val="939"/>
          <w:tblHeader/>
        </w:trPr>
        <w:tc>
          <w:tcPr>
            <w:tcW w:w="666" w:type="dxa"/>
            <w:vMerge w:val="restart"/>
            <w:shd w:val="clear" w:color="auto" w:fill="BDD7EE"/>
            <w:vAlign w:val="center"/>
            <w:hideMark/>
          </w:tcPr>
          <w:p w14:paraId="2F2DFA3C"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Seq. </w:t>
            </w:r>
            <w:r>
              <w:rPr>
                <w:noProof/>
              </w:rPr>
              <w:br/>
              <w:t>Non.</w:t>
            </w:r>
          </w:p>
        </w:tc>
        <w:tc>
          <w:tcPr>
            <w:tcW w:w="2557" w:type="dxa"/>
            <w:vMerge w:val="restart"/>
            <w:shd w:val="clear" w:color="auto" w:fill="BDD7EE"/>
            <w:vAlign w:val="center"/>
            <w:hideMark/>
          </w:tcPr>
          <w:p w14:paraId="11E5A1D9"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172" w:type="dxa"/>
            <w:vMerge w:val="restart"/>
            <w:shd w:val="clear" w:color="auto" w:fill="BDD7EE"/>
            <w:vAlign w:val="center"/>
            <w:hideMark/>
          </w:tcPr>
          <w:p w14:paraId="317EB156"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2047" w:type="dxa"/>
            <w:vMerge w:val="restart"/>
            <w:shd w:val="clear" w:color="auto" w:fill="BDD7EE"/>
            <w:vAlign w:val="center"/>
            <w:hideMark/>
          </w:tcPr>
          <w:p w14:paraId="64661039"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2222" w:type="dxa"/>
            <w:vMerge w:val="restart"/>
            <w:shd w:val="clear" w:color="auto" w:fill="BDD7EE"/>
            <w:vAlign w:val="center"/>
            <w:hideMark/>
          </w:tcPr>
          <w:p w14:paraId="3A894EB2"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2782" w:type="dxa"/>
            <w:gridSpan w:val="3"/>
            <w:shd w:val="clear" w:color="auto" w:fill="BDD7EE"/>
            <w:vAlign w:val="center"/>
            <w:hideMark/>
          </w:tcPr>
          <w:p w14:paraId="409CE366" w14:textId="77777777" w:rsidR="00A00259" w:rsidRDefault="00371282">
            <w:pPr>
              <w:pStyle w:val="P68B1DB1-Normal18"/>
              <w:spacing w:after="0" w:line="240" w:lineRule="auto"/>
              <w:jc w:val="center"/>
              <w:rPr>
                <w:rFonts w:ascii="Times New Roman" w:eastAsia="Times New Roman" w:hAnsi="Times New Roman" w:cs="Times New Roman"/>
                <w:bCs/>
                <w:noProof/>
                <w:szCs w:val="18"/>
              </w:rPr>
            </w:pPr>
            <w:r>
              <w:rPr>
                <w:rFonts w:ascii="Times New Roman" w:hAnsi="Times New Roman"/>
                <w:noProof/>
              </w:rPr>
              <w:t xml:space="preserve">Indicateurs quantitatifs </w:t>
            </w:r>
            <w:r>
              <w:rPr>
                <w:rFonts w:ascii="Times New Roman" w:hAnsi="Times New Roman" w:cs="Times New Roman"/>
                <w:noProof/>
                <w:szCs w:val="18"/>
              </w:rPr>
              <w:br/>
            </w:r>
            <w:r>
              <w:rPr>
                <w:rFonts w:ascii="Times New Roman" w:hAnsi="Times New Roman"/>
                <w:noProof/>
              </w:rPr>
              <w:t>(pour les objectifs)</w:t>
            </w:r>
          </w:p>
        </w:tc>
        <w:tc>
          <w:tcPr>
            <w:tcW w:w="1571" w:type="dxa"/>
            <w:gridSpan w:val="2"/>
            <w:shd w:val="clear" w:color="auto" w:fill="BDD7EE"/>
            <w:vAlign w:val="center"/>
            <w:hideMark/>
          </w:tcPr>
          <w:p w14:paraId="5DCC86A3"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3002" w:type="dxa"/>
            <w:vMerge w:val="restart"/>
            <w:shd w:val="clear" w:color="auto" w:fill="BDD7EE"/>
            <w:vAlign w:val="center"/>
            <w:hideMark/>
          </w:tcPr>
          <w:p w14:paraId="0A55F91B" w14:textId="77777777" w:rsidR="00A00259" w:rsidRDefault="00371282">
            <w:pPr>
              <w:pStyle w:val="P68B1DB1-Normal10"/>
              <w:spacing w:after="0" w:line="240" w:lineRule="auto"/>
              <w:jc w:val="center"/>
              <w:rPr>
                <w:rFonts w:eastAsia="Times New Roman" w:cs="Times New Roman"/>
                <w:bCs/>
                <w:noProof/>
                <w:szCs w:val="18"/>
              </w:rPr>
            </w:pPr>
            <w:r>
              <w:rPr>
                <w:noProof/>
              </w:rPr>
              <w:br/>
            </w:r>
            <w:r>
              <w:rPr>
                <w:noProof/>
              </w:rPr>
              <w:br/>
              <w:t>Description de chaque jalon et cible</w:t>
            </w:r>
          </w:p>
          <w:p w14:paraId="1F4224C7" w14:textId="77777777" w:rsidR="00A00259" w:rsidRDefault="00A00259">
            <w:pPr>
              <w:rPr>
                <w:rFonts w:ascii="Times New Roman" w:hAnsi="Times New Roman"/>
                <w:noProof/>
                <w:sz w:val="18"/>
              </w:rPr>
            </w:pPr>
          </w:p>
        </w:tc>
      </w:tr>
      <w:tr w:rsidR="00A00259" w14:paraId="7997F04F" w14:textId="77777777">
        <w:trPr>
          <w:trHeight w:val="320"/>
          <w:tblHeader/>
        </w:trPr>
        <w:tc>
          <w:tcPr>
            <w:tcW w:w="666" w:type="dxa"/>
            <w:vMerge/>
            <w:vAlign w:val="center"/>
            <w:hideMark/>
          </w:tcPr>
          <w:p w14:paraId="05F0DFD4" w14:textId="77777777" w:rsidR="00A00259" w:rsidRDefault="00A00259">
            <w:pPr>
              <w:spacing w:after="0" w:line="240" w:lineRule="auto"/>
              <w:rPr>
                <w:rFonts w:ascii="Times New Roman" w:eastAsia="Times New Roman" w:hAnsi="Times New Roman" w:cs="Times New Roman"/>
                <w:b/>
                <w:bCs/>
                <w:noProof/>
                <w:sz w:val="18"/>
                <w:szCs w:val="18"/>
              </w:rPr>
            </w:pPr>
          </w:p>
        </w:tc>
        <w:tc>
          <w:tcPr>
            <w:tcW w:w="2557" w:type="dxa"/>
            <w:vMerge/>
            <w:vAlign w:val="center"/>
            <w:hideMark/>
          </w:tcPr>
          <w:p w14:paraId="04C76F0F" w14:textId="77777777" w:rsidR="00A00259" w:rsidRDefault="00A00259">
            <w:pPr>
              <w:spacing w:after="0" w:line="240" w:lineRule="auto"/>
              <w:rPr>
                <w:rFonts w:ascii="Times New Roman" w:eastAsia="Times New Roman" w:hAnsi="Times New Roman" w:cs="Times New Roman"/>
                <w:b/>
                <w:bCs/>
                <w:noProof/>
                <w:sz w:val="18"/>
                <w:szCs w:val="18"/>
              </w:rPr>
            </w:pPr>
          </w:p>
        </w:tc>
        <w:tc>
          <w:tcPr>
            <w:tcW w:w="1172" w:type="dxa"/>
            <w:vMerge/>
            <w:vAlign w:val="center"/>
            <w:hideMark/>
          </w:tcPr>
          <w:p w14:paraId="71FC37E9" w14:textId="77777777" w:rsidR="00A00259" w:rsidRDefault="00A00259">
            <w:pPr>
              <w:spacing w:after="0" w:line="240" w:lineRule="auto"/>
              <w:rPr>
                <w:rFonts w:ascii="Times New Roman" w:eastAsia="Times New Roman" w:hAnsi="Times New Roman" w:cs="Times New Roman"/>
                <w:b/>
                <w:bCs/>
                <w:noProof/>
                <w:sz w:val="18"/>
                <w:szCs w:val="18"/>
              </w:rPr>
            </w:pPr>
          </w:p>
        </w:tc>
        <w:tc>
          <w:tcPr>
            <w:tcW w:w="2047" w:type="dxa"/>
            <w:vMerge/>
            <w:vAlign w:val="center"/>
            <w:hideMark/>
          </w:tcPr>
          <w:p w14:paraId="73F9DEF3" w14:textId="77777777" w:rsidR="00A00259" w:rsidRDefault="00A00259">
            <w:pPr>
              <w:spacing w:after="0" w:line="240" w:lineRule="auto"/>
              <w:rPr>
                <w:rFonts w:ascii="Times New Roman" w:eastAsia="Times New Roman" w:hAnsi="Times New Roman" w:cs="Times New Roman"/>
                <w:b/>
                <w:bCs/>
                <w:noProof/>
                <w:sz w:val="18"/>
                <w:szCs w:val="18"/>
              </w:rPr>
            </w:pPr>
          </w:p>
        </w:tc>
        <w:tc>
          <w:tcPr>
            <w:tcW w:w="2222" w:type="dxa"/>
            <w:vMerge/>
            <w:vAlign w:val="center"/>
            <w:hideMark/>
          </w:tcPr>
          <w:p w14:paraId="53EB137A" w14:textId="77777777" w:rsidR="00A00259" w:rsidRDefault="00A00259">
            <w:pPr>
              <w:spacing w:after="0" w:line="240" w:lineRule="auto"/>
              <w:rPr>
                <w:rFonts w:ascii="Times New Roman" w:eastAsia="Times New Roman" w:hAnsi="Times New Roman" w:cs="Times New Roman"/>
                <w:b/>
                <w:bCs/>
                <w:noProof/>
                <w:sz w:val="18"/>
                <w:szCs w:val="18"/>
              </w:rPr>
            </w:pPr>
          </w:p>
        </w:tc>
        <w:tc>
          <w:tcPr>
            <w:tcW w:w="1154" w:type="dxa"/>
            <w:shd w:val="clear" w:color="auto" w:fill="BDD7EE"/>
            <w:vAlign w:val="center"/>
            <w:hideMark/>
          </w:tcPr>
          <w:p w14:paraId="7C570B41"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857" w:type="dxa"/>
            <w:shd w:val="clear" w:color="auto" w:fill="BDD7EE"/>
            <w:vAlign w:val="center"/>
            <w:hideMark/>
          </w:tcPr>
          <w:p w14:paraId="3257B7F2"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771" w:type="dxa"/>
            <w:shd w:val="clear" w:color="auto" w:fill="BDD7EE"/>
            <w:vAlign w:val="center"/>
            <w:hideMark/>
          </w:tcPr>
          <w:p w14:paraId="6A389827"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851" w:type="dxa"/>
            <w:shd w:val="clear" w:color="auto" w:fill="BDD7EE"/>
            <w:vAlign w:val="center"/>
            <w:hideMark/>
          </w:tcPr>
          <w:p w14:paraId="1831F6D3"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720" w:type="dxa"/>
            <w:shd w:val="clear" w:color="auto" w:fill="BDD7EE"/>
            <w:vAlign w:val="center"/>
            <w:hideMark/>
          </w:tcPr>
          <w:p w14:paraId="4FD6AA48"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3002" w:type="dxa"/>
            <w:vMerge/>
            <w:vAlign w:val="center"/>
            <w:hideMark/>
          </w:tcPr>
          <w:p w14:paraId="794F7DBF"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0E70C692" w14:textId="77777777">
        <w:trPr>
          <w:trHeight w:val="313"/>
        </w:trPr>
        <w:tc>
          <w:tcPr>
            <w:tcW w:w="666" w:type="dxa"/>
            <w:shd w:val="clear" w:color="auto" w:fill="C6EFCE"/>
            <w:noWrap/>
          </w:tcPr>
          <w:p w14:paraId="54EB0481" w14:textId="77777777" w:rsidR="00A00259" w:rsidRDefault="00371282">
            <w:pPr>
              <w:pStyle w:val="P68B1DB1-Normal12"/>
              <w:spacing w:after="0" w:line="240" w:lineRule="auto"/>
              <w:rPr>
                <w:rFonts w:eastAsia="Times New Roman"/>
                <w:noProof/>
              </w:rPr>
            </w:pPr>
            <w:r>
              <w:rPr>
                <w:noProof/>
              </w:rPr>
              <w:t>147</w:t>
            </w:r>
          </w:p>
        </w:tc>
        <w:tc>
          <w:tcPr>
            <w:tcW w:w="2557" w:type="dxa"/>
            <w:shd w:val="clear" w:color="auto" w:fill="C6EFCE"/>
            <w:noWrap/>
          </w:tcPr>
          <w:p w14:paraId="5718A1CD" w14:textId="77777777" w:rsidR="00A00259" w:rsidRDefault="00371282">
            <w:pPr>
              <w:pStyle w:val="P68B1DB1-Normal12"/>
              <w:spacing w:after="0" w:line="240" w:lineRule="auto"/>
              <w:rPr>
                <w:rFonts w:eastAsia="Times New Roman"/>
                <w:noProof/>
              </w:rPr>
            </w:pPr>
            <w:r>
              <w:rPr>
                <w:noProof/>
              </w:rPr>
              <w:t>9 - 3.2. Éducation, enseignement et formation professionnels et compétences - 16289_Stratégie d'excellence dans les universités &amp; Innovation</w:t>
            </w:r>
          </w:p>
        </w:tc>
        <w:tc>
          <w:tcPr>
            <w:tcW w:w="1172" w:type="dxa"/>
            <w:shd w:val="clear" w:color="auto" w:fill="C6EFCE"/>
            <w:noWrap/>
          </w:tcPr>
          <w:p w14:paraId="6704269D" w14:textId="77777777" w:rsidR="00A00259" w:rsidRDefault="00371282">
            <w:pPr>
              <w:pStyle w:val="P68B1DB1-Normal12"/>
              <w:spacing w:after="0" w:line="240" w:lineRule="auto"/>
              <w:rPr>
                <w:rFonts w:eastAsia="Times New Roman"/>
                <w:noProof/>
              </w:rPr>
            </w:pPr>
            <w:r>
              <w:rPr>
                <w:noProof/>
              </w:rPr>
              <w:t>Étape</w:t>
            </w:r>
          </w:p>
        </w:tc>
        <w:tc>
          <w:tcPr>
            <w:tcW w:w="2047" w:type="dxa"/>
            <w:shd w:val="clear" w:color="auto" w:fill="C6EFCE"/>
            <w:noWrap/>
          </w:tcPr>
          <w:p w14:paraId="254A3984" w14:textId="77777777" w:rsidR="00A00259" w:rsidRDefault="00371282">
            <w:pPr>
              <w:pStyle w:val="P68B1DB1-Normal12"/>
              <w:spacing w:after="0" w:line="240" w:lineRule="auto"/>
              <w:rPr>
                <w:rFonts w:eastAsia="Times New Roman"/>
                <w:noProof/>
              </w:rPr>
            </w:pPr>
            <w:r>
              <w:rPr>
                <w:noProof/>
              </w:rPr>
              <w:t>Universités d'excellence et grappes d'excellence en recherche Décisions d'approbation</w:t>
            </w:r>
          </w:p>
        </w:tc>
        <w:tc>
          <w:tcPr>
            <w:tcW w:w="2222" w:type="dxa"/>
            <w:shd w:val="clear" w:color="auto" w:fill="C6EFCE"/>
            <w:noWrap/>
          </w:tcPr>
          <w:p w14:paraId="2B8D46AF" w14:textId="77777777" w:rsidR="00A00259" w:rsidRDefault="00371282">
            <w:pPr>
              <w:pStyle w:val="P68B1DB1-Normal16"/>
              <w:spacing w:after="0" w:line="240" w:lineRule="auto"/>
              <w:rPr>
                <w:rFonts w:eastAsia="Times New Roman"/>
                <w:noProof/>
                <w:color w:val="006100"/>
              </w:rPr>
            </w:pPr>
            <w:r>
              <w:rPr>
                <w:noProof/>
                <w:color w:val="006100"/>
              </w:rPr>
              <w:t>Publication des décisions d'approbation par le Ministère de l'éducation, des affaires religieuses et des sports</w:t>
            </w:r>
          </w:p>
        </w:tc>
        <w:tc>
          <w:tcPr>
            <w:tcW w:w="1154" w:type="dxa"/>
            <w:shd w:val="clear" w:color="auto" w:fill="C6EFCE"/>
            <w:noWrap/>
          </w:tcPr>
          <w:p w14:paraId="65DD773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7C33A2C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71" w:type="dxa"/>
            <w:shd w:val="clear" w:color="auto" w:fill="C6EFCE"/>
            <w:noWrap/>
          </w:tcPr>
          <w:p w14:paraId="63F829F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426EF72B" w14:textId="77777777" w:rsidR="00A00259" w:rsidRDefault="00371282">
            <w:pPr>
              <w:pStyle w:val="P68B1DB1-Normal12"/>
              <w:spacing w:after="0" w:line="240" w:lineRule="auto"/>
              <w:rPr>
                <w:rFonts w:eastAsia="Times New Roman"/>
                <w:noProof/>
              </w:rPr>
            </w:pPr>
            <w:r>
              <w:rPr>
                <w:noProof/>
              </w:rPr>
              <w:t>T4</w:t>
            </w:r>
          </w:p>
        </w:tc>
        <w:tc>
          <w:tcPr>
            <w:tcW w:w="720" w:type="dxa"/>
            <w:shd w:val="clear" w:color="auto" w:fill="C6EFCE"/>
            <w:noWrap/>
          </w:tcPr>
          <w:p w14:paraId="360D11ED" w14:textId="77777777" w:rsidR="00A00259" w:rsidRDefault="00371282">
            <w:pPr>
              <w:pStyle w:val="P68B1DB1-Normal12"/>
              <w:spacing w:after="0" w:line="240" w:lineRule="auto"/>
              <w:rPr>
                <w:rFonts w:eastAsia="Times New Roman"/>
                <w:noProof/>
              </w:rPr>
            </w:pPr>
            <w:r>
              <w:rPr>
                <w:noProof/>
              </w:rPr>
              <w:t>2023</w:t>
            </w:r>
          </w:p>
        </w:tc>
        <w:tc>
          <w:tcPr>
            <w:tcW w:w="3002" w:type="dxa"/>
            <w:shd w:val="clear" w:color="auto" w:fill="C6EFCE"/>
            <w:noWrap/>
          </w:tcPr>
          <w:p w14:paraId="2E757AC1" w14:textId="77777777" w:rsidR="00A00259" w:rsidRDefault="00371282">
            <w:pPr>
              <w:pStyle w:val="P68B1DB1-Normal12"/>
              <w:spacing w:after="0" w:line="240" w:lineRule="auto"/>
              <w:rPr>
                <w:rFonts w:eastAsia="Times New Roman"/>
                <w:noProof/>
              </w:rPr>
            </w:pPr>
            <w:r>
              <w:rPr>
                <w:noProof/>
              </w:rPr>
              <w:t>Publication de décisions d'approbation par le ministère de l'Éducation, des Affaires religieuses et des Sports pour les universités sélectionnées afin de moderniser et d'améliorer leurs infrastructures de recherche et d'enseignement (par exemple, les équipements ou les laboratoires de recherche), d'étendre dans de nouveaux domaines de recherche et d'améliorer la formation offerte.</w:t>
            </w:r>
          </w:p>
          <w:p w14:paraId="6BF306CB" w14:textId="77777777" w:rsidR="00A00259" w:rsidRDefault="00A00259">
            <w:pPr>
              <w:spacing w:after="0" w:line="240" w:lineRule="auto"/>
              <w:rPr>
                <w:rFonts w:ascii="Times New Roman" w:eastAsia="Times New Roman" w:hAnsi="Times New Roman" w:cs="Times New Roman"/>
                <w:noProof/>
                <w:color w:val="006100"/>
                <w:sz w:val="18"/>
                <w:szCs w:val="18"/>
              </w:rPr>
            </w:pPr>
          </w:p>
          <w:p w14:paraId="65587AED" w14:textId="77777777" w:rsidR="00A00259" w:rsidRDefault="00371282">
            <w:pPr>
              <w:pStyle w:val="P68B1DB1-Normal12"/>
              <w:spacing w:after="0" w:line="240" w:lineRule="auto"/>
              <w:rPr>
                <w:rFonts w:eastAsia="Times New Roman"/>
                <w:noProof/>
              </w:rPr>
            </w:pPr>
            <w:r>
              <w:rPr>
                <w:noProof/>
              </w:rPr>
              <w:t>Publication d'une décision d'approbation par le ministère de l'Éducation, des Affaires religieuses et des Sports pour 70 projets de recherche collaboratifs entre les universités et le secteur privé dans le cadre de l'initiative Clusters of Research Excellence.</w:t>
            </w:r>
          </w:p>
        </w:tc>
      </w:tr>
      <w:tr w:rsidR="00A00259" w14:paraId="62F20A1B" w14:textId="77777777">
        <w:trPr>
          <w:trHeight w:val="313"/>
        </w:trPr>
        <w:tc>
          <w:tcPr>
            <w:tcW w:w="666" w:type="dxa"/>
            <w:shd w:val="clear" w:color="auto" w:fill="C6EFCE"/>
            <w:noWrap/>
          </w:tcPr>
          <w:p w14:paraId="177E74CE" w14:textId="77777777" w:rsidR="00A00259" w:rsidRDefault="00371282">
            <w:pPr>
              <w:pStyle w:val="P68B1DB1-Normal12"/>
              <w:spacing w:after="0" w:line="240" w:lineRule="auto"/>
              <w:rPr>
                <w:rFonts w:eastAsia="Times New Roman"/>
                <w:noProof/>
              </w:rPr>
            </w:pPr>
            <w:r>
              <w:rPr>
                <w:noProof/>
              </w:rPr>
              <w:t>148</w:t>
            </w:r>
          </w:p>
        </w:tc>
        <w:tc>
          <w:tcPr>
            <w:tcW w:w="2557" w:type="dxa"/>
            <w:shd w:val="clear" w:color="auto" w:fill="C6EFCE"/>
            <w:noWrap/>
          </w:tcPr>
          <w:p w14:paraId="6953CB4A" w14:textId="77777777" w:rsidR="00A00259" w:rsidRDefault="00371282">
            <w:pPr>
              <w:pStyle w:val="P68B1DB1-Normal12"/>
              <w:spacing w:after="0" w:line="240" w:lineRule="auto"/>
              <w:rPr>
                <w:rFonts w:eastAsia="Times New Roman"/>
                <w:noProof/>
              </w:rPr>
            </w:pPr>
            <w:r>
              <w:rPr>
                <w:noProof/>
              </w:rPr>
              <w:t>9 - 3.2. Éducation, enseignement et formation professionnels et compétences - 16676_Transformation numérique de l'éducation</w:t>
            </w:r>
          </w:p>
        </w:tc>
        <w:tc>
          <w:tcPr>
            <w:tcW w:w="1172" w:type="dxa"/>
            <w:shd w:val="clear" w:color="auto" w:fill="C6EFCE"/>
            <w:noWrap/>
          </w:tcPr>
          <w:p w14:paraId="4EAAC886" w14:textId="77777777" w:rsidR="00A00259" w:rsidRDefault="00371282">
            <w:pPr>
              <w:pStyle w:val="P68B1DB1-Normal12"/>
              <w:spacing w:after="0" w:line="240" w:lineRule="auto"/>
              <w:rPr>
                <w:rFonts w:eastAsia="Times New Roman"/>
                <w:noProof/>
              </w:rPr>
            </w:pPr>
            <w:r>
              <w:rPr>
                <w:noProof/>
              </w:rPr>
              <w:t>Objectif</w:t>
            </w:r>
          </w:p>
        </w:tc>
        <w:tc>
          <w:tcPr>
            <w:tcW w:w="2047" w:type="dxa"/>
            <w:shd w:val="clear" w:color="auto" w:fill="C6EFCE"/>
            <w:noWrap/>
          </w:tcPr>
          <w:p w14:paraId="08DB9313" w14:textId="77777777" w:rsidR="00A00259" w:rsidRDefault="00371282">
            <w:pPr>
              <w:pStyle w:val="P68B1DB1-Normal12"/>
              <w:spacing w:after="0" w:line="240" w:lineRule="auto"/>
              <w:rPr>
                <w:rFonts w:eastAsia="Times New Roman"/>
                <w:noProof/>
              </w:rPr>
            </w:pPr>
            <w:r>
              <w:rPr>
                <w:noProof/>
              </w:rPr>
              <w:t>Achèvement de l'installation des systèmes interactifs</w:t>
            </w:r>
          </w:p>
        </w:tc>
        <w:tc>
          <w:tcPr>
            <w:tcW w:w="2222" w:type="dxa"/>
            <w:shd w:val="clear" w:color="auto" w:fill="C6EFCE"/>
            <w:noWrap/>
          </w:tcPr>
          <w:p w14:paraId="6AA603E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54" w:type="dxa"/>
            <w:shd w:val="clear" w:color="auto" w:fill="C6EFCE"/>
            <w:noWrap/>
          </w:tcPr>
          <w:p w14:paraId="7DF1E553" w14:textId="77777777" w:rsidR="00A00259" w:rsidRDefault="00371282">
            <w:pPr>
              <w:pStyle w:val="P68B1DB1-Normal12"/>
              <w:spacing w:after="0" w:line="240" w:lineRule="auto"/>
              <w:rPr>
                <w:rFonts w:eastAsia="Times New Roman"/>
                <w:noProof/>
              </w:rPr>
            </w:pPr>
            <w:r>
              <w:rPr>
                <w:noProof/>
              </w:rPr>
              <w:t>Nombre de systèmes d'apprentissage interactifs installés</w:t>
            </w:r>
          </w:p>
        </w:tc>
        <w:tc>
          <w:tcPr>
            <w:tcW w:w="857" w:type="dxa"/>
            <w:shd w:val="clear" w:color="auto" w:fill="C6EFCE"/>
            <w:noWrap/>
          </w:tcPr>
          <w:p w14:paraId="43F7AADF" w14:textId="77777777" w:rsidR="00A00259" w:rsidRDefault="00371282">
            <w:pPr>
              <w:pStyle w:val="P68B1DB1-Normal12"/>
              <w:spacing w:after="0" w:line="240" w:lineRule="auto"/>
              <w:rPr>
                <w:rFonts w:eastAsia="Times New Roman"/>
                <w:noProof/>
              </w:rPr>
            </w:pPr>
            <w:r>
              <w:rPr>
                <w:noProof/>
              </w:rPr>
              <w:t>0</w:t>
            </w:r>
          </w:p>
        </w:tc>
        <w:tc>
          <w:tcPr>
            <w:tcW w:w="771" w:type="dxa"/>
            <w:shd w:val="clear" w:color="auto" w:fill="C6EFCE"/>
            <w:noWrap/>
          </w:tcPr>
          <w:p w14:paraId="0F630176" w14:textId="77777777" w:rsidR="00A00259" w:rsidRDefault="00371282">
            <w:pPr>
              <w:pStyle w:val="P68B1DB1-Normal12"/>
              <w:spacing w:after="0" w:line="240" w:lineRule="auto"/>
              <w:rPr>
                <w:rFonts w:eastAsia="Times New Roman"/>
                <w:noProof/>
              </w:rPr>
            </w:pPr>
            <w:r>
              <w:rPr>
                <w:noProof/>
              </w:rPr>
              <w:t>36 000</w:t>
            </w:r>
          </w:p>
        </w:tc>
        <w:tc>
          <w:tcPr>
            <w:tcW w:w="851" w:type="dxa"/>
            <w:shd w:val="clear" w:color="auto" w:fill="C6EFCE"/>
            <w:noWrap/>
          </w:tcPr>
          <w:p w14:paraId="643BB42D" w14:textId="77777777" w:rsidR="00A00259" w:rsidRDefault="00371282">
            <w:pPr>
              <w:pStyle w:val="P68B1DB1-Normal12"/>
              <w:spacing w:after="0" w:line="240" w:lineRule="auto"/>
              <w:rPr>
                <w:rFonts w:eastAsia="Times New Roman"/>
                <w:noProof/>
              </w:rPr>
            </w:pPr>
            <w:r>
              <w:rPr>
                <w:noProof/>
              </w:rPr>
              <w:t>T2</w:t>
            </w:r>
          </w:p>
        </w:tc>
        <w:tc>
          <w:tcPr>
            <w:tcW w:w="720" w:type="dxa"/>
            <w:shd w:val="clear" w:color="auto" w:fill="C6EFCE"/>
            <w:noWrap/>
          </w:tcPr>
          <w:p w14:paraId="617C17E9" w14:textId="77777777" w:rsidR="00A00259" w:rsidRDefault="00371282">
            <w:pPr>
              <w:pStyle w:val="P68B1DB1-Normal12"/>
              <w:spacing w:after="0" w:line="240" w:lineRule="auto"/>
              <w:rPr>
                <w:rFonts w:eastAsia="Times New Roman"/>
                <w:noProof/>
              </w:rPr>
            </w:pPr>
            <w:r>
              <w:rPr>
                <w:noProof/>
              </w:rPr>
              <w:t>2024</w:t>
            </w:r>
          </w:p>
        </w:tc>
        <w:tc>
          <w:tcPr>
            <w:tcW w:w="3002" w:type="dxa"/>
            <w:shd w:val="clear" w:color="auto" w:fill="C6EFCE"/>
            <w:noWrap/>
          </w:tcPr>
          <w:p w14:paraId="70AE1F42" w14:textId="77777777" w:rsidR="00A00259" w:rsidRDefault="00371282">
            <w:pPr>
              <w:pStyle w:val="P68B1DB1-Normal12"/>
              <w:spacing w:after="0" w:line="240" w:lineRule="auto"/>
              <w:rPr>
                <w:rFonts w:eastAsia="Times New Roman"/>
                <w:noProof/>
              </w:rPr>
            </w:pPr>
            <w:r>
              <w:rPr>
                <w:noProof/>
              </w:rPr>
              <w:t>Installation d'au moins 36 000 systèmes d'apprentissage interactifs pour les salles de classe des écoles primaires et secondaires</w:t>
            </w:r>
          </w:p>
        </w:tc>
      </w:tr>
      <w:tr w:rsidR="00A00259" w14:paraId="70FE6C76" w14:textId="77777777">
        <w:trPr>
          <w:trHeight w:val="313"/>
        </w:trPr>
        <w:tc>
          <w:tcPr>
            <w:tcW w:w="666" w:type="dxa"/>
            <w:shd w:val="clear" w:color="auto" w:fill="C6EFCE"/>
            <w:noWrap/>
          </w:tcPr>
          <w:p w14:paraId="7A7A93A2" w14:textId="77777777" w:rsidR="00A00259" w:rsidRDefault="00371282">
            <w:pPr>
              <w:pStyle w:val="P68B1DB1-Normal12"/>
              <w:spacing w:after="0" w:line="240" w:lineRule="auto"/>
              <w:rPr>
                <w:rFonts w:eastAsia="Times New Roman"/>
                <w:noProof/>
              </w:rPr>
            </w:pPr>
            <w:r>
              <w:rPr>
                <w:noProof/>
              </w:rPr>
              <w:t>148a</w:t>
            </w:r>
          </w:p>
        </w:tc>
        <w:tc>
          <w:tcPr>
            <w:tcW w:w="2557" w:type="dxa"/>
            <w:shd w:val="clear" w:color="auto" w:fill="C6EFCE"/>
            <w:noWrap/>
          </w:tcPr>
          <w:p w14:paraId="4B7EA849" w14:textId="77777777" w:rsidR="00A00259" w:rsidRDefault="00371282">
            <w:pPr>
              <w:pStyle w:val="P68B1DB1-Normal12"/>
              <w:spacing w:after="0" w:line="240" w:lineRule="auto"/>
              <w:rPr>
                <w:rFonts w:eastAsia="Times New Roman"/>
                <w:noProof/>
              </w:rPr>
            </w:pPr>
            <w:r>
              <w:rPr>
                <w:noProof/>
              </w:rPr>
              <w:t>9 - 3.2. Éducation, enseignement et formation professionnels et compétences - 16676_Transformation numérique de l'éducation</w:t>
            </w:r>
          </w:p>
        </w:tc>
        <w:tc>
          <w:tcPr>
            <w:tcW w:w="1172" w:type="dxa"/>
            <w:shd w:val="clear" w:color="auto" w:fill="C6EFCE"/>
            <w:noWrap/>
          </w:tcPr>
          <w:p w14:paraId="550ACADD" w14:textId="77777777" w:rsidR="00A00259" w:rsidRDefault="00371282">
            <w:pPr>
              <w:pStyle w:val="P68B1DB1-Normal12"/>
              <w:spacing w:after="0" w:line="240" w:lineRule="auto"/>
              <w:rPr>
                <w:rFonts w:eastAsia="Times New Roman"/>
                <w:noProof/>
              </w:rPr>
            </w:pPr>
            <w:r>
              <w:rPr>
                <w:noProof/>
              </w:rPr>
              <w:t>Étape</w:t>
            </w:r>
          </w:p>
        </w:tc>
        <w:tc>
          <w:tcPr>
            <w:tcW w:w="2047" w:type="dxa"/>
            <w:shd w:val="clear" w:color="auto" w:fill="C6EFCE"/>
            <w:noWrap/>
          </w:tcPr>
          <w:p w14:paraId="1A157207" w14:textId="77777777" w:rsidR="00A00259" w:rsidRDefault="00371282">
            <w:pPr>
              <w:pStyle w:val="P68B1DB1-Normal12"/>
              <w:spacing w:after="0" w:line="240" w:lineRule="auto"/>
              <w:rPr>
                <w:rFonts w:eastAsia="Times New Roman"/>
                <w:noProof/>
              </w:rPr>
            </w:pPr>
            <w:r>
              <w:rPr>
                <w:noProof/>
              </w:rPr>
              <w:t>Stratégie de mise à jour des programmes, de rationalisation des services et de suivi des résultats de la transformation numérique de l’éducation</w:t>
            </w:r>
          </w:p>
        </w:tc>
        <w:tc>
          <w:tcPr>
            <w:tcW w:w="2222" w:type="dxa"/>
            <w:shd w:val="clear" w:color="auto" w:fill="C6EFCE"/>
            <w:noWrap/>
          </w:tcPr>
          <w:p w14:paraId="43C4460B" w14:textId="77777777" w:rsidR="00A00259" w:rsidRDefault="00371282">
            <w:pPr>
              <w:pStyle w:val="P68B1DB1-Normal12"/>
              <w:spacing w:after="0" w:line="240" w:lineRule="auto"/>
              <w:rPr>
                <w:rFonts w:eastAsia="Times New Roman"/>
                <w:noProof/>
              </w:rPr>
            </w:pPr>
            <w:r>
              <w:rPr>
                <w:noProof/>
              </w:rPr>
              <w:t>Publication d’une stratégie de réforme visant à mettre à jour les programmes d’études, à rationaliser les services et à définir la méthodologie permettant de suivre les résultats de la transformation numérique de l’éducation</w:t>
            </w:r>
          </w:p>
        </w:tc>
        <w:tc>
          <w:tcPr>
            <w:tcW w:w="1154" w:type="dxa"/>
            <w:shd w:val="clear" w:color="auto" w:fill="C6EFCE"/>
            <w:noWrap/>
          </w:tcPr>
          <w:p w14:paraId="5BBFE31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6B78EEE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71" w:type="dxa"/>
            <w:shd w:val="clear" w:color="auto" w:fill="C6EFCE"/>
            <w:noWrap/>
          </w:tcPr>
          <w:p w14:paraId="1972218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4A7D43EF" w14:textId="77777777" w:rsidR="00A00259" w:rsidRDefault="00371282">
            <w:pPr>
              <w:pStyle w:val="P68B1DB1-Normal12"/>
              <w:spacing w:after="0" w:line="240" w:lineRule="auto"/>
              <w:rPr>
                <w:rFonts w:eastAsia="Times New Roman"/>
                <w:noProof/>
              </w:rPr>
            </w:pPr>
            <w:r>
              <w:rPr>
                <w:noProof/>
              </w:rPr>
              <w:t>T2</w:t>
            </w:r>
          </w:p>
        </w:tc>
        <w:tc>
          <w:tcPr>
            <w:tcW w:w="720" w:type="dxa"/>
            <w:shd w:val="clear" w:color="auto" w:fill="C6EFCE"/>
            <w:noWrap/>
          </w:tcPr>
          <w:p w14:paraId="42A40662" w14:textId="77777777" w:rsidR="00A00259" w:rsidRDefault="00371282">
            <w:pPr>
              <w:pStyle w:val="P68B1DB1-Normal12"/>
              <w:spacing w:after="0" w:line="240" w:lineRule="auto"/>
              <w:rPr>
                <w:rFonts w:eastAsia="Times New Roman"/>
                <w:noProof/>
              </w:rPr>
            </w:pPr>
            <w:r>
              <w:rPr>
                <w:noProof/>
              </w:rPr>
              <w:t>2025</w:t>
            </w:r>
          </w:p>
        </w:tc>
        <w:tc>
          <w:tcPr>
            <w:tcW w:w="3002" w:type="dxa"/>
            <w:shd w:val="clear" w:color="auto" w:fill="C6EFCE"/>
            <w:noWrap/>
          </w:tcPr>
          <w:p w14:paraId="2995C049" w14:textId="77777777" w:rsidR="00A00259" w:rsidRDefault="00371282">
            <w:pPr>
              <w:pStyle w:val="P68B1DB1-Normal12"/>
              <w:spacing w:after="0" w:line="240" w:lineRule="auto"/>
              <w:rPr>
                <w:rFonts w:eastAsia="Times New Roman"/>
                <w:noProof/>
              </w:rPr>
            </w:pPr>
            <w:r>
              <w:rPr>
                <w:noProof/>
              </w:rPr>
              <w:t>Publication d’une stratégie de réforme visant à mettre à jour les programmes d’études, à rationaliser les services et à définir la méthodologie permettant de suivre les résultats de la transformation numérique de l’éducation</w:t>
            </w:r>
          </w:p>
        </w:tc>
      </w:tr>
      <w:tr w:rsidR="00A00259" w14:paraId="18CC2849" w14:textId="77777777">
        <w:trPr>
          <w:trHeight w:val="313"/>
        </w:trPr>
        <w:tc>
          <w:tcPr>
            <w:tcW w:w="666" w:type="dxa"/>
            <w:shd w:val="clear" w:color="auto" w:fill="C6EFCE"/>
            <w:noWrap/>
          </w:tcPr>
          <w:p w14:paraId="6B93D0B1" w14:textId="77777777" w:rsidR="00A00259" w:rsidRDefault="00371282">
            <w:pPr>
              <w:pStyle w:val="P68B1DB1-Normal12"/>
              <w:spacing w:after="0" w:line="240" w:lineRule="auto"/>
              <w:rPr>
                <w:rFonts w:eastAsia="Times New Roman"/>
                <w:noProof/>
              </w:rPr>
            </w:pPr>
            <w:r>
              <w:rPr>
                <w:noProof/>
              </w:rPr>
              <w:t>148b</w:t>
            </w:r>
          </w:p>
        </w:tc>
        <w:tc>
          <w:tcPr>
            <w:tcW w:w="2557" w:type="dxa"/>
            <w:shd w:val="clear" w:color="auto" w:fill="C6EFCE"/>
            <w:noWrap/>
          </w:tcPr>
          <w:p w14:paraId="20BA10D0" w14:textId="77777777" w:rsidR="00A00259" w:rsidRDefault="00371282">
            <w:pPr>
              <w:pStyle w:val="P68B1DB1-Normal12"/>
              <w:spacing w:after="0" w:line="240" w:lineRule="auto"/>
              <w:rPr>
                <w:rFonts w:eastAsia="Times New Roman"/>
                <w:noProof/>
              </w:rPr>
            </w:pPr>
            <w:r>
              <w:rPr>
                <w:noProof/>
              </w:rPr>
              <w:t>9 - 3.2. Éducation, enseignement et formation professionnels et compétences - 16676_Transformation numérique de l'éducation</w:t>
            </w:r>
          </w:p>
        </w:tc>
        <w:tc>
          <w:tcPr>
            <w:tcW w:w="1172" w:type="dxa"/>
            <w:shd w:val="clear" w:color="auto" w:fill="C6EFCE"/>
            <w:noWrap/>
          </w:tcPr>
          <w:p w14:paraId="1D23AE71" w14:textId="77777777" w:rsidR="00A00259" w:rsidRDefault="00371282">
            <w:pPr>
              <w:pStyle w:val="P68B1DB1-Normal12"/>
              <w:spacing w:after="0" w:line="240" w:lineRule="auto"/>
              <w:rPr>
                <w:rFonts w:eastAsia="Times New Roman"/>
                <w:noProof/>
              </w:rPr>
            </w:pPr>
            <w:r>
              <w:rPr>
                <w:noProof/>
              </w:rPr>
              <w:t>Étape</w:t>
            </w:r>
          </w:p>
        </w:tc>
        <w:tc>
          <w:tcPr>
            <w:tcW w:w="2047" w:type="dxa"/>
            <w:shd w:val="clear" w:color="auto" w:fill="C6EFCE"/>
            <w:noWrap/>
          </w:tcPr>
          <w:p w14:paraId="7CE7E556" w14:textId="77777777" w:rsidR="00A00259" w:rsidRDefault="00371282">
            <w:pPr>
              <w:pStyle w:val="P68B1DB1-Normal12"/>
              <w:spacing w:after="0" w:line="240" w:lineRule="auto"/>
              <w:rPr>
                <w:rFonts w:eastAsia="Times New Roman"/>
                <w:noProof/>
              </w:rPr>
            </w:pPr>
            <w:r>
              <w:rPr>
                <w:noProof/>
              </w:rPr>
              <w:t>Transformation numérique de l'éducation</w:t>
            </w:r>
          </w:p>
        </w:tc>
        <w:tc>
          <w:tcPr>
            <w:tcW w:w="2222" w:type="dxa"/>
            <w:shd w:val="clear" w:color="auto" w:fill="C6EFCE"/>
            <w:noWrap/>
          </w:tcPr>
          <w:p w14:paraId="67560E99" w14:textId="77777777" w:rsidR="00A00259" w:rsidRDefault="00371282">
            <w:pPr>
              <w:pStyle w:val="P68B1DB1-Normal12"/>
              <w:spacing w:after="0" w:line="240" w:lineRule="auto"/>
              <w:rPr>
                <w:noProof/>
              </w:rPr>
            </w:pPr>
            <w:r>
              <w:rPr>
                <w:noProof/>
              </w:rPr>
              <w:t>Réalisation de projets numériques dans le secteur de l’éducation</w:t>
            </w:r>
          </w:p>
        </w:tc>
        <w:tc>
          <w:tcPr>
            <w:tcW w:w="1154" w:type="dxa"/>
            <w:shd w:val="clear" w:color="auto" w:fill="C6EFCE"/>
            <w:noWrap/>
          </w:tcPr>
          <w:p w14:paraId="6B7AF53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671F60C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71" w:type="dxa"/>
            <w:shd w:val="clear" w:color="auto" w:fill="C6EFCE"/>
            <w:noWrap/>
          </w:tcPr>
          <w:p w14:paraId="39D0ABE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155F8F31" w14:textId="77777777" w:rsidR="00A00259" w:rsidRDefault="00371282">
            <w:pPr>
              <w:pStyle w:val="P68B1DB1-Normal12"/>
              <w:spacing w:after="0" w:line="240" w:lineRule="auto"/>
              <w:rPr>
                <w:rFonts w:eastAsia="Times New Roman"/>
                <w:noProof/>
              </w:rPr>
            </w:pPr>
            <w:r>
              <w:rPr>
                <w:noProof/>
              </w:rPr>
              <w:t>T4</w:t>
            </w:r>
          </w:p>
        </w:tc>
        <w:tc>
          <w:tcPr>
            <w:tcW w:w="720" w:type="dxa"/>
            <w:shd w:val="clear" w:color="auto" w:fill="C6EFCE"/>
            <w:noWrap/>
          </w:tcPr>
          <w:p w14:paraId="0E050F37" w14:textId="77777777" w:rsidR="00A00259" w:rsidRDefault="00371282">
            <w:pPr>
              <w:pStyle w:val="P68B1DB1-Normal12"/>
              <w:spacing w:after="0" w:line="240" w:lineRule="auto"/>
              <w:rPr>
                <w:rFonts w:eastAsia="Times New Roman"/>
                <w:noProof/>
              </w:rPr>
            </w:pPr>
            <w:r>
              <w:rPr>
                <w:noProof/>
              </w:rPr>
              <w:t>2025</w:t>
            </w:r>
          </w:p>
        </w:tc>
        <w:tc>
          <w:tcPr>
            <w:tcW w:w="3002" w:type="dxa"/>
            <w:shd w:val="clear" w:color="auto" w:fill="C6EFCE"/>
            <w:noWrap/>
          </w:tcPr>
          <w:p w14:paraId="73255E3C" w14:textId="77777777" w:rsidR="00A00259" w:rsidRDefault="00371282">
            <w:pPr>
              <w:pStyle w:val="P68B1DB1-paragraph39"/>
              <w:spacing w:before="0" w:beforeAutospacing="0" w:after="0" w:afterAutospacing="0"/>
              <w:textAlignment w:val="baseline"/>
              <w:rPr>
                <w:noProof/>
              </w:rPr>
            </w:pPr>
            <w:r>
              <w:rPr>
                <w:noProof/>
              </w:rPr>
              <w:t>Réalisation des projets suivants:</w:t>
            </w:r>
          </w:p>
          <w:p w14:paraId="5503B800" w14:textId="69B266F8" w:rsidR="00A00259" w:rsidRDefault="00371282">
            <w:pPr>
              <w:pStyle w:val="P68B1DB1-paragraph37"/>
              <w:numPr>
                <w:ilvl w:val="0"/>
                <w:numId w:val="45"/>
              </w:numPr>
              <w:spacing w:after="0" w:afterAutospacing="0"/>
              <w:ind w:left="414" w:hanging="357"/>
              <w:textAlignment w:val="baseline"/>
              <w:rPr>
                <w:rFonts w:eastAsia="Calibri"/>
                <w:noProof/>
              </w:rPr>
            </w:pPr>
            <w:r>
              <w:rPr>
                <w:noProof/>
              </w:rPr>
              <w:t>5 000 Ressources éducatives libres et sous-système pour plateforme éducative numérique, référentiel et apprentissage personnalisé</w:t>
            </w:r>
          </w:p>
          <w:p w14:paraId="54D178E3" w14:textId="77777777" w:rsidR="00A00259" w:rsidRDefault="00371282">
            <w:pPr>
              <w:pStyle w:val="P68B1DB1-paragraph39"/>
              <w:numPr>
                <w:ilvl w:val="0"/>
                <w:numId w:val="45"/>
              </w:numPr>
              <w:spacing w:after="0" w:afterAutospacing="0"/>
              <w:ind w:left="414" w:hanging="357"/>
              <w:textAlignment w:val="baseline"/>
              <w:rPr>
                <w:noProof/>
              </w:rPr>
            </w:pPr>
            <w:r>
              <w:rPr>
                <w:noProof/>
              </w:rPr>
              <w:t xml:space="preserve">Installation de systèmes d'apprentissage interactifs pour les salles de classe des écoles primaires et secondaires </w:t>
            </w:r>
          </w:p>
          <w:p w14:paraId="03177901" w14:textId="1007697E" w:rsidR="00A00259" w:rsidRDefault="00371282">
            <w:pPr>
              <w:pStyle w:val="P68B1DB1-paragraph39"/>
              <w:numPr>
                <w:ilvl w:val="0"/>
                <w:numId w:val="45"/>
              </w:numPr>
              <w:spacing w:after="0" w:afterAutospacing="0"/>
              <w:ind w:left="414" w:hanging="357"/>
              <w:textAlignment w:val="baseline"/>
              <w:rPr>
                <w:noProof/>
              </w:rPr>
            </w:pPr>
            <w:r>
              <w:rPr>
                <w:noProof/>
              </w:rPr>
              <w:t>Fourniture de 660 000 bons au titre des bons d’accès numérique I et II pour l’achat d’équipements numériques, comme le confirment les informations de la plateforme électronique correspondante</w:t>
            </w:r>
          </w:p>
          <w:p w14:paraId="3689DB5A" w14:textId="77777777" w:rsidR="00A00259" w:rsidRDefault="00371282">
            <w:pPr>
              <w:pStyle w:val="P68B1DB1-paragraph39"/>
              <w:numPr>
                <w:ilvl w:val="0"/>
                <w:numId w:val="45"/>
              </w:numPr>
              <w:spacing w:after="0" w:afterAutospacing="0"/>
              <w:ind w:left="414" w:hanging="357"/>
              <w:textAlignment w:val="baseline"/>
              <w:rPr>
                <w:noProof/>
              </w:rPr>
            </w:pPr>
            <w:r>
              <w:rPr>
                <w:noProof/>
              </w:rPr>
              <w:t xml:space="preserve">Fourniture d’infrastructures d’apprentissage en robotique et en STIM aux écoles publiques </w:t>
            </w:r>
          </w:p>
          <w:p w14:paraId="49E607F5" w14:textId="77777777" w:rsidR="00A00259" w:rsidRDefault="00371282">
            <w:pPr>
              <w:pStyle w:val="P68B1DB1-paragraph39"/>
              <w:numPr>
                <w:ilvl w:val="0"/>
                <w:numId w:val="45"/>
              </w:numPr>
              <w:spacing w:before="0" w:beforeAutospacing="0" w:after="0" w:afterAutospacing="0"/>
              <w:ind w:left="414" w:hanging="357"/>
              <w:textAlignment w:val="baseline"/>
              <w:rPr>
                <w:noProof/>
              </w:rPr>
            </w:pPr>
            <w:r>
              <w:rPr>
                <w:noProof/>
              </w:rPr>
              <w:t>Mise à niveau des services numériques des écoles et des universités</w:t>
            </w:r>
          </w:p>
        </w:tc>
      </w:tr>
      <w:tr w:rsidR="00A00259" w14:paraId="0915B2BA" w14:textId="77777777">
        <w:trPr>
          <w:trHeight w:val="313"/>
        </w:trPr>
        <w:tc>
          <w:tcPr>
            <w:tcW w:w="666" w:type="dxa"/>
            <w:shd w:val="clear" w:color="auto" w:fill="C6EFCE"/>
            <w:noWrap/>
          </w:tcPr>
          <w:p w14:paraId="6B3229AC" w14:textId="77777777" w:rsidR="00A00259" w:rsidRDefault="00371282">
            <w:pPr>
              <w:pStyle w:val="P68B1DB1-Normal12"/>
              <w:spacing w:after="0" w:line="240" w:lineRule="auto"/>
              <w:rPr>
                <w:rFonts w:eastAsia="Times New Roman"/>
                <w:noProof/>
              </w:rPr>
            </w:pPr>
            <w:r>
              <w:rPr>
                <w:noProof/>
              </w:rPr>
              <w:t>149</w:t>
            </w:r>
          </w:p>
        </w:tc>
        <w:tc>
          <w:tcPr>
            <w:tcW w:w="2557" w:type="dxa"/>
            <w:shd w:val="clear" w:color="auto" w:fill="C6EFCE"/>
            <w:noWrap/>
          </w:tcPr>
          <w:p w14:paraId="7E758B50" w14:textId="2F2B2A94" w:rsidR="00A00259" w:rsidRDefault="00371282">
            <w:pPr>
              <w:pStyle w:val="P68B1DB1-Normal12"/>
              <w:spacing w:after="0" w:line="240" w:lineRule="auto"/>
              <w:rPr>
                <w:rFonts w:eastAsia="Times New Roman"/>
                <w:noProof/>
              </w:rPr>
            </w:pPr>
            <w:r>
              <w:rPr>
                <w:noProof/>
              </w:rPr>
              <w:t>9 - 3.2. Éducation, enseignement et formation professionnels et compétences - 16933_Amélioration de l'enseignement et de la formation professionnels (EFP): Achat d’équipements de laboratoire pour les laboratoires des unités d’EFP</w:t>
            </w:r>
          </w:p>
        </w:tc>
        <w:tc>
          <w:tcPr>
            <w:tcW w:w="1172" w:type="dxa"/>
            <w:shd w:val="clear" w:color="auto" w:fill="C6EFCE"/>
            <w:noWrap/>
          </w:tcPr>
          <w:p w14:paraId="7E6E888D" w14:textId="77777777" w:rsidR="00A00259" w:rsidRDefault="00371282">
            <w:pPr>
              <w:pStyle w:val="P68B1DB1-Normal16"/>
              <w:spacing w:after="0" w:line="240" w:lineRule="auto"/>
              <w:rPr>
                <w:rFonts w:eastAsia="Times New Roman"/>
                <w:noProof/>
                <w:color w:val="006100"/>
              </w:rPr>
            </w:pPr>
            <w:r>
              <w:rPr>
                <w:noProof/>
              </w:rPr>
              <w:t xml:space="preserve"> </w:t>
            </w:r>
            <w:r>
              <w:rPr>
                <w:noProof/>
                <w:color w:val="006100"/>
              </w:rPr>
              <w:t>Étape</w:t>
            </w:r>
          </w:p>
        </w:tc>
        <w:tc>
          <w:tcPr>
            <w:tcW w:w="2047" w:type="dxa"/>
            <w:shd w:val="clear" w:color="auto" w:fill="C6EFCE"/>
            <w:noWrap/>
          </w:tcPr>
          <w:p w14:paraId="7179793D" w14:textId="2A5BEFEF" w:rsidR="00A00259" w:rsidRDefault="00371282">
            <w:pPr>
              <w:pStyle w:val="P68B1DB1-Normal12"/>
              <w:spacing w:after="0" w:line="240" w:lineRule="auto"/>
              <w:rPr>
                <w:noProof/>
              </w:rPr>
            </w:pPr>
            <w:r>
              <w:rPr>
                <w:noProof/>
              </w:rPr>
              <w:t>Modernisation des laboratoires des unités d’EFP</w:t>
            </w:r>
          </w:p>
        </w:tc>
        <w:tc>
          <w:tcPr>
            <w:tcW w:w="2222" w:type="dxa"/>
            <w:shd w:val="clear" w:color="auto" w:fill="C6EFCE"/>
            <w:noWrap/>
          </w:tcPr>
          <w:p w14:paraId="5C2D0847" w14:textId="77777777" w:rsidR="00A00259" w:rsidRDefault="00371282">
            <w:pPr>
              <w:pStyle w:val="P68B1DB1-Normal12"/>
              <w:spacing w:after="0" w:line="240" w:lineRule="auto"/>
              <w:rPr>
                <w:rFonts w:eastAsia="Times New Roman"/>
                <w:noProof/>
              </w:rPr>
            </w:pPr>
            <w:r>
              <w:rPr>
                <w:noProof/>
              </w:rPr>
              <w:t>Achat d'équipements modernes pour les laboratoires des unités d'enseignement et de formation professionnels</w:t>
            </w:r>
          </w:p>
        </w:tc>
        <w:tc>
          <w:tcPr>
            <w:tcW w:w="1154" w:type="dxa"/>
            <w:shd w:val="clear" w:color="auto" w:fill="C6EFCE"/>
            <w:noWrap/>
          </w:tcPr>
          <w:p w14:paraId="46A37405" w14:textId="77777777" w:rsidR="00A00259" w:rsidRDefault="00A00259">
            <w:pPr>
              <w:spacing w:after="0" w:line="240" w:lineRule="auto"/>
              <w:rPr>
                <w:rFonts w:ascii="Times New Roman" w:hAnsi="Times New Roman" w:cs="Times New Roman"/>
                <w:noProof/>
                <w:color w:val="006100"/>
                <w:sz w:val="18"/>
                <w:szCs w:val="18"/>
              </w:rPr>
            </w:pPr>
          </w:p>
        </w:tc>
        <w:tc>
          <w:tcPr>
            <w:tcW w:w="857" w:type="dxa"/>
            <w:shd w:val="clear" w:color="auto" w:fill="C6EFCE"/>
            <w:noWrap/>
          </w:tcPr>
          <w:p w14:paraId="07A6B0B2" w14:textId="77777777" w:rsidR="00A00259" w:rsidRDefault="00A00259">
            <w:pPr>
              <w:spacing w:after="0" w:line="240" w:lineRule="auto"/>
              <w:rPr>
                <w:rFonts w:ascii="Times New Roman" w:hAnsi="Times New Roman" w:cs="Times New Roman"/>
                <w:noProof/>
                <w:color w:val="006100"/>
                <w:sz w:val="18"/>
                <w:szCs w:val="18"/>
              </w:rPr>
            </w:pPr>
          </w:p>
        </w:tc>
        <w:tc>
          <w:tcPr>
            <w:tcW w:w="771" w:type="dxa"/>
            <w:shd w:val="clear" w:color="auto" w:fill="C6EFCE"/>
            <w:noWrap/>
          </w:tcPr>
          <w:p w14:paraId="20D55E14" w14:textId="77777777" w:rsidR="00A00259" w:rsidRDefault="00A00259">
            <w:pPr>
              <w:spacing w:after="0" w:line="240" w:lineRule="auto"/>
              <w:rPr>
                <w:rFonts w:ascii="Times New Roman" w:hAnsi="Times New Roman" w:cs="Times New Roman"/>
                <w:noProof/>
                <w:color w:val="006100"/>
                <w:sz w:val="18"/>
                <w:szCs w:val="18"/>
              </w:rPr>
            </w:pPr>
          </w:p>
        </w:tc>
        <w:tc>
          <w:tcPr>
            <w:tcW w:w="851" w:type="dxa"/>
            <w:shd w:val="clear" w:color="auto" w:fill="C6EFCE"/>
            <w:noWrap/>
          </w:tcPr>
          <w:p w14:paraId="3486EEB2" w14:textId="77777777" w:rsidR="00A00259" w:rsidRDefault="00371282">
            <w:pPr>
              <w:pStyle w:val="P68B1DB1-Normal12"/>
              <w:spacing w:after="0" w:line="240" w:lineRule="auto"/>
              <w:rPr>
                <w:rFonts w:eastAsia="Times New Roman"/>
                <w:noProof/>
              </w:rPr>
            </w:pPr>
            <w:r>
              <w:rPr>
                <w:noProof/>
              </w:rPr>
              <w:t>T4</w:t>
            </w:r>
          </w:p>
        </w:tc>
        <w:tc>
          <w:tcPr>
            <w:tcW w:w="720" w:type="dxa"/>
            <w:shd w:val="clear" w:color="auto" w:fill="C6EFCE"/>
            <w:noWrap/>
          </w:tcPr>
          <w:p w14:paraId="377FFCCE" w14:textId="77777777" w:rsidR="00A00259" w:rsidRDefault="00371282">
            <w:pPr>
              <w:pStyle w:val="P68B1DB1-Normal12"/>
              <w:spacing w:after="0" w:line="240" w:lineRule="auto"/>
              <w:rPr>
                <w:rFonts w:eastAsia="Times New Roman"/>
                <w:noProof/>
              </w:rPr>
            </w:pPr>
            <w:r>
              <w:rPr>
                <w:noProof/>
              </w:rPr>
              <w:t>2025</w:t>
            </w:r>
          </w:p>
        </w:tc>
        <w:tc>
          <w:tcPr>
            <w:tcW w:w="3002" w:type="dxa"/>
            <w:shd w:val="clear" w:color="auto" w:fill="C6EFCE"/>
            <w:noWrap/>
          </w:tcPr>
          <w:p w14:paraId="44123205" w14:textId="77777777" w:rsidR="00A00259" w:rsidRDefault="00371282">
            <w:pPr>
              <w:pStyle w:val="P68B1DB1-Normal12"/>
              <w:spacing w:after="0" w:line="240" w:lineRule="auto"/>
              <w:rPr>
                <w:rFonts w:eastAsia="Times New Roman"/>
                <w:noProof/>
              </w:rPr>
            </w:pPr>
            <w:r>
              <w:rPr>
                <w:noProof/>
              </w:rPr>
              <w:t>Achat d'équipements modernes pour 376 laboratoires d'unités d'enseignement et de formation professionnels</w:t>
            </w:r>
          </w:p>
        </w:tc>
      </w:tr>
      <w:tr w:rsidR="00A00259" w14:paraId="01957BD6" w14:textId="77777777">
        <w:trPr>
          <w:trHeight w:val="1612"/>
        </w:trPr>
        <w:tc>
          <w:tcPr>
            <w:tcW w:w="666" w:type="dxa"/>
            <w:shd w:val="clear" w:color="auto" w:fill="C6EFCE"/>
            <w:noWrap/>
          </w:tcPr>
          <w:p w14:paraId="207632EF" w14:textId="77777777" w:rsidR="00A00259" w:rsidRDefault="00371282">
            <w:pPr>
              <w:pStyle w:val="P68B1DB1-Normal12"/>
              <w:spacing w:after="0" w:line="240" w:lineRule="auto"/>
              <w:rPr>
                <w:rFonts w:eastAsia="Times New Roman"/>
                <w:noProof/>
              </w:rPr>
            </w:pPr>
            <w:r>
              <w:rPr>
                <w:noProof/>
              </w:rPr>
              <w:t>150</w:t>
            </w:r>
          </w:p>
        </w:tc>
        <w:tc>
          <w:tcPr>
            <w:tcW w:w="2557" w:type="dxa"/>
            <w:shd w:val="clear" w:color="auto" w:fill="C6EFCE"/>
            <w:noWrap/>
          </w:tcPr>
          <w:p w14:paraId="718CB87D" w14:textId="77777777" w:rsidR="00A00259" w:rsidRDefault="00371282">
            <w:pPr>
              <w:pStyle w:val="P68B1DB1-Normal12"/>
              <w:spacing w:after="0" w:line="240" w:lineRule="auto"/>
              <w:rPr>
                <w:rFonts w:eastAsia="Times New Roman"/>
                <w:noProof/>
              </w:rPr>
            </w:pPr>
            <w:r>
              <w:rPr>
                <w:noProof/>
              </w:rPr>
              <w:t>9 - 3.2. Éducation, enseignement et formation professionnels et compétences - 16289_Stratégie d'excellence dans les universités &amp; Innovation</w:t>
            </w:r>
          </w:p>
        </w:tc>
        <w:tc>
          <w:tcPr>
            <w:tcW w:w="1172" w:type="dxa"/>
            <w:shd w:val="clear" w:color="auto" w:fill="C6EFCE"/>
            <w:noWrap/>
          </w:tcPr>
          <w:p w14:paraId="3E8E800E" w14:textId="77777777" w:rsidR="00A00259" w:rsidRDefault="00371282">
            <w:pPr>
              <w:pStyle w:val="P68B1DB1-Normal12"/>
              <w:spacing w:after="0" w:line="240" w:lineRule="auto"/>
              <w:rPr>
                <w:rFonts w:eastAsia="Times New Roman"/>
                <w:noProof/>
              </w:rPr>
            </w:pPr>
            <w:r>
              <w:rPr>
                <w:noProof/>
              </w:rPr>
              <w:t>Étape</w:t>
            </w:r>
          </w:p>
        </w:tc>
        <w:tc>
          <w:tcPr>
            <w:tcW w:w="2047" w:type="dxa"/>
            <w:shd w:val="clear" w:color="auto" w:fill="C6EFCE"/>
            <w:noWrap/>
          </w:tcPr>
          <w:p w14:paraId="7BD3819C" w14:textId="77777777" w:rsidR="00A00259" w:rsidRDefault="00371282">
            <w:pPr>
              <w:pStyle w:val="P68B1DB1-Normal12"/>
              <w:spacing w:after="0" w:line="240" w:lineRule="auto"/>
              <w:rPr>
                <w:noProof/>
              </w:rPr>
            </w:pPr>
            <w:r>
              <w:rPr>
                <w:noProof/>
              </w:rPr>
              <w:t>Exécution de projets de recherche collaborative et de projets pour les universités grecques, et délivrance de décisions d'approbation pour les programmes de troisième cycle</w:t>
            </w:r>
          </w:p>
          <w:p w14:paraId="7C20266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2222" w:type="dxa"/>
            <w:shd w:val="clear" w:color="auto" w:fill="C6EFCE"/>
            <w:noWrap/>
          </w:tcPr>
          <w:p w14:paraId="786ED4AC" w14:textId="77777777" w:rsidR="00A00259" w:rsidRDefault="00371282">
            <w:pPr>
              <w:pStyle w:val="P68B1DB1-Normal12"/>
              <w:spacing w:after="0" w:line="240" w:lineRule="auto"/>
              <w:rPr>
                <w:noProof/>
              </w:rPr>
            </w:pPr>
            <w:r>
              <w:rPr>
                <w:noProof/>
              </w:rPr>
              <w:t xml:space="preserve">Exécution de projets de recherche collaborative et de projets pour les universités grecques, et délivrance de décisions d'approbation pour les programmes de troisième cycle </w:t>
            </w:r>
          </w:p>
        </w:tc>
        <w:tc>
          <w:tcPr>
            <w:tcW w:w="1154" w:type="dxa"/>
            <w:shd w:val="clear" w:color="auto" w:fill="C6EFCE"/>
            <w:noWrap/>
          </w:tcPr>
          <w:p w14:paraId="4EE1C9C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707153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71" w:type="dxa"/>
            <w:shd w:val="clear" w:color="auto" w:fill="C6EFCE"/>
            <w:noWrap/>
          </w:tcPr>
          <w:p w14:paraId="75C68A3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5CB2587E" w14:textId="77777777" w:rsidR="00A00259" w:rsidRDefault="00371282">
            <w:pPr>
              <w:pStyle w:val="P68B1DB1-Normal12"/>
              <w:spacing w:after="0" w:line="240" w:lineRule="auto"/>
              <w:rPr>
                <w:rFonts w:eastAsia="Times New Roman"/>
                <w:noProof/>
              </w:rPr>
            </w:pPr>
            <w:r>
              <w:rPr>
                <w:noProof/>
              </w:rPr>
              <w:t>T4</w:t>
            </w:r>
          </w:p>
        </w:tc>
        <w:tc>
          <w:tcPr>
            <w:tcW w:w="720" w:type="dxa"/>
            <w:shd w:val="clear" w:color="auto" w:fill="C6EFCE"/>
            <w:noWrap/>
          </w:tcPr>
          <w:p w14:paraId="40F9D03C" w14:textId="77777777" w:rsidR="00A00259" w:rsidRDefault="00371282">
            <w:pPr>
              <w:pStyle w:val="P68B1DB1-Normal12"/>
              <w:spacing w:after="0" w:line="240" w:lineRule="auto"/>
              <w:rPr>
                <w:rFonts w:eastAsia="Times New Roman"/>
                <w:noProof/>
              </w:rPr>
            </w:pPr>
            <w:r>
              <w:rPr>
                <w:noProof/>
              </w:rPr>
              <w:t>2025</w:t>
            </w:r>
          </w:p>
        </w:tc>
        <w:tc>
          <w:tcPr>
            <w:tcW w:w="3002" w:type="dxa"/>
            <w:shd w:val="clear" w:color="auto" w:fill="C6EFCE"/>
            <w:noWrap/>
          </w:tcPr>
          <w:p w14:paraId="4AB66E4E" w14:textId="77777777" w:rsidR="00A00259" w:rsidRDefault="00371282">
            <w:pPr>
              <w:pStyle w:val="P68B1DB1-Normal12"/>
              <w:spacing w:after="0" w:line="240" w:lineRule="auto"/>
              <w:rPr>
                <w:noProof/>
              </w:rPr>
            </w:pPr>
            <w:r>
              <w:rPr>
                <w:noProof/>
              </w:rPr>
              <w:t>a) Exécution de 70 projets de recherche collaborative (Clusters of Research Excellence) pour des universitaires avec des entreprises du secteur privé.</w:t>
            </w:r>
          </w:p>
          <w:p w14:paraId="53B27E60" w14:textId="77777777" w:rsidR="00A00259" w:rsidRDefault="00371282">
            <w:pPr>
              <w:pStyle w:val="P68B1DB1-Normal12"/>
              <w:spacing w:after="0" w:line="240" w:lineRule="auto"/>
              <w:rPr>
                <w:noProof/>
              </w:rPr>
            </w:pPr>
            <w:r>
              <w:rPr>
                <w:noProof/>
              </w:rPr>
              <w:t>b) Exécution de projets liés aux infrastructures des universités grecques sélectionnées dans le cadre de la mesure.</w:t>
            </w:r>
          </w:p>
          <w:p w14:paraId="01A71321" w14:textId="77777777" w:rsidR="00A00259" w:rsidRDefault="00371282">
            <w:pPr>
              <w:pStyle w:val="P68B1DB1-Normal12"/>
              <w:spacing w:after="0" w:line="240" w:lineRule="auto"/>
              <w:rPr>
                <w:rFonts w:eastAsia="Times New Roman"/>
                <w:noProof/>
              </w:rPr>
            </w:pPr>
            <w:r>
              <w:rPr>
                <w:noProof/>
              </w:rPr>
              <w:t>c) Délivrance de décisions d'approbation pour le financement de 35 programmes d'études postuniversitaires conjoints et/ou doubles avec des universités étrangères.</w:t>
            </w:r>
          </w:p>
        </w:tc>
      </w:tr>
      <w:tr w:rsidR="00A00259" w14:paraId="4174A21F" w14:textId="77777777">
        <w:trPr>
          <w:trHeight w:val="313"/>
        </w:trPr>
        <w:tc>
          <w:tcPr>
            <w:tcW w:w="666" w:type="dxa"/>
            <w:shd w:val="clear" w:color="auto" w:fill="C6EFCE"/>
            <w:noWrap/>
          </w:tcPr>
          <w:p w14:paraId="5EBC5F9D" w14:textId="77777777" w:rsidR="00A00259" w:rsidRDefault="00371282">
            <w:pPr>
              <w:pStyle w:val="P68B1DB1-Normal12"/>
              <w:spacing w:after="0" w:line="240" w:lineRule="auto"/>
              <w:rPr>
                <w:rFonts w:eastAsia="Times New Roman"/>
                <w:noProof/>
              </w:rPr>
            </w:pPr>
            <w:r>
              <w:rPr>
                <w:noProof/>
              </w:rPr>
              <w:t>152</w:t>
            </w:r>
          </w:p>
        </w:tc>
        <w:tc>
          <w:tcPr>
            <w:tcW w:w="2557" w:type="dxa"/>
            <w:shd w:val="clear" w:color="auto" w:fill="C6EFCE"/>
            <w:noWrap/>
          </w:tcPr>
          <w:p w14:paraId="134445D9" w14:textId="77777777" w:rsidR="00A00259" w:rsidRDefault="00371282">
            <w:pPr>
              <w:pStyle w:val="P68B1DB1-Normal12"/>
              <w:spacing w:after="0" w:line="240" w:lineRule="auto"/>
              <w:rPr>
                <w:noProof/>
              </w:rPr>
            </w:pPr>
            <w:r>
              <w:rPr>
                <w:noProof/>
              </w:rPr>
              <w:t>9 - 3.2. Éducation, enseignement et formation professionnels et compétences - 16934</w:t>
            </w:r>
          </w:p>
          <w:p w14:paraId="7BACE913" w14:textId="01A0DCD3" w:rsidR="00A00259" w:rsidRDefault="00371282">
            <w:pPr>
              <w:pStyle w:val="P68B1DB1-Normal12"/>
              <w:spacing w:after="0" w:line="240" w:lineRule="auto"/>
              <w:rPr>
                <w:rFonts w:eastAsia="Times New Roman"/>
                <w:noProof/>
              </w:rPr>
            </w:pPr>
            <w:r>
              <w:rPr>
                <w:noProof/>
              </w:rPr>
              <w:t>_Amélioration de l'enseignement et de la formation professionnels</w:t>
            </w:r>
          </w:p>
        </w:tc>
        <w:tc>
          <w:tcPr>
            <w:tcW w:w="1172" w:type="dxa"/>
            <w:shd w:val="clear" w:color="auto" w:fill="C6EFCE"/>
            <w:noWrap/>
          </w:tcPr>
          <w:p w14:paraId="33768A18" w14:textId="77777777" w:rsidR="00A00259" w:rsidRDefault="00371282">
            <w:pPr>
              <w:pStyle w:val="P68B1DB1-Normal12"/>
              <w:spacing w:after="0" w:line="240" w:lineRule="auto"/>
              <w:rPr>
                <w:rFonts w:eastAsia="Times New Roman"/>
                <w:noProof/>
              </w:rPr>
            </w:pPr>
            <w:r>
              <w:rPr>
                <w:noProof/>
              </w:rPr>
              <w:t>Étape</w:t>
            </w:r>
          </w:p>
        </w:tc>
        <w:tc>
          <w:tcPr>
            <w:tcW w:w="2047" w:type="dxa"/>
            <w:shd w:val="clear" w:color="auto" w:fill="C6EFCE"/>
            <w:noWrap/>
          </w:tcPr>
          <w:p w14:paraId="659C8EDC" w14:textId="39A3AF04" w:rsidR="00A00259" w:rsidRDefault="00371282">
            <w:pPr>
              <w:pStyle w:val="P68B1DB1-Normal12"/>
              <w:spacing w:after="0" w:line="240" w:lineRule="auto"/>
              <w:rPr>
                <w:noProof/>
              </w:rPr>
            </w:pPr>
            <w:r>
              <w:rPr>
                <w:noProof/>
              </w:rPr>
              <w:t>Systèmes d’information de l’EOPPEP et développement d’une plateforme d’apprentissage en ligne pour l’EFP</w:t>
            </w:r>
          </w:p>
        </w:tc>
        <w:tc>
          <w:tcPr>
            <w:tcW w:w="2222" w:type="dxa"/>
            <w:shd w:val="clear" w:color="auto" w:fill="C6EFCE"/>
            <w:noWrap/>
          </w:tcPr>
          <w:p w14:paraId="42218D73" w14:textId="534F8939" w:rsidR="00A00259" w:rsidRDefault="00371282">
            <w:pPr>
              <w:pStyle w:val="P68B1DB1-Normal12"/>
              <w:spacing w:after="0" w:line="240" w:lineRule="auto"/>
              <w:rPr>
                <w:noProof/>
              </w:rPr>
            </w:pPr>
            <w:r>
              <w:rPr>
                <w:noProof/>
              </w:rPr>
              <w:t>Réalisation des projets</w:t>
            </w:r>
          </w:p>
        </w:tc>
        <w:tc>
          <w:tcPr>
            <w:tcW w:w="1154" w:type="dxa"/>
            <w:shd w:val="clear" w:color="auto" w:fill="C6EFCE"/>
            <w:noWrap/>
          </w:tcPr>
          <w:p w14:paraId="1C3C547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51810AF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71" w:type="dxa"/>
            <w:shd w:val="clear" w:color="auto" w:fill="C6EFCE"/>
            <w:noWrap/>
          </w:tcPr>
          <w:p w14:paraId="5E8F306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3640A481" w14:textId="77777777" w:rsidR="00A00259" w:rsidRDefault="00371282">
            <w:pPr>
              <w:pStyle w:val="P68B1DB1-Normal12"/>
              <w:spacing w:after="0" w:line="240" w:lineRule="auto"/>
              <w:rPr>
                <w:noProof/>
              </w:rPr>
            </w:pPr>
            <w:r>
              <w:rPr>
                <w:noProof/>
              </w:rPr>
              <w:t>T4</w:t>
            </w:r>
          </w:p>
          <w:p w14:paraId="68F3AE7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20" w:type="dxa"/>
            <w:shd w:val="clear" w:color="auto" w:fill="C6EFCE"/>
            <w:noWrap/>
          </w:tcPr>
          <w:p w14:paraId="677927FA" w14:textId="77777777" w:rsidR="00A00259" w:rsidRDefault="00371282">
            <w:pPr>
              <w:pStyle w:val="P68B1DB1-Normal12"/>
              <w:spacing w:after="0" w:line="240" w:lineRule="auto"/>
              <w:rPr>
                <w:rFonts w:eastAsia="Times New Roman"/>
                <w:noProof/>
              </w:rPr>
            </w:pPr>
            <w:r>
              <w:rPr>
                <w:noProof/>
              </w:rPr>
              <w:t>2025</w:t>
            </w:r>
          </w:p>
        </w:tc>
        <w:tc>
          <w:tcPr>
            <w:tcW w:w="3002" w:type="dxa"/>
            <w:shd w:val="clear" w:color="auto" w:fill="C6EFCE"/>
            <w:noWrap/>
          </w:tcPr>
          <w:p w14:paraId="2DFFA1B9" w14:textId="1978F36E" w:rsidR="00A00259" w:rsidRDefault="00371282">
            <w:pPr>
              <w:pStyle w:val="P68B1DB1-Normal12"/>
              <w:spacing w:after="0" w:line="240" w:lineRule="auto"/>
              <w:rPr>
                <w:noProof/>
              </w:rPr>
            </w:pPr>
            <w:r>
              <w:rPr>
                <w:noProof/>
              </w:rPr>
              <w:t>Réalisation des projets suivants, confirmés par le protocole d'acceptation du comité de suivi des projets concerné:</w:t>
            </w:r>
          </w:p>
          <w:p w14:paraId="170DFB6A" w14:textId="77777777" w:rsidR="00A00259" w:rsidRDefault="00A00259">
            <w:pPr>
              <w:spacing w:after="0" w:line="240" w:lineRule="auto"/>
              <w:rPr>
                <w:rFonts w:ascii="Times New Roman" w:hAnsi="Times New Roman" w:cs="Times New Roman"/>
                <w:noProof/>
                <w:color w:val="006100"/>
                <w:sz w:val="18"/>
                <w:szCs w:val="18"/>
              </w:rPr>
            </w:pPr>
          </w:p>
          <w:p w14:paraId="3D5E030F" w14:textId="42E03607" w:rsidR="00A00259" w:rsidRDefault="00371282">
            <w:pPr>
              <w:pStyle w:val="P68B1DB1-Normal12"/>
              <w:spacing w:after="0" w:line="240" w:lineRule="auto"/>
              <w:rPr>
                <w:noProof/>
              </w:rPr>
            </w:pPr>
            <w:r>
              <w:rPr>
                <w:noProof/>
              </w:rPr>
              <w:t>Conception et développement des systèmes d'information de l'Organisation nationale pour la certification des qualifications et l'orientation professionnelle (EOPPEP)</w:t>
            </w:r>
          </w:p>
          <w:p w14:paraId="3880D4E8" w14:textId="507B67CB" w:rsidR="00A00259" w:rsidRDefault="00371282">
            <w:pPr>
              <w:pStyle w:val="P68B1DB1-ListParagraph34"/>
              <w:numPr>
                <w:ilvl w:val="0"/>
                <w:numId w:val="40"/>
              </w:numPr>
              <w:spacing w:after="0" w:line="240" w:lineRule="auto"/>
              <w:ind w:left="0"/>
              <w:rPr>
                <w:noProof/>
              </w:rPr>
            </w:pPr>
            <w:r>
              <w:rPr>
                <w:noProof/>
              </w:rPr>
              <w:t>- Développement d'une plateforme électronique pour l'enseignement et la formation professionnels (EFP)</w:t>
            </w:r>
          </w:p>
        </w:tc>
      </w:tr>
    </w:tbl>
    <w:p w14:paraId="327C50EF" w14:textId="77777777" w:rsidR="00A00259" w:rsidRDefault="00A00259">
      <w:pPr>
        <w:spacing w:before="120" w:after="120" w:line="240" w:lineRule="auto"/>
        <w:ind w:left="709"/>
        <w:jc w:val="both"/>
        <w:rPr>
          <w:rFonts w:ascii="Times New Roman" w:hAnsi="Times New Roman" w:cs="Times New Roman"/>
          <w:noProof/>
          <w:sz w:val="24"/>
        </w:rPr>
        <w:sectPr w:rsidR="00A00259">
          <w:headerReference w:type="even" r:id="rId198"/>
          <w:headerReference w:type="default" r:id="rId199"/>
          <w:footerReference w:type="even" r:id="rId200"/>
          <w:footerReference w:type="default" r:id="rId201"/>
          <w:headerReference w:type="first" r:id="rId202"/>
          <w:footerReference w:type="first" r:id="rId203"/>
          <w:pgSz w:w="16839" w:h="11907" w:orient="landscape"/>
          <w:pgMar w:top="1134" w:right="1134" w:bottom="1134" w:left="1134" w:header="567" w:footer="567" w:gutter="0"/>
          <w:cols w:space="720"/>
          <w:docGrid w:linePitch="360"/>
        </w:sectPr>
      </w:pPr>
    </w:p>
    <w:p w14:paraId="6639BA36" w14:textId="77777777" w:rsidR="00A00259" w:rsidRDefault="00371282">
      <w:pPr>
        <w:pStyle w:val="P68B1DB1-Normal17"/>
        <w:spacing w:before="120" w:after="120" w:line="240" w:lineRule="auto"/>
        <w:ind w:firstLine="6"/>
        <w:jc w:val="both"/>
        <w:outlineLvl w:val="3"/>
        <w:rPr>
          <w:rFonts w:cs="Times New Roman"/>
          <w:bCs/>
          <w:noProof/>
        </w:rPr>
      </w:pPr>
      <w:r>
        <w:rPr>
          <w:noProof/>
        </w:rPr>
        <w:t>J. Élément 3.3: AMÉLIORER LA RESILIENCE, L'ACCESSIBILITÉ ET LA DURABILITÉ DES SOINS DE SANTÉ</w:t>
      </w:r>
    </w:p>
    <w:p w14:paraId="4FA99E34" w14:textId="77777777" w:rsidR="00A00259" w:rsidRDefault="00371282">
      <w:pPr>
        <w:pStyle w:val="P68B1DB1-Normal5"/>
        <w:spacing w:before="120" w:after="120" w:line="240" w:lineRule="auto"/>
        <w:jc w:val="both"/>
        <w:rPr>
          <w:rFonts w:cs="Times New Roman"/>
          <w:noProof/>
        </w:rPr>
      </w:pPr>
      <w:r>
        <w:rPr>
          <w:noProof/>
        </w:rPr>
        <w:t>Ce volet du plan grec pour la reprise et la résilience est axé sur le renforcement de la résilience du système de soins de santé au moyen de diverses interventions. Une partie de ces mesures est axée sur les infrastructures, tant physiques que numériques, et sur les améliorations opérationnelles visant à moderniser et à moderniser le système hospitalier et le réseau de centres de santé. D'autres visent à soutenir et à améliorer l'accès, l'efficacité et la résilience du secteur des soins de santé. Plus précisément, il s’agit notamment de mesures visant à renforcer la santé publique et la prévention, à accroître la capacité du système de soins de santé à fournir des services de santé mentale et de soins à domicile, à soutenir la transition vers un secteur des soins de santé primaires plus solide et à rationaliser les dépenses pharmaceutiques et à soutenir la R&amp;amp pharmaceutique;D. Le plan de numérisation des systèmes et services de soins de santé a pour objectif de promouvoir l’efficacité, d’améliorer l’accès et d’accroître la transparence et la qualité globales des dépenses publiques dans le système. 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39272302" w14:textId="77777777" w:rsidR="00A00259" w:rsidRDefault="00371282">
      <w:pPr>
        <w:pStyle w:val="P68B1DB1-Normal6"/>
        <w:spacing w:before="120" w:after="120" w:line="240" w:lineRule="auto"/>
        <w:jc w:val="both"/>
        <w:rPr>
          <w:rFonts w:cs="Times New Roman"/>
          <w:bCs/>
          <w:i/>
          <w:iCs/>
          <w:noProof/>
          <w:color w:val="4F81BD"/>
        </w:rPr>
      </w:pPr>
      <w:r>
        <w:rPr>
          <w:noProof/>
        </w:rPr>
        <w:t>J.1. Description des réformes et des investissements pour le soutien financier non remboursable</w:t>
      </w:r>
    </w:p>
    <w:p w14:paraId="2D76CFB5"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Réduction de la récupération et rationalisation des dépenses de santé (mesure ID: 16816)</w:t>
      </w:r>
    </w:p>
    <w:p w14:paraId="420B0D46" w14:textId="77777777" w:rsidR="00A00259" w:rsidRDefault="00371282">
      <w:pPr>
        <w:pStyle w:val="P68B1DB1-Normal7"/>
        <w:spacing w:before="120" w:after="120" w:line="240" w:lineRule="auto"/>
        <w:jc w:val="both"/>
        <w:rPr>
          <w:rFonts w:eastAsia="Times New Roman" w:cs="Times New Roman"/>
          <w:noProof/>
        </w:rPr>
      </w:pPr>
      <w:r>
        <w:rPr>
          <w:noProof/>
        </w:rPr>
        <w:t>L’objectif de la mesure est la réduction de la récupération et le contrôle des dépenses pharmaceutiques. La réforme consiste à fixer un objectif contraignant de réduction de la récupération pour les années 2022 à 2025 et à compenser partiellement les engagements des entreprises en matière de récupération par des essais cliniques, des dépenses de R&amp;D ou d’autres dépenses d’investissement pour 2021 et au-delà.</w:t>
      </w:r>
    </w:p>
    <w:p w14:paraId="3D090AF3"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Réforme du système de soins de santé primaires (mesure ID: 16755)</w:t>
      </w:r>
    </w:p>
    <w:p w14:paraId="1EF5E1EC" w14:textId="77777777" w:rsidR="00A00259" w:rsidRDefault="00371282">
      <w:pPr>
        <w:pStyle w:val="P68B1DB1-Normal7"/>
        <w:spacing w:before="120" w:after="120" w:line="240" w:lineRule="auto"/>
        <w:jc w:val="both"/>
        <w:rPr>
          <w:rFonts w:cs="Times New Roman"/>
          <w:noProof/>
        </w:rPr>
      </w:pPr>
      <w:r>
        <w:rPr>
          <w:noProof/>
        </w:rPr>
        <w:t>L’objectif de la mesure est de moderniser les infrastructures et les équipements médicaux des unités de soins de santé primaires et de réorganiser le système de soins de santé primaires en formant le personnel pour qu’il joue le rôle de soins de première ligne. La mesure consiste en la rénovation d’unités de soins de santé primaires pour l’efficacité énergétique et l’équipement médical de livraison. Il comprend également la soumission de propositions pour la réforme des soins de santé primaires (SSP), un mécanisme pilote d'aiguillage, des formations au personnel des SSP et une plate-forme numérique pour la prise de décision en matière de SSP. Enfin, il comprend l'élargissement de la disponibilité des programmes de médecine familiale dans les programmes de médecine et la création d'unités de gestion des maladies chroniques.</w:t>
      </w:r>
    </w:p>
    <w:p w14:paraId="59E8E5D0"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Mise en œuvre du programme national de prévention de la santé publique «Spiros Doxiadis» (NPP «SD») (ID de mesure: 16783)</w:t>
      </w:r>
    </w:p>
    <w:p w14:paraId="56C5368D" w14:textId="77777777" w:rsidR="00A00259" w:rsidRDefault="00371282">
      <w:pPr>
        <w:pStyle w:val="P68B1DB1-Normal7"/>
        <w:spacing w:before="120" w:after="120" w:line="240" w:lineRule="auto"/>
        <w:jc w:val="both"/>
        <w:rPr>
          <w:rFonts w:cs="Times New Roman"/>
          <w:noProof/>
        </w:rPr>
      </w:pPr>
      <w:r>
        <w:rPr>
          <w:noProof/>
        </w:rPr>
        <w:t xml:space="preserve">L'objectif de la mesure est de créer un système global de prévention sanitaire primaire et secondaire. La mesure comprend des interventions de prévention de la santé et des interventions de dépistage de la population, ainsi qu'un système de surveillance de la santé. </w:t>
      </w:r>
    </w:p>
    <w:p w14:paraId="66CA9ED4"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Réforme dans les domaines de la santé mentale et des toxicomanies (mesure ID: 16820)</w:t>
      </w:r>
    </w:p>
    <w:p w14:paraId="063C2288" w14:textId="77777777" w:rsidR="00A00259" w:rsidRDefault="00371282">
      <w:pPr>
        <w:pStyle w:val="P68B1DB1-Normal7"/>
        <w:spacing w:before="120" w:after="120" w:line="240" w:lineRule="auto"/>
        <w:jc w:val="both"/>
        <w:rPr>
          <w:noProof/>
        </w:rPr>
      </w:pPr>
      <w:r>
        <w:rPr>
          <w:noProof/>
        </w:rPr>
        <w:t>Cette réforme vise à garantir l’accès à des services de santé mentale de qualité à des populations spécifiques souffrant de maladies mentales et de toxicomanie, afin d’éviter leur marginalisation ou leur institutionnalisation. Il consiste à élargir les services de santé mentale par le biais d'unités de santé mentale pour les patients atteints de démence et de la maladie d'Alzheimer, ainsi que pour les patients atteints d'autisme et pour les patients du groupe d'âge des enfants, des adolescents et des jeunes adultes, ainsi que des services de santé mentale pour les personnes toxicomanes. Cela s’accompagne du développement d’applications web et de la numérisation des services de santé mentale. La mise en œuvre de la réforme est achevée au plus tard le 31 décembre 2023.</w:t>
      </w:r>
    </w:p>
    <w:p w14:paraId="4C056404" w14:textId="77777777" w:rsidR="00A00259" w:rsidRDefault="00371282">
      <w:pPr>
        <w:pStyle w:val="P68B1DB1-Normal7"/>
        <w:spacing w:before="120" w:after="0" w:line="240" w:lineRule="auto"/>
        <w:jc w:val="both"/>
        <w:rPr>
          <w:rFonts w:cs="Times New Roman"/>
          <w:noProof/>
        </w:rPr>
      </w:pPr>
      <w:r>
        <w:rPr>
          <w:b/>
          <w:noProof/>
        </w:rPr>
        <w:t>Réforme:</w:t>
      </w:r>
      <w:r>
        <w:rPr>
          <w:noProof/>
        </w:rPr>
        <w:t xml:space="preserve"> Réformes organisationnelles du système de santé (mesure ID: 16756)</w:t>
      </w:r>
    </w:p>
    <w:p w14:paraId="05DAD888" w14:textId="77777777" w:rsidR="00A00259" w:rsidRDefault="00371282">
      <w:pPr>
        <w:pStyle w:val="P68B1DB1-Normal7"/>
        <w:spacing w:before="120" w:after="0" w:line="240" w:lineRule="auto"/>
        <w:jc w:val="both"/>
        <w:rPr>
          <w:noProof/>
        </w:rPr>
      </w:pPr>
      <w:r>
        <w:rPr>
          <w:noProof/>
        </w:rPr>
        <w:t xml:space="preserve">L’objectif de la mesure est de rationaliser le remboursement des procédures médicales hospitalières. La mesure consiste en 1) la création de plates-formes pour le groupe grec de diagnostic (DRG) Institut (KETEKNY), 2) la création d'une carte nationale de la santé qui enregistre la demande et l'offre de services dans le système de santé, 3) la réduction de la liste d'attente pour les chirurgies électives, et 4) la création d'outils et de services pour aider les citoyens à naviguer dans le système de santé. </w:t>
      </w:r>
    </w:p>
    <w:p w14:paraId="37B17C2C" w14:textId="77777777" w:rsidR="00A00259" w:rsidRDefault="00371282">
      <w:pPr>
        <w:pStyle w:val="P68B1DB1-Normal7"/>
        <w:spacing w:before="120" w:after="0" w:line="240" w:lineRule="auto"/>
        <w:jc w:val="both"/>
        <w:rPr>
          <w:rFonts w:cs="Times New Roman"/>
          <w:noProof/>
        </w:rPr>
      </w:pPr>
      <w:r>
        <w:rPr>
          <w:b/>
          <w:noProof/>
        </w:rPr>
        <w:t>Investissement:</w:t>
      </w:r>
      <w:r>
        <w:rPr>
          <w:noProof/>
        </w:rPr>
        <w:t xml:space="preserve"> Infrastructure de santé (ID de mesure: 16795)</w:t>
      </w:r>
    </w:p>
    <w:p w14:paraId="2EF5889D" w14:textId="386AD60C" w:rsidR="00A00259" w:rsidRDefault="00371282">
      <w:pPr>
        <w:pStyle w:val="NormalWeb"/>
        <w:spacing w:before="120" w:after="0" w:line="240" w:lineRule="auto"/>
        <w:jc w:val="both"/>
        <w:rPr>
          <w:noProof/>
        </w:rPr>
      </w:pPr>
      <w:r>
        <w:rPr>
          <w:noProof/>
        </w:rPr>
        <w:t>L’objectif de la mesure est de rénover les infrastructures et les outils nécessaires à une meilleure prestation des services de santé. La mesure consiste en la rénovation et/ou la construction d’hôpitaux dans toute la Grèce (y compris avec des travaux d’efficacité énergétique).</w:t>
      </w:r>
    </w:p>
    <w:p w14:paraId="1C86C6B4" w14:textId="77777777" w:rsidR="00A00259" w:rsidRDefault="00371282">
      <w:pPr>
        <w:pStyle w:val="P68B1DB1-Normal7"/>
        <w:spacing w:before="120" w:after="0" w:line="240" w:lineRule="auto"/>
        <w:jc w:val="both"/>
        <w:rPr>
          <w:rFonts w:cs="Times New Roman"/>
          <w:noProof/>
        </w:rPr>
      </w:pPr>
      <w:r>
        <w:rPr>
          <w:b/>
          <w:noProof/>
        </w:rPr>
        <w:t>Investissement:</w:t>
      </w:r>
      <w:r>
        <w:rPr>
          <w:noProof/>
        </w:rPr>
        <w:t xml:space="preserve"> Transformation numérique de la santé (DigHealth) (ID de mesure: 16752)</w:t>
      </w:r>
    </w:p>
    <w:p w14:paraId="7981AECB" w14:textId="77777777" w:rsidR="00A00259" w:rsidRDefault="00371282">
      <w:pPr>
        <w:pStyle w:val="P68B1DB1-Normal7"/>
        <w:spacing w:before="120" w:after="0" w:line="240" w:lineRule="auto"/>
        <w:jc w:val="both"/>
        <w:rPr>
          <w:noProof/>
        </w:rPr>
      </w:pPr>
      <w:r>
        <w:rPr>
          <w:noProof/>
        </w:rPr>
        <w:t xml:space="preserve">L’objectif de la mesure est de numériser le système de santé national. La mesure consiste en la réalisation de projets numériques dans le secteur des soins de santé. </w:t>
      </w:r>
    </w:p>
    <w:p w14:paraId="7F1BA5EB" w14:textId="77777777" w:rsidR="00A00259" w:rsidRDefault="00371282">
      <w:pPr>
        <w:pStyle w:val="P68B1DB1-Normal5"/>
        <w:spacing w:before="120" w:after="0" w:line="240" w:lineRule="auto"/>
        <w:jc w:val="both"/>
        <w:rPr>
          <w:rFonts w:cs="Times New Roman"/>
          <w:noProof/>
        </w:rPr>
      </w:pPr>
      <w:r>
        <w:rPr>
          <w:b/>
          <w:noProof/>
        </w:rPr>
        <w:t>Investissement:</w:t>
      </w:r>
      <w:r>
        <w:rPr>
          <w:noProof/>
        </w:rPr>
        <w:t xml:space="preserve"> Centre de radiothérapie de l’hôpital des maladies thoraciques «Sotiria» d’Athènes (mesure ID: 16757)</w:t>
      </w:r>
    </w:p>
    <w:p w14:paraId="62B91218" w14:textId="1DCFA385" w:rsidR="00A00259" w:rsidRDefault="00371282">
      <w:pPr>
        <w:pStyle w:val="P68B1DB1-Normal7"/>
        <w:spacing w:before="120" w:after="0" w:line="240" w:lineRule="auto"/>
        <w:jc w:val="both"/>
        <w:rPr>
          <w:rFonts w:cs="Times New Roman"/>
          <w:noProof/>
        </w:rPr>
      </w:pPr>
      <w:r>
        <w:rPr>
          <w:noProof/>
        </w:rPr>
        <w:t xml:space="preserve">L'objectif de la mesure est la construction et l'incorporation d'un centre de radiothérapie à l'hôpital Sotiria pour aider à répondre aux besoins des patients atteints de cancer dans le pays. La mesure consiste en un nouveau bâtiment construit à l’hôpital Sotiria pour abriter le nouveau service de radiothérapie, ainsi qu’en des infrastructures hospitalières construites et/ou rénovées. </w:t>
      </w:r>
    </w:p>
    <w:p w14:paraId="70F807F2" w14:textId="77777777" w:rsidR="00A00259" w:rsidRDefault="00371282">
      <w:pPr>
        <w:pStyle w:val="P68B1DB1-Normal5"/>
        <w:spacing w:before="120" w:after="0" w:line="240" w:lineRule="auto"/>
        <w:jc w:val="both"/>
        <w:rPr>
          <w:rFonts w:cs="Times New Roman"/>
          <w:noProof/>
        </w:rPr>
      </w:pPr>
      <w:r>
        <w:rPr>
          <w:b/>
          <w:noProof/>
        </w:rPr>
        <w:t>Investissement:</w:t>
      </w:r>
      <w:r>
        <w:rPr>
          <w:noProof/>
        </w:rPr>
        <w:t xml:space="preserve"> Mise en place de systèmes de soins de santé à domicile &amp; Hospital at Home (mesure ID: 16753)</w:t>
      </w:r>
    </w:p>
    <w:p w14:paraId="7655B7F6" w14:textId="2AEC0380" w:rsidR="00A00259" w:rsidRDefault="00371282">
      <w:pPr>
        <w:pStyle w:val="P68B1DB1-Normal7"/>
        <w:spacing w:before="120" w:after="0" w:line="240" w:lineRule="auto"/>
        <w:jc w:val="both"/>
        <w:rPr>
          <w:noProof/>
        </w:rPr>
      </w:pPr>
      <w:r>
        <w:rPr>
          <w:noProof/>
        </w:rPr>
        <w:t xml:space="preserve">L'objectif de la mesure est d'établir un système de soins à domicile pour les patients souffrant d'incapacités chroniques. La mesure se compose de huit centres de référence en matière de soins à domicile auxquels la participation a été accordée, d'applications de télémédecine et d'équipements fournis, d'un registre national des patients traités par le biais de soins à domicile fournis et de protocoles et de normes de qualité établis en matière de «soins hospitaliers à domicile». </w:t>
      </w:r>
    </w:p>
    <w:p w14:paraId="517F4BAE" w14:textId="77777777" w:rsidR="00A00259" w:rsidRDefault="00371282">
      <w:pPr>
        <w:pStyle w:val="P68B1DB1-Normal5"/>
        <w:spacing w:before="120" w:after="0" w:line="240" w:lineRule="auto"/>
        <w:jc w:val="both"/>
        <w:rPr>
          <w:rFonts w:cs="Times New Roman"/>
          <w:noProof/>
        </w:rPr>
      </w:pPr>
      <w:r>
        <w:rPr>
          <w:b/>
          <w:noProof/>
        </w:rPr>
        <w:t>Investissement:</w:t>
      </w:r>
      <w:r>
        <w:rPr>
          <w:noProof/>
        </w:rPr>
        <w:t xml:space="preserve"> Cell &amp; Gene Therapies and Hematology Clinic Laboratories au sein de l’hôpital général de Thessalonique «Papanikolaou» (ID de mesure: 16793). </w:t>
      </w:r>
    </w:p>
    <w:p w14:paraId="1B874108" w14:textId="77777777" w:rsidR="00A00259" w:rsidRDefault="00371282">
      <w:pPr>
        <w:pStyle w:val="P68B1DB1-Normal7"/>
        <w:spacing w:before="120" w:after="0" w:line="240" w:lineRule="auto"/>
        <w:jc w:val="both"/>
        <w:rPr>
          <w:rFonts w:cs="Times New Roman"/>
          <w:noProof/>
        </w:rPr>
      </w:pPr>
      <w:r>
        <w:rPr>
          <w:noProof/>
        </w:rPr>
        <w:t>L’objectif de la mesure est de contribuer à répondre aux besoins accrus en matière de soins aux patients atteints de maladies hématologiques malignes. La mesure consiste en un nouveau bâtiment construit à l'hôpital Papanikolaou pour abriter les laboratoires de la clinique de thérapie génique et d'hématologie Cell &amp;.</w:t>
      </w:r>
    </w:p>
    <w:p w14:paraId="2ED69C2F" w14:textId="77777777" w:rsidR="00A00259" w:rsidRDefault="00371282">
      <w:pPr>
        <w:pStyle w:val="P68B1DB1-Normal5"/>
        <w:spacing w:before="120" w:after="0" w:line="240" w:lineRule="auto"/>
        <w:jc w:val="both"/>
        <w:rPr>
          <w:rFonts w:cs="Times New Roman"/>
          <w:noProof/>
        </w:rPr>
      </w:pPr>
      <w:r>
        <w:rPr>
          <w:b/>
          <w:noProof/>
        </w:rPr>
        <w:t>Réforme:</w:t>
      </w:r>
      <w:r>
        <w:rPr>
          <w:noProof/>
        </w:rPr>
        <w:t xml:space="preserve"> Réforme du médecin personnel (mesure ID: 16984)</w:t>
      </w:r>
    </w:p>
    <w:p w14:paraId="7A328D77" w14:textId="77777777" w:rsidR="00A00259" w:rsidRDefault="00371282">
      <w:pPr>
        <w:pStyle w:val="P68B1DB1-Default40"/>
        <w:jc w:val="both"/>
        <w:rPr>
          <w:rFonts w:cs="Times New Roman"/>
          <w:noProof/>
        </w:rPr>
        <w:sectPr w:rsidR="00A00259">
          <w:headerReference w:type="even" r:id="rId204"/>
          <w:headerReference w:type="default" r:id="rId205"/>
          <w:footerReference w:type="even" r:id="rId206"/>
          <w:footerReference w:type="default" r:id="rId207"/>
          <w:headerReference w:type="first" r:id="rId208"/>
          <w:footerReference w:type="first" r:id="rId209"/>
          <w:pgSz w:w="11906" w:h="16838"/>
          <w:pgMar w:top="1134" w:right="1134" w:bottom="1134" w:left="1134" w:header="567" w:footer="567" w:gutter="0"/>
          <w:cols w:space="708"/>
          <w:docGrid w:linePitch="360"/>
        </w:sectPr>
      </w:pPr>
      <w:r>
        <w:rPr>
          <w:noProof/>
        </w:rPr>
        <w:t>L'objectif de la mesure est d'augmenter le nombre de médecins personnels inscrits dans le système de médecins personnels afin d'atteindre la couverture de la population et l'enregistrement de la population. La mesure consiste en un nouveau cadre législatif pour inscrire les médecins ruraux actuels en tant que médecins personnels, en créant de nouveaux postes similaires à ceux de médecins personnels et en introduisant un mécanisme visant à inciter les médecins à devenir résidents en médecine générale / familiale ou en médecine interne. Il comprend également l'activation des systèmes d'enregistrement et de référence.</w:t>
      </w:r>
    </w:p>
    <w:p w14:paraId="0069F8A2" w14:textId="77777777" w:rsidR="00A00259" w:rsidRDefault="00371282">
      <w:pPr>
        <w:pStyle w:val="P68B1DB1-Normal6"/>
        <w:spacing w:before="120" w:after="120" w:line="240" w:lineRule="auto"/>
        <w:jc w:val="both"/>
        <w:rPr>
          <w:noProof/>
        </w:rPr>
      </w:pPr>
      <w:r>
        <w:rPr>
          <w:noProof/>
        </w:rPr>
        <w:t>J.2. Étapes, cibles, indicateurs et calendrier pour le suivi et la mise en œuvre du soutien financier non remboursable</w:t>
      </w:r>
    </w:p>
    <w:p w14:paraId="7C740FA0" w14:textId="77777777" w:rsidR="00A00259" w:rsidRDefault="00371282">
      <w:pPr>
        <w:pStyle w:val="P68B1DB1-Normal9"/>
        <w:keepNext/>
        <w:keepLines/>
        <w:spacing w:before="40" w:after="0" w:line="240" w:lineRule="auto"/>
        <w:jc w:val="both"/>
        <w:outlineLvl w:val="4"/>
        <w:rPr>
          <w:noProof/>
        </w:rPr>
      </w:pPr>
      <w:r>
        <w:rPr>
          <w:noProof/>
        </w:rPr>
        <w:t>Réforme clé 7: Réformes et accélération des investissements dans le secteur de la santé - Réduction de la récupération et rationalisation des dépenses de santé (ID: 16816)</w:t>
      </w: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1689"/>
        <w:gridCol w:w="1088"/>
        <w:gridCol w:w="1399"/>
        <w:gridCol w:w="1717"/>
        <w:gridCol w:w="1286"/>
        <w:gridCol w:w="936"/>
        <w:gridCol w:w="846"/>
        <w:gridCol w:w="986"/>
        <w:gridCol w:w="992"/>
        <w:gridCol w:w="4501"/>
      </w:tblGrid>
      <w:tr w:rsidR="00A00259" w14:paraId="5B2217D0" w14:textId="77777777">
        <w:trPr>
          <w:trHeight w:val="759"/>
          <w:tblHeader/>
          <w:jc w:val="center"/>
        </w:trPr>
        <w:tc>
          <w:tcPr>
            <w:tcW w:w="592" w:type="dxa"/>
            <w:vMerge w:val="restart"/>
            <w:shd w:val="clear" w:color="auto" w:fill="BDD7EE"/>
            <w:vAlign w:val="center"/>
            <w:hideMark/>
          </w:tcPr>
          <w:p w14:paraId="0B8876D9"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Seq. </w:t>
            </w:r>
            <w:r>
              <w:rPr>
                <w:noProof/>
              </w:rPr>
              <w:br/>
              <w:t>Non.</w:t>
            </w:r>
          </w:p>
        </w:tc>
        <w:tc>
          <w:tcPr>
            <w:tcW w:w="1689" w:type="dxa"/>
            <w:vMerge w:val="restart"/>
            <w:shd w:val="clear" w:color="auto" w:fill="BDD7EE"/>
            <w:vAlign w:val="center"/>
            <w:hideMark/>
          </w:tcPr>
          <w:p w14:paraId="0D441F27" w14:textId="77777777" w:rsidR="00A00259" w:rsidRDefault="00371282">
            <w:pPr>
              <w:pStyle w:val="P68B1DB1-Normal41"/>
              <w:spacing w:after="0" w:line="240" w:lineRule="auto"/>
              <w:jc w:val="center"/>
              <w:rPr>
                <w:rFonts w:eastAsia="Times New Roman" w:cs="Times New Roman"/>
                <w:bCs/>
                <w:noProof/>
              </w:rPr>
            </w:pPr>
            <w:r>
              <w:rPr>
                <w:noProof/>
              </w:rPr>
              <w:t>Mesure connexe (réforme ou investissement)</w:t>
            </w:r>
          </w:p>
        </w:tc>
        <w:tc>
          <w:tcPr>
            <w:tcW w:w="1088" w:type="dxa"/>
            <w:vMerge w:val="restart"/>
            <w:shd w:val="clear" w:color="auto" w:fill="BDD7EE"/>
            <w:vAlign w:val="center"/>
            <w:hideMark/>
          </w:tcPr>
          <w:p w14:paraId="096BD71D" w14:textId="77777777" w:rsidR="00A00259" w:rsidRDefault="00371282">
            <w:pPr>
              <w:pStyle w:val="P68B1DB1-Normal41"/>
              <w:spacing w:after="0" w:line="240" w:lineRule="auto"/>
              <w:jc w:val="center"/>
              <w:rPr>
                <w:rFonts w:eastAsia="Times New Roman" w:cs="Times New Roman"/>
                <w:bCs/>
                <w:noProof/>
              </w:rPr>
            </w:pPr>
            <w:r>
              <w:rPr>
                <w:noProof/>
              </w:rPr>
              <w:t>Étape/cible</w:t>
            </w:r>
          </w:p>
        </w:tc>
        <w:tc>
          <w:tcPr>
            <w:tcW w:w="1350" w:type="dxa"/>
            <w:vMerge w:val="restart"/>
            <w:shd w:val="clear" w:color="auto" w:fill="BDD7EE"/>
            <w:vAlign w:val="center"/>
            <w:hideMark/>
          </w:tcPr>
          <w:p w14:paraId="09283301" w14:textId="77777777" w:rsidR="00A00259" w:rsidRDefault="00371282">
            <w:pPr>
              <w:pStyle w:val="P68B1DB1-Normal41"/>
              <w:spacing w:after="0" w:line="240" w:lineRule="auto"/>
              <w:jc w:val="center"/>
              <w:rPr>
                <w:rFonts w:eastAsia="Times New Roman" w:cs="Times New Roman"/>
                <w:bCs/>
                <w:noProof/>
              </w:rPr>
            </w:pPr>
            <w:r>
              <w:rPr>
                <w:noProof/>
              </w:rPr>
              <w:t>Nom</w:t>
            </w:r>
          </w:p>
        </w:tc>
        <w:tc>
          <w:tcPr>
            <w:tcW w:w="1717" w:type="dxa"/>
            <w:vMerge w:val="restart"/>
            <w:shd w:val="clear" w:color="auto" w:fill="BDD7EE"/>
            <w:vAlign w:val="center"/>
            <w:hideMark/>
          </w:tcPr>
          <w:p w14:paraId="66395B11" w14:textId="77777777" w:rsidR="00A00259" w:rsidRDefault="00371282">
            <w:pPr>
              <w:pStyle w:val="P68B1DB1-Normal41"/>
              <w:spacing w:after="0" w:line="240" w:lineRule="auto"/>
              <w:jc w:val="center"/>
              <w:rPr>
                <w:rFonts w:eastAsia="Times New Roman" w:cs="Times New Roman"/>
                <w:bCs/>
                <w:noProof/>
              </w:rPr>
            </w:pPr>
            <w:r>
              <w:rPr>
                <w:noProof/>
              </w:rPr>
              <w:t>Indicateurs qualitatifs (pour les jalons)</w:t>
            </w:r>
          </w:p>
        </w:tc>
        <w:tc>
          <w:tcPr>
            <w:tcW w:w="2828" w:type="dxa"/>
            <w:gridSpan w:val="3"/>
            <w:shd w:val="clear" w:color="auto" w:fill="BDD7EE"/>
            <w:vAlign w:val="center"/>
            <w:hideMark/>
          </w:tcPr>
          <w:p w14:paraId="416793BC" w14:textId="77777777" w:rsidR="00A00259" w:rsidRDefault="00371282">
            <w:pPr>
              <w:pStyle w:val="P68B1DB1-Normal41"/>
              <w:spacing w:after="0" w:line="240" w:lineRule="auto"/>
              <w:jc w:val="center"/>
              <w:rPr>
                <w:rFonts w:eastAsia="Times New Roman" w:cs="Times New Roman"/>
                <w:bCs/>
                <w:noProof/>
              </w:rPr>
            </w:pPr>
            <w:r>
              <w:rPr>
                <w:noProof/>
              </w:rPr>
              <w:t xml:space="preserve">Indicateurs quantitatifs </w:t>
            </w:r>
            <w:r>
              <w:rPr>
                <w:noProof/>
              </w:rPr>
              <w:br/>
              <w:t xml:space="preserve"> (pour les objectifs)</w:t>
            </w:r>
          </w:p>
        </w:tc>
        <w:tc>
          <w:tcPr>
            <w:tcW w:w="1965" w:type="dxa"/>
            <w:gridSpan w:val="2"/>
            <w:shd w:val="clear" w:color="auto" w:fill="BDD7EE"/>
            <w:vAlign w:val="center"/>
            <w:hideMark/>
          </w:tcPr>
          <w:p w14:paraId="3D9B771A" w14:textId="77777777" w:rsidR="00A00259" w:rsidRDefault="00371282">
            <w:pPr>
              <w:pStyle w:val="P68B1DB1-Normal41"/>
              <w:spacing w:after="0" w:line="240" w:lineRule="auto"/>
              <w:jc w:val="center"/>
              <w:rPr>
                <w:rFonts w:eastAsia="Times New Roman" w:cs="Times New Roman"/>
                <w:bCs/>
                <w:noProof/>
              </w:rPr>
            </w:pPr>
            <w:r>
              <w:rPr>
                <w:noProof/>
              </w:rPr>
              <w:t xml:space="preserve">Calendrier indicatif d'achèvement </w:t>
            </w:r>
          </w:p>
        </w:tc>
        <w:tc>
          <w:tcPr>
            <w:tcW w:w="4501" w:type="dxa"/>
            <w:vMerge w:val="restart"/>
            <w:shd w:val="clear" w:color="auto" w:fill="BDD7EE"/>
            <w:vAlign w:val="center"/>
            <w:hideMark/>
          </w:tcPr>
          <w:p w14:paraId="1034F831" w14:textId="77777777" w:rsidR="00A00259" w:rsidRDefault="00371282">
            <w:pPr>
              <w:pStyle w:val="P68B1DB1-Normal41"/>
              <w:spacing w:after="0" w:line="240" w:lineRule="auto"/>
              <w:jc w:val="center"/>
              <w:rPr>
                <w:rFonts w:eastAsia="Times New Roman" w:cs="Times New Roman"/>
                <w:bCs/>
                <w:noProof/>
              </w:rPr>
            </w:pPr>
            <w:r>
              <w:rPr>
                <w:noProof/>
              </w:rPr>
              <w:t>Description de chaque jalon et cible</w:t>
            </w:r>
          </w:p>
        </w:tc>
      </w:tr>
      <w:tr w:rsidR="00A00259" w14:paraId="4E0979F8" w14:textId="77777777">
        <w:trPr>
          <w:trHeight w:val="532"/>
          <w:tblHeader/>
          <w:jc w:val="center"/>
        </w:trPr>
        <w:tc>
          <w:tcPr>
            <w:tcW w:w="592" w:type="dxa"/>
            <w:vMerge/>
            <w:vAlign w:val="center"/>
            <w:hideMark/>
          </w:tcPr>
          <w:p w14:paraId="45F86040" w14:textId="77777777" w:rsidR="00A00259" w:rsidRDefault="00A00259">
            <w:pPr>
              <w:spacing w:after="0" w:line="240" w:lineRule="auto"/>
              <w:rPr>
                <w:rFonts w:ascii="Times New Roman" w:eastAsia="Times New Roman" w:hAnsi="Times New Roman" w:cs="Times New Roman"/>
                <w:b/>
                <w:bCs/>
                <w:noProof/>
                <w:sz w:val="18"/>
                <w:szCs w:val="18"/>
              </w:rPr>
            </w:pPr>
          </w:p>
        </w:tc>
        <w:tc>
          <w:tcPr>
            <w:tcW w:w="1689" w:type="dxa"/>
            <w:vMerge/>
            <w:vAlign w:val="center"/>
            <w:hideMark/>
          </w:tcPr>
          <w:p w14:paraId="64916159" w14:textId="77777777" w:rsidR="00A00259" w:rsidRDefault="00A00259">
            <w:pPr>
              <w:spacing w:after="0" w:line="240" w:lineRule="auto"/>
              <w:rPr>
                <w:rFonts w:ascii="Times New Roman" w:eastAsia="Times New Roman" w:hAnsi="Times New Roman" w:cs="Times New Roman"/>
                <w:b/>
                <w:bCs/>
                <w:noProof/>
                <w:sz w:val="18"/>
                <w:szCs w:val="18"/>
              </w:rPr>
            </w:pPr>
          </w:p>
        </w:tc>
        <w:tc>
          <w:tcPr>
            <w:tcW w:w="1088" w:type="dxa"/>
            <w:vMerge/>
            <w:vAlign w:val="center"/>
            <w:hideMark/>
          </w:tcPr>
          <w:p w14:paraId="385074F7" w14:textId="77777777" w:rsidR="00A00259" w:rsidRDefault="00A00259">
            <w:pPr>
              <w:spacing w:after="0" w:line="240" w:lineRule="auto"/>
              <w:rPr>
                <w:rFonts w:ascii="Times New Roman" w:eastAsia="Times New Roman" w:hAnsi="Times New Roman" w:cs="Times New Roman"/>
                <w:b/>
                <w:bCs/>
                <w:noProof/>
                <w:sz w:val="18"/>
                <w:szCs w:val="18"/>
              </w:rPr>
            </w:pPr>
          </w:p>
        </w:tc>
        <w:tc>
          <w:tcPr>
            <w:tcW w:w="1350" w:type="dxa"/>
            <w:vMerge/>
            <w:vAlign w:val="center"/>
            <w:hideMark/>
          </w:tcPr>
          <w:p w14:paraId="01A3F536" w14:textId="77777777" w:rsidR="00A00259" w:rsidRDefault="00A00259">
            <w:pPr>
              <w:spacing w:after="0" w:line="240" w:lineRule="auto"/>
              <w:rPr>
                <w:rFonts w:ascii="Times New Roman" w:eastAsia="Times New Roman" w:hAnsi="Times New Roman" w:cs="Times New Roman"/>
                <w:b/>
                <w:bCs/>
                <w:noProof/>
                <w:sz w:val="18"/>
                <w:szCs w:val="18"/>
              </w:rPr>
            </w:pPr>
          </w:p>
        </w:tc>
        <w:tc>
          <w:tcPr>
            <w:tcW w:w="1717" w:type="dxa"/>
            <w:vMerge/>
            <w:vAlign w:val="center"/>
            <w:hideMark/>
          </w:tcPr>
          <w:p w14:paraId="0A02C50E" w14:textId="77777777" w:rsidR="00A00259" w:rsidRDefault="00A00259">
            <w:pPr>
              <w:spacing w:after="0" w:line="240" w:lineRule="auto"/>
              <w:rPr>
                <w:rFonts w:ascii="Times New Roman" w:eastAsia="Times New Roman" w:hAnsi="Times New Roman" w:cs="Times New Roman"/>
                <w:b/>
                <w:bCs/>
                <w:noProof/>
                <w:sz w:val="18"/>
                <w:szCs w:val="18"/>
              </w:rPr>
            </w:pPr>
          </w:p>
        </w:tc>
        <w:tc>
          <w:tcPr>
            <w:tcW w:w="1194" w:type="dxa"/>
            <w:shd w:val="clear" w:color="auto" w:fill="BDD7EE"/>
            <w:vAlign w:val="center"/>
            <w:hideMark/>
          </w:tcPr>
          <w:p w14:paraId="274E528D" w14:textId="77777777" w:rsidR="00A00259" w:rsidRDefault="00371282">
            <w:pPr>
              <w:pStyle w:val="P68B1DB1-Normal41"/>
              <w:spacing w:after="0" w:line="240" w:lineRule="auto"/>
              <w:jc w:val="center"/>
              <w:rPr>
                <w:rFonts w:eastAsia="Times New Roman" w:cs="Times New Roman"/>
                <w:bCs/>
                <w:noProof/>
              </w:rPr>
            </w:pPr>
            <w:r>
              <w:rPr>
                <w:noProof/>
              </w:rPr>
              <w:t>Unité de mesure</w:t>
            </w:r>
          </w:p>
        </w:tc>
        <w:tc>
          <w:tcPr>
            <w:tcW w:w="870" w:type="dxa"/>
            <w:shd w:val="clear" w:color="auto" w:fill="BDD7EE"/>
            <w:vAlign w:val="center"/>
            <w:hideMark/>
          </w:tcPr>
          <w:p w14:paraId="02C1AD80" w14:textId="77777777" w:rsidR="00A00259" w:rsidRDefault="00371282">
            <w:pPr>
              <w:pStyle w:val="P68B1DB1-Normal41"/>
              <w:spacing w:after="0" w:line="240" w:lineRule="auto"/>
              <w:jc w:val="center"/>
              <w:rPr>
                <w:rFonts w:eastAsia="Times New Roman" w:cs="Times New Roman"/>
                <w:bCs/>
                <w:noProof/>
              </w:rPr>
            </w:pPr>
            <w:r>
              <w:rPr>
                <w:noProof/>
              </w:rPr>
              <w:t xml:space="preserve">Données de référence </w:t>
            </w:r>
          </w:p>
        </w:tc>
        <w:tc>
          <w:tcPr>
            <w:tcW w:w="764" w:type="dxa"/>
            <w:shd w:val="clear" w:color="auto" w:fill="BDD7EE"/>
            <w:vAlign w:val="center"/>
            <w:hideMark/>
          </w:tcPr>
          <w:p w14:paraId="5B29C128" w14:textId="77777777" w:rsidR="00A00259" w:rsidRDefault="00371282">
            <w:pPr>
              <w:pStyle w:val="P68B1DB1-Normal41"/>
              <w:spacing w:after="0" w:line="240" w:lineRule="auto"/>
              <w:jc w:val="center"/>
              <w:rPr>
                <w:rFonts w:eastAsia="Times New Roman" w:cs="Times New Roman"/>
                <w:bCs/>
                <w:noProof/>
              </w:rPr>
            </w:pPr>
            <w:r>
              <w:rPr>
                <w:noProof/>
              </w:rPr>
              <w:t xml:space="preserve">Objectif </w:t>
            </w:r>
          </w:p>
        </w:tc>
        <w:tc>
          <w:tcPr>
            <w:tcW w:w="973" w:type="dxa"/>
            <w:shd w:val="clear" w:color="auto" w:fill="BDD7EE"/>
            <w:vAlign w:val="center"/>
            <w:hideMark/>
          </w:tcPr>
          <w:p w14:paraId="6BE3FFD3" w14:textId="77777777" w:rsidR="00A00259" w:rsidRDefault="00371282">
            <w:pPr>
              <w:pStyle w:val="P68B1DB1-Normal41"/>
              <w:spacing w:after="0" w:line="240" w:lineRule="auto"/>
              <w:jc w:val="center"/>
              <w:rPr>
                <w:rFonts w:eastAsia="Times New Roman" w:cs="Times New Roman"/>
                <w:bCs/>
                <w:noProof/>
              </w:rPr>
            </w:pPr>
            <w:r>
              <w:rPr>
                <w:noProof/>
              </w:rPr>
              <w:t>Trimestre</w:t>
            </w:r>
          </w:p>
        </w:tc>
        <w:tc>
          <w:tcPr>
            <w:tcW w:w="992" w:type="dxa"/>
            <w:shd w:val="clear" w:color="auto" w:fill="BDD7EE"/>
            <w:vAlign w:val="center"/>
            <w:hideMark/>
          </w:tcPr>
          <w:p w14:paraId="24DA241C" w14:textId="77777777" w:rsidR="00A00259" w:rsidRDefault="00371282">
            <w:pPr>
              <w:pStyle w:val="P68B1DB1-Normal41"/>
              <w:spacing w:after="0" w:line="240" w:lineRule="auto"/>
              <w:jc w:val="center"/>
              <w:rPr>
                <w:rFonts w:eastAsia="Times New Roman" w:cs="Times New Roman"/>
                <w:bCs/>
                <w:noProof/>
              </w:rPr>
            </w:pPr>
            <w:r>
              <w:rPr>
                <w:noProof/>
              </w:rPr>
              <w:t>Année</w:t>
            </w:r>
          </w:p>
        </w:tc>
        <w:tc>
          <w:tcPr>
            <w:tcW w:w="4501" w:type="dxa"/>
            <w:vMerge/>
            <w:vAlign w:val="center"/>
            <w:hideMark/>
          </w:tcPr>
          <w:p w14:paraId="5FA813B9"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095A8483" w14:textId="77777777">
        <w:trPr>
          <w:trHeight w:val="309"/>
          <w:jc w:val="center"/>
        </w:trPr>
        <w:tc>
          <w:tcPr>
            <w:tcW w:w="592" w:type="dxa"/>
            <w:shd w:val="clear" w:color="auto" w:fill="C6EFCE"/>
            <w:noWrap/>
          </w:tcPr>
          <w:p w14:paraId="5C991029" w14:textId="77777777" w:rsidR="00A00259" w:rsidRDefault="00371282">
            <w:pPr>
              <w:pStyle w:val="P68B1DB1-Normal12"/>
              <w:spacing w:after="0" w:line="240" w:lineRule="auto"/>
              <w:rPr>
                <w:rFonts w:eastAsia="Times New Roman"/>
                <w:noProof/>
              </w:rPr>
            </w:pPr>
            <w:r>
              <w:rPr>
                <w:noProof/>
              </w:rPr>
              <w:t>153</w:t>
            </w:r>
          </w:p>
        </w:tc>
        <w:tc>
          <w:tcPr>
            <w:tcW w:w="1689" w:type="dxa"/>
            <w:shd w:val="clear" w:color="auto" w:fill="C6EFCE"/>
            <w:noWrap/>
          </w:tcPr>
          <w:p w14:paraId="770DD267" w14:textId="77777777"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 16816_ Réduction de la récupération et rationalisation des dépenses de santé</w:t>
            </w:r>
          </w:p>
        </w:tc>
        <w:tc>
          <w:tcPr>
            <w:tcW w:w="1088" w:type="dxa"/>
            <w:shd w:val="clear" w:color="auto" w:fill="C6EFCE"/>
            <w:noWrap/>
          </w:tcPr>
          <w:p w14:paraId="684DADA1" w14:textId="77777777" w:rsidR="00A00259" w:rsidRDefault="00371282">
            <w:pPr>
              <w:pStyle w:val="P68B1DB1-Normal12"/>
              <w:spacing w:after="0" w:line="240" w:lineRule="auto"/>
              <w:rPr>
                <w:rFonts w:eastAsia="Times New Roman"/>
                <w:noProof/>
              </w:rPr>
            </w:pPr>
            <w:r>
              <w:rPr>
                <w:noProof/>
              </w:rPr>
              <w:t>Étape</w:t>
            </w:r>
          </w:p>
        </w:tc>
        <w:tc>
          <w:tcPr>
            <w:tcW w:w="1350" w:type="dxa"/>
            <w:shd w:val="clear" w:color="auto" w:fill="C6EFCE"/>
            <w:noWrap/>
          </w:tcPr>
          <w:p w14:paraId="070AEF34" w14:textId="77777777" w:rsidR="00A00259" w:rsidRDefault="00371282">
            <w:pPr>
              <w:pStyle w:val="P68B1DB1-Normal12"/>
              <w:spacing w:after="0" w:line="240" w:lineRule="auto"/>
              <w:rPr>
                <w:rFonts w:eastAsia="Times New Roman"/>
                <w:noProof/>
              </w:rPr>
            </w:pPr>
            <w:r>
              <w:rPr>
                <w:noProof/>
              </w:rPr>
              <w:t>Récupération – entrée en vigueur de la législation</w:t>
            </w:r>
          </w:p>
        </w:tc>
        <w:tc>
          <w:tcPr>
            <w:tcW w:w="1717" w:type="dxa"/>
            <w:shd w:val="clear" w:color="auto" w:fill="C6EFCE"/>
            <w:noWrap/>
          </w:tcPr>
          <w:p w14:paraId="49875F14" w14:textId="77777777" w:rsidR="00A00259" w:rsidRDefault="00371282">
            <w:pPr>
              <w:pStyle w:val="P68B1DB1-Normal12"/>
              <w:spacing w:after="0" w:line="240" w:lineRule="auto"/>
              <w:rPr>
                <w:rFonts w:eastAsia="Times New Roman"/>
                <w:noProof/>
              </w:rPr>
            </w:pPr>
            <w:r>
              <w:rPr>
                <w:noProof/>
              </w:rPr>
              <w:t xml:space="preserve">Entrée en vigueur de la législation révisée introduisant le partage des risques et les objectifs contraignants de réduction minimale de la récupération conformément au calendrier décrit dans la description. </w:t>
            </w:r>
          </w:p>
        </w:tc>
        <w:tc>
          <w:tcPr>
            <w:tcW w:w="1194" w:type="dxa"/>
            <w:shd w:val="clear" w:color="auto" w:fill="C6EFCE"/>
            <w:noWrap/>
          </w:tcPr>
          <w:p w14:paraId="69575D2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70" w:type="dxa"/>
            <w:shd w:val="clear" w:color="auto" w:fill="C6EFCE"/>
            <w:noWrap/>
          </w:tcPr>
          <w:p w14:paraId="579D87A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64" w:type="dxa"/>
            <w:shd w:val="clear" w:color="auto" w:fill="C6EFCE"/>
            <w:noWrap/>
          </w:tcPr>
          <w:p w14:paraId="516A978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73" w:type="dxa"/>
            <w:shd w:val="clear" w:color="auto" w:fill="C6EFCE"/>
            <w:noWrap/>
          </w:tcPr>
          <w:p w14:paraId="014482F8" w14:textId="77777777" w:rsidR="00A00259" w:rsidRDefault="00371282">
            <w:pPr>
              <w:pStyle w:val="P68B1DB1-Normal12"/>
              <w:spacing w:after="0" w:line="240" w:lineRule="auto"/>
              <w:rPr>
                <w:rFonts w:eastAsia="Times New Roman"/>
                <w:noProof/>
              </w:rPr>
            </w:pPr>
            <w:r>
              <w:rPr>
                <w:noProof/>
              </w:rPr>
              <w:t>T3</w:t>
            </w:r>
          </w:p>
        </w:tc>
        <w:tc>
          <w:tcPr>
            <w:tcW w:w="992" w:type="dxa"/>
            <w:shd w:val="clear" w:color="auto" w:fill="C6EFCE"/>
            <w:noWrap/>
          </w:tcPr>
          <w:p w14:paraId="3C6124E8" w14:textId="77777777" w:rsidR="00A00259" w:rsidRDefault="00371282">
            <w:pPr>
              <w:pStyle w:val="P68B1DB1-Normal12"/>
              <w:spacing w:after="0" w:line="240" w:lineRule="auto"/>
              <w:rPr>
                <w:rFonts w:eastAsia="Times New Roman"/>
                <w:noProof/>
              </w:rPr>
            </w:pPr>
            <w:r>
              <w:rPr>
                <w:noProof/>
              </w:rPr>
              <w:t>2021</w:t>
            </w:r>
          </w:p>
        </w:tc>
        <w:tc>
          <w:tcPr>
            <w:tcW w:w="4501" w:type="dxa"/>
            <w:shd w:val="clear" w:color="auto" w:fill="C6EFCE"/>
            <w:noWrap/>
          </w:tcPr>
          <w:p w14:paraId="1CEA836D" w14:textId="77777777" w:rsidR="00A00259" w:rsidRDefault="00371282">
            <w:pPr>
              <w:pStyle w:val="P68B1DB1-Normal12"/>
              <w:spacing w:after="0" w:line="240" w:lineRule="auto"/>
              <w:rPr>
                <w:noProof/>
              </w:rPr>
            </w:pPr>
            <w:r>
              <w:rPr>
                <w:noProof/>
              </w:rPr>
              <w:t xml:space="preserve">Entrée en vigueur d’un cadre juridique (droit primaire) pour le partage des risques dans le calcul de la récupération en fixant un objectif contraignant de réduction de la récupération au cours des prochaines années. La réforme vise à réduire au minimum les montants de récupération de 50 000 000 EUR (2022), 150 000 000 EUR (2023), 300 000 000 EUR (2024) et 400 000 000 EUR (2025), respectivement, par rapport aux niveaux de 2020. </w:t>
            </w:r>
          </w:p>
          <w:p w14:paraId="75D1B6B0" w14:textId="604D9F70" w:rsidR="00A00259" w:rsidRDefault="00371282">
            <w:pPr>
              <w:pStyle w:val="P68B1DB1-Normal12"/>
              <w:spacing w:after="0" w:line="240" w:lineRule="auto"/>
              <w:rPr>
                <w:rFonts w:eastAsia="Times New Roman"/>
                <w:noProof/>
              </w:rPr>
            </w:pPr>
            <w:r>
              <w:rPr>
                <w:noProof/>
              </w:rPr>
              <w:t>Dans la mesure où cela n’est pas réalisé, la différence entre la réduction ciblée et la réduction réelle pour chaque année n’est pas récupérée auprès de l’industrie pharmaceutique et le montant correspondant est supporté par le budget de l’État jusqu’à la réduction ciblée des montants de récupération.</w:t>
            </w:r>
          </w:p>
        </w:tc>
      </w:tr>
      <w:tr w:rsidR="00A00259" w14:paraId="67FE9A48" w14:textId="77777777">
        <w:trPr>
          <w:trHeight w:val="309"/>
          <w:jc w:val="center"/>
        </w:trPr>
        <w:tc>
          <w:tcPr>
            <w:tcW w:w="592" w:type="dxa"/>
            <w:shd w:val="clear" w:color="auto" w:fill="C6EFCE"/>
            <w:noWrap/>
          </w:tcPr>
          <w:p w14:paraId="709A51C1" w14:textId="77777777" w:rsidR="00A00259" w:rsidRDefault="00371282">
            <w:pPr>
              <w:pStyle w:val="P68B1DB1-Normal12"/>
              <w:spacing w:after="0" w:line="240" w:lineRule="auto"/>
              <w:rPr>
                <w:rFonts w:eastAsia="Times New Roman"/>
                <w:noProof/>
              </w:rPr>
            </w:pPr>
            <w:r>
              <w:rPr>
                <w:noProof/>
              </w:rPr>
              <w:t>154</w:t>
            </w:r>
          </w:p>
        </w:tc>
        <w:tc>
          <w:tcPr>
            <w:tcW w:w="1689" w:type="dxa"/>
            <w:shd w:val="clear" w:color="auto" w:fill="C6EFCE"/>
            <w:noWrap/>
          </w:tcPr>
          <w:p w14:paraId="6B3F53D8" w14:textId="77777777"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- 16816_ Réduction et rationalisation des dépenses de santé</w:t>
            </w:r>
          </w:p>
        </w:tc>
        <w:tc>
          <w:tcPr>
            <w:tcW w:w="1088" w:type="dxa"/>
            <w:shd w:val="clear" w:color="auto" w:fill="C6EFCE"/>
            <w:noWrap/>
          </w:tcPr>
          <w:p w14:paraId="778073AF" w14:textId="77777777" w:rsidR="00A00259" w:rsidRDefault="00371282">
            <w:pPr>
              <w:pStyle w:val="P68B1DB1-Normal12"/>
              <w:spacing w:after="0" w:line="240" w:lineRule="auto"/>
              <w:rPr>
                <w:rFonts w:eastAsia="Times New Roman"/>
                <w:noProof/>
              </w:rPr>
            </w:pPr>
            <w:r>
              <w:rPr>
                <w:noProof/>
              </w:rPr>
              <w:t>Objectif</w:t>
            </w:r>
          </w:p>
        </w:tc>
        <w:tc>
          <w:tcPr>
            <w:tcW w:w="1350" w:type="dxa"/>
            <w:shd w:val="clear" w:color="auto" w:fill="C6EFCE"/>
            <w:noWrap/>
          </w:tcPr>
          <w:p w14:paraId="15E30846" w14:textId="77777777" w:rsidR="00A00259" w:rsidRDefault="00371282">
            <w:pPr>
              <w:pStyle w:val="P68B1DB1-Normal12"/>
              <w:spacing w:after="0" w:line="240" w:lineRule="auto"/>
              <w:rPr>
                <w:rFonts w:eastAsia="Times New Roman"/>
                <w:noProof/>
              </w:rPr>
            </w:pPr>
            <w:r>
              <w:rPr>
                <w:noProof/>
              </w:rPr>
              <w:t>Baisse de récupération de 50 000 000 - étape 1</w:t>
            </w:r>
          </w:p>
        </w:tc>
        <w:tc>
          <w:tcPr>
            <w:tcW w:w="1717" w:type="dxa"/>
            <w:shd w:val="clear" w:color="auto" w:fill="C6EFCE"/>
            <w:noWrap/>
          </w:tcPr>
          <w:p w14:paraId="41C1171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94" w:type="dxa"/>
            <w:shd w:val="clear" w:color="auto" w:fill="C6EFCE"/>
            <w:noWrap/>
          </w:tcPr>
          <w:p w14:paraId="27A0510F" w14:textId="77777777" w:rsidR="00A00259" w:rsidRDefault="00371282">
            <w:pPr>
              <w:pStyle w:val="P68B1DB1-Normal12"/>
              <w:spacing w:after="0" w:line="240" w:lineRule="auto"/>
              <w:rPr>
                <w:rFonts w:eastAsia="Times New Roman"/>
                <w:noProof/>
              </w:rPr>
            </w:pPr>
            <w:r>
              <w:rPr>
                <w:noProof/>
              </w:rPr>
              <w:t>Diminution du montant de la récupération par rapport aux niveaux de 2020 (en millions d’EUR)</w:t>
            </w:r>
          </w:p>
        </w:tc>
        <w:tc>
          <w:tcPr>
            <w:tcW w:w="870" w:type="dxa"/>
            <w:shd w:val="clear" w:color="auto" w:fill="C6EFCE"/>
            <w:noWrap/>
          </w:tcPr>
          <w:p w14:paraId="4C5275A7" w14:textId="77777777" w:rsidR="00A00259" w:rsidRDefault="00371282">
            <w:pPr>
              <w:pStyle w:val="P68B1DB1-Normal12"/>
              <w:spacing w:after="0" w:line="240" w:lineRule="auto"/>
              <w:rPr>
                <w:rFonts w:eastAsia="Times New Roman"/>
                <w:noProof/>
              </w:rPr>
            </w:pPr>
            <w:r>
              <w:rPr>
                <w:noProof/>
              </w:rPr>
              <w:t>0</w:t>
            </w:r>
          </w:p>
        </w:tc>
        <w:tc>
          <w:tcPr>
            <w:tcW w:w="764" w:type="dxa"/>
            <w:shd w:val="clear" w:color="auto" w:fill="C6EFCE"/>
            <w:noWrap/>
          </w:tcPr>
          <w:p w14:paraId="12787345" w14:textId="77777777" w:rsidR="00A00259" w:rsidRDefault="00371282">
            <w:pPr>
              <w:pStyle w:val="P68B1DB1-Normal12"/>
              <w:spacing w:after="0" w:line="240" w:lineRule="auto"/>
              <w:rPr>
                <w:rFonts w:eastAsia="Times New Roman"/>
                <w:noProof/>
              </w:rPr>
            </w:pPr>
            <w:r>
              <w:rPr>
                <w:noProof/>
              </w:rPr>
              <w:t>50</w:t>
            </w:r>
          </w:p>
        </w:tc>
        <w:tc>
          <w:tcPr>
            <w:tcW w:w="973" w:type="dxa"/>
            <w:shd w:val="clear" w:color="auto" w:fill="C6EFCE"/>
            <w:noWrap/>
          </w:tcPr>
          <w:p w14:paraId="31EACB40" w14:textId="77777777" w:rsidR="00A00259" w:rsidRDefault="00371282">
            <w:pPr>
              <w:pStyle w:val="P68B1DB1-Normal12"/>
              <w:spacing w:after="0" w:line="240" w:lineRule="auto"/>
              <w:rPr>
                <w:rFonts w:eastAsia="Times New Roman"/>
                <w:noProof/>
              </w:rPr>
            </w:pPr>
            <w:r>
              <w:rPr>
                <w:noProof/>
              </w:rPr>
              <w:t>T2</w:t>
            </w:r>
          </w:p>
        </w:tc>
        <w:tc>
          <w:tcPr>
            <w:tcW w:w="992" w:type="dxa"/>
            <w:shd w:val="clear" w:color="auto" w:fill="C6EFCE"/>
            <w:noWrap/>
          </w:tcPr>
          <w:p w14:paraId="17841E09" w14:textId="77777777" w:rsidR="00A00259" w:rsidRDefault="00371282">
            <w:pPr>
              <w:pStyle w:val="P68B1DB1-Normal12"/>
              <w:spacing w:after="0" w:line="240" w:lineRule="auto"/>
              <w:rPr>
                <w:rFonts w:eastAsia="Times New Roman"/>
                <w:noProof/>
              </w:rPr>
            </w:pPr>
            <w:r>
              <w:rPr>
                <w:noProof/>
              </w:rPr>
              <w:t>2023</w:t>
            </w:r>
          </w:p>
        </w:tc>
        <w:tc>
          <w:tcPr>
            <w:tcW w:w="4501" w:type="dxa"/>
            <w:shd w:val="clear" w:color="auto" w:fill="C6EFCE"/>
            <w:noWrap/>
          </w:tcPr>
          <w:p w14:paraId="4280F332" w14:textId="77777777" w:rsidR="00A00259" w:rsidRDefault="00371282">
            <w:pPr>
              <w:pStyle w:val="P68B1DB1-Normal12"/>
              <w:spacing w:after="0" w:line="240" w:lineRule="auto"/>
              <w:rPr>
                <w:rFonts w:eastAsia="Times New Roman"/>
                <w:noProof/>
              </w:rPr>
            </w:pPr>
            <w:r>
              <w:rPr>
                <w:noProof/>
              </w:rPr>
              <w:t xml:space="preserve">Appliquer les mesures d’amélioration de l’efficacité précédemment adoptées pour parvenir à une réduction de 50 000 000 EUR de la récupération pharmaceutique de 2022 pour les produits pharmaceutiques ambulatoires et hospitaliers par rapport aux niveaux de 2020. Dans la mesure où cela n'est pas réalisé, la différence entre la réduction ciblée et la réduction réelle pour chaque année n'est pas récupérée auprès de l'industrie pharmaceutique et le montant correspondant est supporté par le budget de l'État jusqu'à concurrence de 50 000 000 EUR. </w:t>
            </w:r>
          </w:p>
        </w:tc>
      </w:tr>
      <w:tr w:rsidR="00A00259" w14:paraId="3BA64BD8" w14:textId="77777777">
        <w:trPr>
          <w:trHeight w:val="309"/>
          <w:jc w:val="center"/>
        </w:trPr>
        <w:tc>
          <w:tcPr>
            <w:tcW w:w="592" w:type="dxa"/>
            <w:shd w:val="clear" w:color="auto" w:fill="C6EFCE"/>
            <w:noWrap/>
          </w:tcPr>
          <w:p w14:paraId="2D71A32F" w14:textId="77777777" w:rsidR="00A00259" w:rsidRDefault="00371282">
            <w:pPr>
              <w:pStyle w:val="P68B1DB1-Normal12"/>
              <w:spacing w:after="0" w:line="240" w:lineRule="auto"/>
              <w:rPr>
                <w:rFonts w:eastAsia="Times New Roman"/>
                <w:noProof/>
              </w:rPr>
            </w:pPr>
            <w:r>
              <w:rPr>
                <w:noProof/>
              </w:rPr>
              <w:t>155</w:t>
            </w:r>
          </w:p>
        </w:tc>
        <w:tc>
          <w:tcPr>
            <w:tcW w:w="1689" w:type="dxa"/>
            <w:shd w:val="clear" w:color="auto" w:fill="C6EFCE"/>
            <w:noWrap/>
          </w:tcPr>
          <w:p w14:paraId="7B8E128B" w14:textId="77777777"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- 16816_ Réduction et rationalisation des dépenses de santé</w:t>
            </w:r>
          </w:p>
        </w:tc>
        <w:tc>
          <w:tcPr>
            <w:tcW w:w="1088" w:type="dxa"/>
            <w:shd w:val="clear" w:color="auto" w:fill="C6EFCE"/>
            <w:noWrap/>
          </w:tcPr>
          <w:p w14:paraId="146A61D9" w14:textId="77777777" w:rsidR="00A00259" w:rsidRDefault="00371282">
            <w:pPr>
              <w:pStyle w:val="P68B1DB1-Normal12"/>
              <w:spacing w:after="0" w:line="240" w:lineRule="auto"/>
              <w:rPr>
                <w:rFonts w:eastAsia="Times New Roman"/>
                <w:noProof/>
              </w:rPr>
            </w:pPr>
            <w:r>
              <w:rPr>
                <w:noProof/>
              </w:rPr>
              <w:t>Objectif</w:t>
            </w:r>
          </w:p>
        </w:tc>
        <w:tc>
          <w:tcPr>
            <w:tcW w:w="1350" w:type="dxa"/>
            <w:shd w:val="clear" w:color="auto" w:fill="C6EFCE"/>
            <w:noWrap/>
          </w:tcPr>
          <w:p w14:paraId="50388557" w14:textId="77777777" w:rsidR="00A00259" w:rsidRDefault="00371282">
            <w:pPr>
              <w:pStyle w:val="P68B1DB1-Normal12"/>
              <w:spacing w:after="0" w:line="240" w:lineRule="auto"/>
              <w:rPr>
                <w:rFonts w:eastAsia="Times New Roman"/>
                <w:noProof/>
              </w:rPr>
            </w:pPr>
            <w:r>
              <w:rPr>
                <w:noProof/>
              </w:rPr>
              <w:t>Diminution de la récupération 150 000 000 - étape 2</w:t>
            </w:r>
          </w:p>
        </w:tc>
        <w:tc>
          <w:tcPr>
            <w:tcW w:w="1717" w:type="dxa"/>
            <w:shd w:val="clear" w:color="auto" w:fill="C6EFCE"/>
            <w:noWrap/>
          </w:tcPr>
          <w:p w14:paraId="23604DB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94" w:type="dxa"/>
            <w:shd w:val="clear" w:color="auto" w:fill="C6EFCE"/>
            <w:noWrap/>
          </w:tcPr>
          <w:p w14:paraId="40917F81" w14:textId="77777777" w:rsidR="00A00259" w:rsidRDefault="00371282">
            <w:pPr>
              <w:pStyle w:val="P68B1DB1-Normal12"/>
              <w:spacing w:after="0" w:line="240" w:lineRule="auto"/>
              <w:rPr>
                <w:rFonts w:eastAsia="Times New Roman"/>
                <w:noProof/>
              </w:rPr>
            </w:pPr>
            <w:r>
              <w:rPr>
                <w:noProof/>
              </w:rPr>
              <w:t>Diminution du montant de la récupération par rapport aux niveaux de 2020 (en millions d’EUR)</w:t>
            </w:r>
          </w:p>
        </w:tc>
        <w:tc>
          <w:tcPr>
            <w:tcW w:w="870" w:type="dxa"/>
            <w:shd w:val="clear" w:color="auto" w:fill="C6EFCE"/>
            <w:noWrap/>
          </w:tcPr>
          <w:p w14:paraId="28D54989" w14:textId="77777777" w:rsidR="00A00259" w:rsidRDefault="00371282">
            <w:pPr>
              <w:pStyle w:val="P68B1DB1-Normal12"/>
              <w:spacing w:after="0" w:line="240" w:lineRule="auto"/>
              <w:rPr>
                <w:rFonts w:eastAsia="Times New Roman"/>
                <w:noProof/>
              </w:rPr>
            </w:pPr>
            <w:r>
              <w:rPr>
                <w:noProof/>
              </w:rPr>
              <w:t>0</w:t>
            </w:r>
          </w:p>
        </w:tc>
        <w:tc>
          <w:tcPr>
            <w:tcW w:w="764" w:type="dxa"/>
            <w:shd w:val="clear" w:color="auto" w:fill="C6EFCE"/>
            <w:noWrap/>
          </w:tcPr>
          <w:p w14:paraId="1972E629" w14:textId="77777777" w:rsidR="00A00259" w:rsidRDefault="00371282">
            <w:pPr>
              <w:pStyle w:val="P68B1DB1-Normal12"/>
              <w:spacing w:after="0" w:line="240" w:lineRule="auto"/>
              <w:rPr>
                <w:rFonts w:eastAsia="Times New Roman"/>
                <w:noProof/>
              </w:rPr>
            </w:pPr>
            <w:r>
              <w:rPr>
                <w:noProof/>
              </w:rPr>
              <w:t>150</w:t>
            </w:r>
          </w:p>
        </w:tc>
        <w:tc>
          <w:tcPr>
            <w:tcW w:w="973" w:type="dxa"/>
            <w:shd w:val="clear" w:color="auto" w:fill="C6EFCE"/>
            <w:noWrap/>
          </w:tcPr>
          <w:p w14:paraId="67F4811E" w14:textId="77777777" w:rsidR="00A00259" w:rsidRDefault="00371282">
            <w:pPr>
              <w:pStyle w:val="P68B1DB1-Normal12"/>
              <w:spacing w:after="0" w:line="240" w:lineRule="auto"/>
              <w:rPr>
                <w:rFonts w:eastAsia="Times New Roman"/>
                <w:noProof/>
              </w:rPr>
            </w:pPr>
            <w:r>
              <w:rPr>
                <w:noProof/>
              </w:rPr>
              <w:t>T2</w:t>
            </w:r>
          </w:p>
        </w:tc>
        <w:tc>
          <w:tcPr>
            <w:tcW w:w="992" w:type="dxa"/>
            <w:shd w:val="clear" w:color="auto" w:fill="C6EFCE"/>
            <w:noWrap/>
          </w:tcPr>
          <w:p w14:paraId="2A0A4E04" w14:textId="77777777" w:rsidR="00A00259" w:rsidRDefault="00371282">
            <w:pPr>
              <w:pStyle w:val="P68B1DB1-Normal12"/>
              <w:spacing w:after="0" w:line="240" w:lineRule="auto"/>
              <w:rPr>
                <w:rFonts w:eastAsia="Times New Roman"/>
                <w:noProof/>
              </w:rPr>
            </w:pPr>
            <w:r>
              <w:rPr>
                <w:noProof/>
              </w:rPr>
              <w:t>2024</w:t>
            </w:r>
          </w:p>
        </w:tc>
        <w:tc>
          <w:tcPr>
            <w:tcW w:w="4501" w:type="dxa"/>
            <w:shd w:val="clear" w:color="auto" w:fill="C6EFCE"/>
            <w:noWrap/>
          </w:tcPr>
          <w:p w14:paraId="685FBB6E" w14:textId="77777777" w:rsidR="00A00259" w:rsidRDefault="00371282">
            <w:pPr>
              <w:pStyle w:val="P68B1DB1-Normal12"/>
              <w:spacing w:after="0" w:line="240" w:lineRule="auto"/>
              <w:rPr>
                <w:rFonts w:eastAsia="Times New Roman"/>
                <w:noProof/>
              </w:rPr>
            </w:pPr>
            <w:r>
              <w:rPr>
                <w:noProof/>
              </w:rPr>
              <w:t>Appliquer les mesures d’amélioration de l’efficacité adoptées précédemment pour parvenir à une réduction de 150 000 000 EUR de la récupération pharmaceutique de 2023, tant pour les produits pharmaceutiques ambulatoires que pour les produits pharmaceutiques hospitaliers, par rapport aux niveaux de 2020, en soutenant la résilience du système de soins de santé. Dans la mesure où cela n'est pas réalisé, la différence entre la réduction ciblée et la réduction réelle pour chaque année n'est pas récupérée auprès de l'industrie pharmaceutique et le montant correspondant est supporté par le budget de l'État jusqu'à concurrence de 150 000 000 EUR.</w:t>
            </w:r>
          </w:p>
        </w:tc>
      </w:tr>
      <w:tr w:rsidR="00A00259" w14:paraId="1405974F" w14:textId="77777777">
        <w:trPr>
          <w:trHeight w:val="309"/>
          <w:jc w:val="center"/>
        </w:trPr>
        <w:tc>
          <w:tcPr>
            <w:tcW w:w="592" w:type="dxa"/>
            <w:shd w:val="clear" w:color="auto" w:fill="C6EFCE"/>
            <w:noWrap/>
          </w:tcPr>
          <w:p w14:paraId="75B871FC" w14:textId="77777777" w:rsidR="00A00259" w:rsidRDefault="00371282">
            <w:pPr>
              <w:pStyle w:val="P68B1DB1-Normal12"/>
              <w:spacing w:after="0" w:line="240" w:lineRule="auto"/>
              <w:rPr>
                <w:rFonts w:eastAsia="Times New Roman"/>
                <w:noProof/>
              </w:rPr>
            </w:pPr>
            <w:r>
              <w:rPr>
                <w:noProof/>
              </w:rPr>
              <w:t>156</w:t>
            </w:r>
          </w:p>
        </w:tc>
        <w:tc>
          <w:tcPr>
            <w:tcW w:w="1689" w:type="dxa"/>
            <w:shd w:val="clear" w:color="auto" w:fill="C6EFCE"/>
            <w:noWrap/>
          </w:tcPr>
          <w:p w14:paraId="3FF9CC8E" w14:textId="77777777"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- 16816_ Réduction et rationalisation des dépenses de santé</w:t>
            </w:r>
          </w:p>
        </w:tc>
        <w:tc>
          <w:tcPr>
            <w:tcW w:w="1088" w:type="dxa"/>
            <w:shd w:val="clear" w:color="auto" w:fill="C6EFCE"/>
            <w:noWrap/>
          </w:tcPr>
          <w:p w14:paraId="6D292EBD" w14:textId="77777777" w:rsidR="00A00259" w:rsidRDefault="00371282">
            <w:pPr>
              <w:pStyle w:val="P68B1DB1-Normal12"/>
              <w:spacing w:after="0" w:line="240" w:lineRule="auto"/>
              <w:rPr>
                <w:rFonts w:eastAsia="Times New Roman"/>
                <w:noProof/>
              </w:rPr>
            </w:pPr>
            <w:r>
              <w:rPr>
                <w:noProof/>
              </w:rPr>
              <w:t>Objectif</w:t>
            </w:r>
          </w:p>
        </w:tc>
        <w:tc>
          <w:tcPr>
            <w:tcW w:w="1350" w:type="dxa"/>
            <w:shd w:val="clear" w:color="auto" w:fill="C6EFCE"/>
            <w:noWrap/>
          </w:tcPr>
          <w:p w14:paraId="5FF2E99E" w14:textId="77777777" w:rsidR="00A00259" w:rsidRDefault="00371282">
            <w:pPr>
              <w:pStyle w:val="P68B1DB1-Normal12"/>
              <w:spacing w:after="0" w:line="240" w:lineRule="auto"/>
              <w:rPr>
                <w:rFonts w:eastAsia="Times New Roman"/>
                <w:noProof/>
              </w:rPr>
            </w:pPr>
            <w:r>
              <w:rPr>
                <w:noProof/>
              </w:rPr>
              <w:t>R&amp;D preuve d'investissement pharmaceutique - étape 1</w:t>
            </w:r>
          </w:p>
        </w:tc>
        <w:tc>
          <w:tcPr>
            <w:tcW w:w="1717" w:type="dxa"/>
            <w:shd w:val="clear" w:color="auto" w:fill="C6EFCE"/>
            <w:noWrap/>
          </w:tcPr>
          <w:p w14:paraId="04F92E0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94" w:type="dxa"/>
            <w:shd w:val="clear" w:color="auto" w:fill="C6EFCE"/>
            <w:noWrap/>
          </w:tcPr>
          <w:p w14:paraId="6667EEBA" w14:textId="77777777" w:rsidR="00A00259" w:rsidRDefault="00371282">
            <w:pPr>
              <w:pStyle w:val="P68B1DB1-Normal12"/>
              <w:spacing w:after="0" w:line="240" w:lineRule="auto"/>
              <w:rPr>
                <w:rFonts w:eastAsia="Times New Roman"/>
                <w:noProof/>
              </w:rPr>
            </w:pPr>
            <w:r>
              <w:rPr>
                <w:noProof/>
              </w:rPr>
              <w:t>Investissement (en millions d’EUR), appliqué par compensations d’un montant équivalent avec les récupérations</w:t>
            </w:r>
          </w:p>
        </w:tc>
        <w:tc>
          <w:tcPr>
            <w:tcW w:w="870" w:type="dxa"/>
            <w:shd w:val="clear" w:color="auto" w:fill="C6EFCE"/>
            <w:noWrap/>
          </w:tcPr>
          <w:p w14:paraId="3C3E3F25" w14:textId="77777777" w:rsidR="00A00259" w:rsidRDefault="00371282">
            <w:pPr>
              <w:pStyle w:val="P68B1DB1-Normal12"/>
              <w:spacing w:after="0" w:line="240" w:lineRule="auto"/>
              <w:rPr>
                <w:rFonts w:eastAsia="Times New Roman"/>
                <w:noProof/>
              </w:rPr>
            </w:pPr>
            <w:r>
              <w:rPr>
                <w:noProof/>
              </w:rPr>
              <w:t>0</w:t>
            </w:r>
          </w:p>
        </w:tc>
        <w:tc>
          <w:tcPr>
            <w:tcW w:w="764" w:type="dxa"/>
            <w:shd w:val="clear" w:color="auto" w:fill="C6EFCE"/>
            <w:noWrap/>
          </w:tcPr>
          <w:p w14:paraId="3B0945A9" w14:textId="77777777" w:rsidR="00A00259" w:rsidRDefault="00371282">
            <w:pPr>
              <w:pStyle w:val="P68B1DB1-Normal12"/>
              <w:spacing w:after="0" w:line="240" w:lineRule="auto"/>
              <w:rPr>
                <w:rFonts w:eastAsia="Times New Roman"/>
                <w:noProof/>
              </w:rPr>
            </w:pPr>
            <w:r>
              <w:rPr>
                <w:noProof/>
              </w:rPr>
              <w:t>117</w:t>
            </w:r>
          </w:p>
        </w:tc>
        <w:tc>
          <w:tcPr>
            <w:tcW w:w="973" w:type="dxa"/>
            <w:shd w:val="clear" w:color="auto" w:fill="C6EFCE"/>
            <w:noWrap/>
          </w:tcPr>
          <w:p w14:paraId="6DC2285A" w14:textId="77777777" w:rsidR="00A00259" w:rsidRDefault="00371282">
            <w:pPr>
              <w:pStyle w:val="P68B1DB1-Normal12"/>
              <w:spacing w:after="0" w:line="240" w:lineRule="auto"/>
              <w:rPr>
                <w:rFonts w:eastAsia="Times New Roman"/>
                <w:noProof/>
              </w:rPr>
            </w:pPr>
            <w:r>
              <w:rPr>
                <w:noProof/>
              </w:rPr>
              <w:t>T2</w:t>
            </w:r>
          </w:p>
        </w:tc>
        <w:tc>
          <w:tcPr>
            <w:tcW w:w="992" w:type="dxa"/>
            <w:shd w:val="clear" w:color="auto" w:fill="C6EFCE"/>
            <w:noWrap/>
          </w:tcPr>
          <w:p w14:paraId="4C92FB3B" w14:textId="77777777" w:rsidR="00A00259" w:rsidRDefault="00371282">
            <w:pPr>
              <w:pStyle w:val="P68B1DB1-Normal12"/>
              <w:spacing w:after="0" w:line="240" w:lineRule="auto"/>
              <w:rPr>
                <w:rFonts w:eastAsia="Times New Roman"/>
                <w:noProof/>
              </w:rPr>
            </w:pPr>
            <w:r>
              <w:rPr>
                <w:noProof/>
              </w:rPr>
              <w:t>2024</w:t>
            </w:r>
          </w:p>
        </w:tc>
        <w:tc>
          <w:tcPr>
            <w:tcW w:w="4501" w:type="dxa"/>
            <w:shd w:val="clear" w:color="auto" w:fill="C6EFCE"/>
            <w:noWrap/>
          </w:tcPr>
          <w:p w14:paraId="3DBCEE0F" w14:textId="234C80CA" w:rsidR="00A00259" w:rsidRDefault="00371282">
            <w:pPr>
              <w:pStyle w:val="P68B1DB1-Normal12"/>
              <w:spacing w:after="0" w:line="240" w:lineRule="auto"/>
              <w:rPr>
                <w:rFonts w:eastAsia="Times New Roman"/>
                <w:noProof/>
              </w:rPr>
            </w:pPr>
            <w:r>
              <w:rPr>
                <w:noProof/>
              </w:rPr>
              <w:t>Réaliser des investissements dans la R&amp;D pharmaceutique pour un montant de 117 000 000 EUR. Les investissements sont confirmés par l’émission par l’autorité compétente de certificats de récupération compensatoire d’un montant de 117 000 000 EUR.</w:t>
            </w:r>
          </w:p>
        </w:tc>
      </w:tr>
      <w:tr w:rsidR="00A00259" w14:paraId="2EFD18C3" w14:textId="77777777">
        <w:trPr>
          <w:trHeight w:val="309"/>
          <w:jc w:val="center"/>
        </w:trPr>
        <w:tc>
          <w:tcPr>
            <w:tcW w:w="592" w:type="dxa"/>
            <w:shd w:val="clear" w:color="auto" w:fill="C6EFCE"/>
            <w:noWrap/>
          </w:tcPr>
          <w:p w14:paraId="358A6DB8" w14:textId="77777777" w:rsidR="00A00259" w:rsidRDefault="00371282">
            <w:pPr>
              <w:pStyle w:val="P68B1DB1-Normal12"/>
              <w:spacing w:line="240" w:lineRule="auto"/>
              <w:rPr>
                <w:noProof/>
              </w:rPr>
            </w:pPr>
            <w:r>
              <w:rPr>
                <w:noProof/>
              </w:rPr>
              <w:t>156 bis</w:t>
            </w:r>
          </w:p>
        </w:tc>
        <w:tc>
          <w:tcPr>
            <w:tcW w:w="1689" w:type="dxa"/>
            <w:shd w:val="clear" w:color="auto" w:fill="C6EFCE"/>
            <w:noWrap/>
          </w:tcPr>
          <w:p w14:paraId="1A9FF247" w14:textId="77777777"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- 16816_ Réduction et rationalisation des dépenses de santé</w:t>
            </w:r>
          </w:p>
        </w:tc>
        <w:tc>
          <w:tcPr>
            <w:tcW w:w="1088" w:type="dxa"/>
            <w:shd w:val="clear" w:color="auto" w:fill="C6EFCE"/>
            <w:noWrap/>
          </w:tcPr>
          <w:p w14:paraId="051E5DBF" w14:textId="77777777" w:rsidR="00A00259" w:rsidRDefault="00371282">
            <w:pPr>
              <w:pStyle w:val="P68B1DB1-Normal12"/>
              <w:spacing w:after="0" w:line="240" w:lineRule="auto"/>
              <w:rPr>
                <w:rFonts w:eastAsia="Times New Roman"/>
                <w:noProof/>
              </w:rPr>
            </w:pPr>
            <w:r>
              <w:rPr>
                <w:noProof/>
              </w:rPr>
              <w:t>Objectif</w:t>
            </w:r>
          </w:p>
        </w:tc>
        <w:tc>
          <w:tcPr>
            <w:tcW w:w="1350" w:type="dxa"/>
            <w:shd w:val="clear" w:color="auto" w:fill="C6EFCE"/>
            <w:noWrap/>
          </w:tcPr>
          <w:p w14:paraId="78FF1497" w14:textId="77777777" w:rsidR="00A00259" w:rsidRDefault="00371282">
            <w:pPr>
              <w:pStyle w:val="P68B1DB1-Normal12"/>
              <w:spacing w:after="0" w:line="240" w:lineRule="auto"/>
              <w:rPr>
                <w:rFonts w:eastAsia="Times New Roman"/>
                <w:noProof/>
              </w:rPr>
            </w:pPr>
            <w:r>
              <w:rPr>
                <w:noProof/>
              </w:rPr>
              <w:t>R&amp;D preuve d'investissement pharmaceutique - étape 2</w:t>
            </w:r>
          </w:p>
        </w:tc>
        <w:tc>
          <w:tcPr>
            <w:tcW w:w="1717" w:type="dxa"/>
            <w:shd w:val="clear" w:color="auto" w:fill="C6EFCE"/>
            <w:noWrap/>
          </w:tcPr>
          <w:p w14:paraId="6CC5EB8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94" w:type="dxa"/>
            <w:shd w:val="clear" w:color="auto" w:fill="C6EFCE"/>
            <w:noWrap/>
          </w:tcPr>
          <w:p w14:paraId="7FE87712" w14:textId="77777777" w:rsidR="00A00259" w:rsidRDefault="00371282">
            <w:pPr>
              <w:pStyle w:val="P68B1DB1-Normal12"/>
              <w:spacing w:after="0" w:line="240" w:lineRule="auto"/>
              <w:rPr>
                <w:rFonts w:eastAsia="Times New Roman"/>
                <w:noProof/>
              </w:rPr>
            </w:pPr>
            <w:r>
              <w:rPr>
                <w:noProof/>
              </w:rPr>
              <w:t>Investissement (en millions d’EUR), appliqué par compensations d’un montant équivalent avec les récupérations</w:t>
            </w:r>
          </w:p>
        </w:tc>
        <w:tc>
          <w:tcPr>
            <w:tcW w:w="870" w:type="dxa"/>
            <w:shd w:val="clear" w:color="auto" w:fill="C6EFCE"/>
            <w:noWrap/>
          </w:tcPr>
          <w:p w14:paraId="142CEB32" w14:textId="77777777" w:rsidR="00A00259" w:rsidRDefault="00371282">
            <w:pPr>
              <w:pStyle w:val="P68B1DB1-Normal12"/>
              <w:spacing w:after="0" w:line="240" w:lineRule="auto"/>
              <w:rPr>
                <w:rFonts w:eastAsia="Times New Roman"/>
                <w:noProof/>
              </w:rPr>
            </w:pPr>
            <w:r>
              <w:rPr>
                <w:noProof/>
              </w:rPr>
              <w:t>117</w:t>
            </w:r>
          </w:p>
        </w:tc>
        <w:tc>
          <w:tcPr>
            <w:tcW w:w="764" w:type="dxa"/>
            <w:shd w:val="clear" w:color="auto" w:fill="C6EFCE"/>
            <w:noWrap/>
          </w:tcPr>
          <w:p w14:paraId="1A47A82B" w14:textId="77777777" w:rsidR="00A00259" w:rsidRDefault="00371282">
            <w:pPr>
              <w:pStyle w:val="P68B1DB1-Normal12"/>
              <w:spacing w:after="0" w:line="240" w:lineRule="auto"/>
              <w:rPr>
                <w:rFonts w:eastAsia="Times New Roman"/>
                <w:noProof/>
              </w:rPr>
            </w:pPr>
            <w:r>
              <w:rPr>
                <w:noProof/>
              </w:rPr>
              <w:t>250</w:t>
            </w:r>
          </w:p>
        </w:tc>
        <w:tc>
          <w:tcPr>
            <w:tcW w:w="973" w:type="dxa"/>
            <w:shd w:val="clear" w:color="auto" w:fill="C6EFCE"/>
            <w:noWrap/>
          </w:tcPr>
          <w:p w14:paraId="4A0B4CA4" w14:textId="77777777" w:rsidR="00A00259" w:rsidRDefault="00371282">
            <w:pPr>
              <w:pStyle w:val="P68B1DB1-Normal12"/>
              <w:spacing w:after="0" w:line="240" w:lineRule="auto"/>
              <w:rPr>
                <w:rFonts w:eastAsia="Times New Roman"/>
                <w:noProof/>
              </w:rPr>
            </w:pPr>
            <w:r>
              <w:rPr>
                <w:noProof/>
              </w:rPr>
              <w:t>T4</w:t>
            </w:r>
          </w:p>
        </w:tc>
        <w:tc>
          <w:tcPr>
            <w:tcW w:w="992" w:type="dxa"/>
            <w:shd w:val="clear" w:color="auto" w:fill="C6EFCE"/>
            <w:noWrap/>
          </w:tcPr>
          <w:p w14:paraId="2E88134F" w14:textId="77777777" w:rsidR="00A00259" w:rsidRDefault="00371282">
            <w:pPr>
              <w:pStyle w:val="P68B1DB1-Normal12"/>
              <w:spacing w:after="0" w:line="240" w:lineRule="auto"/>
              <w:rPr>
                <w:rFonts w:eastAsia="Times New Roman"/>
                <w:noProof/>
              </w:rPr>
            </w:pPr>
            <w:r>
              <w:rPr>
                <w:noProof/>
              </w:rPr>
              <w:t>2025</w:t>
            </w:r>
          </w:p>
        </w:tc>
        <w:tc>
          <w:tcPr>
            <w:tcW w:w="4501" w:type="dxa"/>
            <w:shd w:val="clear" w:color="auto" w:fill="C6EFCE"/>
            <w:noWrap/>
          </w:tcPr>
          <w:p w14:paraId="47BB8A74" w14:textId="5189C49D" w:rsidR="00A00259" w:rsidRDefault="00371282">
            <w:pPr>
              <w:pStyle w:val="P68B1DB1-Normal12"/>
              <w:spacing w:after="0" w:line="240" w:lineRule="auto"/>
              <w:rPr>
                <w:noProof/>
              </w:rPr>
            </w:pPr>
            <w:r>
              <w:rPr>
                <w:noProof/>
              </w:rPr>
              <w:t xml:space="preserve">Exécution d’investissements dans les produits pharmaceutiques, la R&amp;D ou d’autres investissements éligibles pour un montant supplémentaire de 133 000 000 EUR afin d’atteindre le montant total de 250 000 000 EUR d’investissements (étapes cumulées 1 et 2). </w:t>
            </w:r>
          </w:p>
          <w:p w14:paraId="00BB5D76" w14:textId="76F908E5" w:rsidR="00A00259" w:rsidRDefault="00371282">
            <w:pPr>
              <w:pStyle w:val="P68B1DB1-Normal12"/>
              <w:spacing w:after="0" w:line="240" w:lineRule="auto"/>
              <w:rPr>
                <w:noProof/>
              </w:rPr>
            </w:pPr>
            <w:r>
              <w:rPr>
                <w:noProof/>
              </w:rPr>
              <w:t>Les investissements sont confirmés par l’émission par l’autorité compétente de certificats de récupération compensatoire d’un montant de 133 000 000 EUR.</w:t>
            </w:r>
          </w:p>
        </w:tc>
      </w:tr>
      <w:tr w:rsidR="00A00259" w14:paraId="66C66DFB" w14:textId="77777777">
        <w:trPr>
          <w:trHeight w:val="309"/>
          <w:jc w:val="center"/>
        </w:trPr>
        <w:tc>
          <w:tcPr>
            <w:tcW w:w="592" w:type="dxa"/>
            <w:shd w:val="clear" w:color="auto" w:fill="C6EFCE"/>
            <w:noWrap/>
          </w:tcPr>
          <w:p w14:paraId="3EABC0B7" w14:textId="77777777" w:rsidR="00A00259" w:rsidRDefault="00371282">
            <w:pPr>
              <w:pStyle w:val="P68B1DB1-Normal12"/>
              <w:spacing w:after="0" w:line="240" w:lineRule="auto"/>
              <w:rPr>
                <w:rFonts w:eastAsia="Times New Roman"/>
                <w:noProof/>
              </w:rPr>
            </w:pPr>
            <w:r>
              <w:rPr>
                <w:noProof/>
              </w:rPr>
              <w:t>157</w:t>
            </w:r>
          </w:p>
        </w:tc>
        <w:tc>
          <w:tcPr>
            <w:tcW w:w="1689" w:type="dxa"/>
            <w:shd w:val="clear" w:color="auto" w:fill="C6EFCE"/>
            <w:noWrap/>
          </w:tcPr>
          <w:p w14:paraId="5E0D0395" w14:textId="77777777"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- 16816_ Réduction et rationalisation des dépenses de santé</w:t>
            </w:r>
          </w:p>
        </w:tc>
        <w:tc>
          <w:tcPr>
            <w:tcW w:w="1088" w:type="dxa"/>
            <w:shd w:val="clear" w:color="auto" w:fill="C6EFCE"/>
            <w:noWrap/>
          </w:tcPr>
          <w:p w14:paraId="344F5E38" w14:textId="77777777" w:rsidR="00A00259" w:rsidRDefault="00371282">
            <w:pPr>
              <w:pStyle w:val="P68B1DB1-Normal12"/>
              <w:spacing w:after="0" w:line="240" w:lineRule="auto"/>
              <w:rPr>
                <w:rFonts w:eastAsia="Times New Roman"/>
                <w:noProof/>
              </w:rPr>
            </w:pPr>
            <w:r>
              <w:rPr>
                <w:noProof/>
              </w:rPr>
              <w:t>Objectif</w:t>
            </w:r>
          </w:p>
        </w:tc>
        <w:tc>
          <w:tcPr>
            <w:tcW w:w="1350" w:type="dxa"/>
            <w:shd w:val="clear" w:color="auto" w:fill="C6EFCE"/>
            <w:noWrap/>
          </w:tcPr>
          <w:p w14:paraId="63DE642E" w14:textId="77777777" w:rsidR="00A00259" w:rsidRDefault="00371282">
            <w:pPr>
              <w:pStyle w:val="P68B1DB1-Normal12"/>
              <w:spacing w:after="0" w:line="240" w:lineRule="auto"/>
              <w:rPr>
                <w:rFonts w:eastAsia="Times New Roman"/>
                <w:noProof/>
              </w:rPr>
            </w:pPr>
            <w:r>
              <w:rPr>
                <w:noProof/>
              </w:rPr>
              <w:t>Baisse de récupération de 300 000 000 - étape 3</w:t>
            </w:r>
          </w:p>
        </w:tc>
        <w:tc>
          <w:tcPr>
            <w:tcW w:w="1717" w:type="dxa"/>
            <w:shd w:val="clear" w:color="auto" w:fill="C6EFCE"/>
            <w:noWrap/>
          </w:tcPr>
          <w:p w14:paraId="65B630B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94" w:type="dxa"/>
            <w:shd w:val="clear" w:color="auto" w:fill="C6EFCE"/>
            <w:noWrap/>
          </w:tcPr>
          <w:p w14:paraId="1978E8C7" w14:textId="77777777" w:rsidR="00A00259" w:rsidRDefault="00371282">
            <w:pPr>
              <w:pStyle w:val="P68B1DB1-Normal12"/>
              <w:spacing w:after="0" w:line="240" w:lineRule="auto"/>
              <w:rPr>
                <w:rFonts w:eastAsia="Times New Roman"/>
                <w:noProof/>
              </w:rPr>
            </w:pPr>
            <w:r>
              <w:rPr>
                <w:noProof/>
              </w:rPr>
              <w:t>Diminution du montant de la récupération par rapport aux niveaux de 2020 (en millions d’EUR)</w:t>
            </w:r>
          </w:p>
        </w:tc>
        <w:tc>
          <w:tcPr>
            <w:tcW w:w="870" w:type="dxa"/>
            <w:shd w:val="clear" w:color="auto" w:fill="C6EFCE"/>
            <w:noWrap/>
          </w:tcPr>
          <w:p w14:paraId="4E86E884" w14:textId="77777777" w:rsidR="00A00259" w:rsidRDefault="00371282">
            <w:pPr>
              <w:pStyle w:val="P68B1DB1-Normal12"/>
              <w:spacing w:after="0" w:line="240" w:lineRule="auto"/>
              <w:rPr>
                <w:rFonts w:eastAsia="Times New Roman"/>
                <w:noProof/>
              </w:rPr>
            </w:pPr>
            <w:r>
              <w:rPr>
                <w:noProof/>
              </w:rPr>
              <w:t>0</w:t>
            </w:r>
          </w:p>
        </w:tc>
        <w:tc>
          <w:tcPr>
            <w:tcW w:w="764" w:type="dxa"/>
            <w:shd w:val="clear" w:color="auto" w:fill="C6EFCE"/>
            <w:noWrap/>
          </w:tcPr>
          <w:p w14:paraId="28930212" w14:textId="77777777" w:rsidR="00A00259" w:rsidRDefault="00371282">
            <w:pPr>
              <w:pStyle w:val="P68B1DB1-Normal12"/>
              <w:spacing w:after="0" w:line="240" w:lineRule="auto"/>
              <w:rPr>
                <w:rFonts w:eastAsia="Times New Roman"/>
                <w:noProof/>
              </w:rPr>
            </w:pPr>
            <w:r>
              <w:rPr>
                <w:noProof/>
              </w:rPr>
              <w:t>300</w:t>
            </w:r>
          </w:p>
        </w:tc>
        <w:tc>
          <w:tcPr>
            <w:tcW w:w="973" w:type="dxa"/>
            <w:shd w:val="clear" w:color="auto" w:fill="C6EFCE"/>
            <w:noWrap/>
          </w:tcPr>
          <w:p w14:paraId="2AC33885" w14:textId="77777777" w:rsidR="00A00259" w:rsidRDefault="00371282">
            <w:pPr>
              <w:pStyle w:val="P68B1DB1-Normal12"/>
              <w:spacing w:after="0" w:line="240" w:lineRule="auto"/>
              <w:rPr>
                <w:rFonts w:eastAsia="Times New Roman"/>
                <w:noProof/>
              </w:rPr>
            </w:pPr>
            <w:r>
              <w:rPr>
                <w:noProof/>
              </w:rPr>
              <w:t>T2</w:t>
            </w:r>
          </w:p>
        </w:tc>
        <w:tc>
          <w:tcPr>
            <w:tcW w:w="992" w:type="dxa"/>
            <w:shd w:val="clear" w:color="auto" w:fill="C6EFCE"/>
            <w:noWrap/>
          </w:tcPr>
          <w:p w14:paraId="1E5C00D6" w14:textId="77777777" w:rsidR="00A00259" w:rsidRDefault="00371282">
            <w:pPr>
              <w:pStyle w:val="P68B1DB1-Normal12"/>
              <w:spacing w:after="0" w:line="240" w:lineRule="auto"/>
              <w:rPr>
                <w:rFonts w:eastAsia="Times New Roman"/>
                <w:noProof/>
              </w:rPr>
            </w:pPr>
            <w:r>
              <w:rPr>
                <w:noProof/>
              </w:rPr>
              <w:t>2025</w:t>
            </w:r>
          </w:p>
        </w:tc>
        <w:tc>
          <w:tcPr>
            <w:tcW w:w="4501" w:type="dxa"/>
            <w:shd w:val="clear" w:color="auto" w:fill="C6EFCE"/>
            <w:noWrap/>
          </w:tcPr>
          <w:p w14:paraId="4A98E643" w14:textId="6B1309CA" w:rsidR="00A00259" w:rsidRDefault="00371282">
            <w:pPr>
              <w:pStyle w:val="P68B1DB1-Normal12"/>
              <w:spacing w:after="0" w:line="240" w:lineRule="auto"/>
              <w:rPr>
                <w:rFonts w:eastAsia="Times New Roman"/>
                <w:noProof/>
              </w:rPr>
            </w:pPr>
            <w:r>
              <w:rPr>
                <w:noProof/>
              </w:rPr>
              <w:t>Réduction de 300 000 000 EUR de la récupération pharmaceutique de 2024 par rapport aux niveaux de 2020. Si cet objectif n'est pas atteint, la différence entre la réduction ciblée et la réduction réelle n'est pas récupérée auprès de l'industrie pharmaceutique et le montant correspondant est supporté par le budget de l'État jusqu'à concurrence de 300 000 000 EUR.</w:t>
            </w:r>
          </w:p>
        </w:tc>
      </w:tr>
      <w:tr w:rsidR="00A00259" w14:paraId="202F7B0C" w14:textId="77777777">
        <w:trPr>
          <w:trHeight w:val="309"/>
          <w:jc w:val="center"/>
        </w:trPr>
        <w:tc>
          <w:tcPr>
            <w:tcW w:w="592" w:type="dxa"/>
            <w:shd w:val="clear" w:color="auto" w:fill="C6EFCE"/>
            <w:noWrap/>
          </w:tcPr>
          <w:p w14:paraId="657627A0" w14:textId="77777777" w:rsidR="00A00259" w:rsidRDefault="00371282">
            <w:pPr>
              <w:pStyle w:val="P68B1DB1-Normal12"/>
              <w:spacing w:after="0" w:line="240" w:lineRule="auto"/>
              <w:rPr>
                <w:rFonts w:eastAsia="Times New Roman"/>
                <w:noProof/>
              </w:rPr>
            </w:pPr>
            <w:r>
              <w:rPr>
                <w:noProof/>
              </w:rPr>
              <w:t>158</w:t>
            </w:r>
          </w:p>
        </w:tc>
        <w:tc>
          <w:tcPr>
            <w:tcW w:w="1689" w:type="dxa"/>
            <w:shd w:val="clear" w:color="auto" w:fill="C6EFCE"/>
            <w:noWrap/>
          </w:tcPr>
          <w:p w14:paraId="00DAFF1E" w14:textId="77777777"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- 16816_ Réduction et rationalisation des dépenses de santé</w:t>
            </w:r>
          </w:p>
        </w:tc>
        <w:tc>
          <w:tcPr>
            <w:tcW w:w="1088" w:type="dxa"/>
            <w:shd w:val="clear" w:color="auto" w:fill="C6EFCE"/>
            <w:noWrap/>
          </w:tcPr>
          <w:p w14:paraId="6C79DB24" w14:textId="77777777" w:rsidR="00A00259" w:rsidRDefault="00371282">
            <w:pPr>
              <w:pStyle w:val="P68B1DB1-Normal12"/>
              <w:spacing w:after="0" w:line="240" w:lineRule="auto"/>
              <w:rPr>
                <w:rFonts w:eastAsia="Times New Roman"/>
                <w:noProof/>
              </w:rPr>
            </w:pPr>
            <w:r>
              <w:rPr>
                <w:noProof/>
              </w:rPr>
              <w:t>Objectif</w:t>
            </w:r>
          </w:p>
        </w:tc>
        <w:tc>
          <w:tcPr>
            <w:tcW w:w="1350" w:type="dxa"/>
            <w:shd w:val="clear" w:color="auto" w:fill="C6EFCE"/>
            <w:noWrap/>
          </w:tcPr>
          <w:p w14:paraId="19D8EB98" w14:textId="77777777" w:rsidR="00A00259" w:rsidRDefault="00371282">
            <w:pPr>
              <w:pStyle w:val="P68B1DB1-Normal12"/>
              <w:spacing w:after="0" w:line="240" w:lineRule="auto"/>
              <w:rPr>
                <w:rFonts w:eastAsia="Times New Roman"/>
                <w:noProof/>
              </w:rPr>
            </w:pPr>
            <w:r>
              <w:rPr>
                <w:noProof/>
              </w:rPr>
              <w:t>Diminution de la récupération 400 000 000 - étape 4</w:t>
            </w:r>
          </w:p>
        </w:tc>
        <w:tc>
          <w:tcPr>
            <w:tcW w:w="1717" w:type="dxa"/>
            <w:shd w:val="clear" w:color="auto" w:fill="C6EFCE"/>
            <w:noWrap/>
          </w:tcPr>
          <w:p w14:paraId="31D2DA7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94" w:type="dxa"/>
            <w:shd w:val="clear" w:color="auto" w:fill="C6EFCE"/>
            <w:noWrap/>
          </w:tcPr>
          <w:p w14:paraId="0113120C" w14:textId="77777777" w:rsidR="00A00259" w:rsidRDefault="00371282">
            <w:pPr>
              <w:pStyle w:val="P68B1DB1-Normal12"/>
              <w:spacing w:after="0" w:line="240" w:lineRule="auto"/>
              <w:rPr>
                <w:rFonts w:eastAsia="Times New Roman"/>
                <w:noProof/>
              </w:rPr>
            </w:pPr>
            <w:r>
              <w:rPr>
                <w:noProof/>
              </w:rPr>
              <w:t>Diminution du montant de la récupération par rapport aux niveaux de 2020 (en millions d’EUR)</w:t>
            </w:r>
          </w:p>
        </w:tc>
        <w:tc>
          <w:tcPr>
            <w:tcW w:w="870" w:type="dxa"/>
            <w:shd w:val="clear" w:color="auto" w:fill="C6EFCE"/>
            <w:noWrap/>
          </w:tcPr>
          <w:p w14:paraId="53A8068A" w14:textId="77777777" w:rsidR="00A00259" w:rsidRDefault="00371282">
            <w:pPr>
              <w:pStyle w:val="P68B1DB1-Normal12"/>
              <w:spacing w:after="0" w:line="240" w:lineRule="auto"/>
              <w:rPr>
                <w:rFonts w:eastAsia="Times New Roman"/>
                <w:noProof/>
              </w:rPr>
            </w:pPr>
            <w:r>
              <w:rPr>
                <w:noProof/>
              </w:rPr>
              <w:t>0</w:t>
            </w:r>
          </w:p>
        </w:tc>
        <w:tc>
          <w:tcPr>
            <w:tcW w:w="764" w:type="dxa"/>
            <w:shd w:val="clear" w:color="auto" w:fill="C6EFCE"/>
            <w:noWrap/>
          </w:tcPr>
          <w:p w14:paraId="700FAE1A" w14:textId="77777777" w:rsidR="00A00259" w:rsidRDefault="00371282">
            <w:pPr>
              <w:pStyle w:val="P68B1DB1-Normal12"/>
              <w:spacing w:after="0" w:line="240" w:lineRule="auto"/>
              <w:rPr>
                <w:rFonts w:eastAsia="Times New Roman"/>
                <w:noProof/>
              </w:rPr>
            </w:pPr>
            <w:r>
              <w:rPr>
                <w:noProof/>
              </w:rPr>
              <w:t>400</w:t>
            </w:r>
          </w:p>
        </w:tc>
        <w:tc>
          <w:tcPr>
            <w:tcW w:w="973" w:type="dxa"/>
            <w:shd w:val="clear" w:color="auto" w:fill="C6EFCE"/>
            <w:noWrap/>
          </w:tcPr>
          <w:p w14:paraId="24971C2D" w14:textId="77777777" w:rsidR="00A00259" w:rsidRDefault="00371282">
            <w:pPr>
              <w:pStyle w:val="P68B1DB1-Normal12"/>
              <w:spacing w:after="0" w:line="240" w:lineRule="auto"/>
              <w:rPr>
                <w:rFonts w:eastAsia="Times New Roman"/>
                <w:noProof/>
              </w:rPr>
            </w:pPr>
            <w:r>
              <w:rPr>
                <w:noProof/>
              </w:rPr>
              <w:t>T2</w:t>
            </w:r>
          </w:p>
        </w:tc>
        <w:tc>
          <w:tcPr>
            <w:tcW w:w="992" w:type="dxa"/>
            <w:shd w:val="clear" w:color="auto" w:fill="C6EFCE"/>
            <w:noWrap/>
          </w:tcPr>
          <w:p w14:paraId="5420A038" w14:textId="77777777" w:rsidR="00A00259" w:rsidRDefault="00371282">
            <w:pPr>
              <w:pStyle w:val="P68B1DB1-Normal12"/>
              <w:spacing w:after="0" w:line="240" w:lineRule="auto"/>
              <w:rPr>
                <w:rFonts w:eastAsia="Times New Roman"/>
                <w:noProof/>
              </w:rPr>
            </w:pPr>
            <w:r>
              <w:rPr>
                <w:noProof/>
              </w:rPr>
              <w:t>2026</w:t>
            </w:r>
          </w:p>
        </w:tc>
        <w:tc>
          <w:tcPr>
            <w:tcW w:w="4501" w:type="dxa"/>
            <w:shd w:val="clear" w:color="auto" w:fill="C6EFCE"/>
            <w:noWrap/>
          </w:tcPr>
          <w:p w14:paraId="02AF7531" w14:textId="546B7F7F" w:rsidR="00A00259" w:rsidRDefault="00371282">
            <w:pPr>
              <w:pStyle w:val="P68B1DB1-Normal12"/>
              <w:spacing w:after="0" w:line="240" w:lineRule="auto"/>
              <w:rPr>
                <w:rFonts w:eastAsia="Times New Roman"/>
                <w:noProof/>
              </w:rPr>
            </w:pPr>
            <w:r>
              <w:rPr>
                <w:noProof/>
              </w:rPr>
              <w:t>Réduction de 400 000 000 EUR de la récupération pharmaceutique de 2025 par rapport aux niveaux de 2020. Si cela n’est pas réalisé, la différence entre la réduction ciblée et la réduction réelle n’est pas récupérée auprès de l’industrie pharmaceutique et le montant correspondant est supporté par le budget de l’État jusqu’à concurrence de 400 000 000 EUR.</w:t>
            </w:r>
          </w:p>
        </w:tc>
      </w:tr>
    </w:tbl>
    <w:p w14:paraId="58902F36" w14:textId="77777777" w:rsidR="00A00259" w:rsidRDefault="00A00259">
      <w:pPr>
        <w:spacing w:before="120" w:after="120" w:line="240" w:lineRule="auto"/>
        <w:ind w:left="709"/>
        <w:jc w:val="both"/>
        <w:rPr>
          <w:rFonts w:ascii="Times New Roman" w:hAnsi="Times New Roman" w:cs="Times New Roman"/>
          <w:noProof/>
          <w:sz w:val="24"/>
          <w:szCs w:val="24"/>
        </w:rPr>
        <w:sectPr w:rsidR="00A00259">
          <w:headerReference w:type="even" r:id="rId210"/>
          <w:headerReference w:type="default" r:id="rId211"/>
          <w:footerReference w:type="even" r:id="rId212"/>
          <w:footerReference w:type="default" r:id="rId213"/>
          <w:headerReference w:type="first" r:id="rId214"/>
          <w:footerReference w:type="first" r:id="rId215"/>
          <w:pgSz w:w="16839" w:h="11907" w:orient="landscape"/>
          <w:pgMar w:top="1134" w:right="1134" w:bottom="1134" w:left="1134" w:header="567" w:footer="567" w:gutter="0"/>
          <w:cols w:space="720"/>
          <w:docGrid w:linePitch="360"/>
        </w:sectPr>
      </w:pPr>
    </w:p>
    <w:p w14:paraId="2E700FC6" w14:textId="77777777" w:rsidR="00A00259" w:rsidRDefault="00371282">
      <w:pPr>
        <w:pStyle w:val="P68B1DB1-Normal9"/>
        <w:keepNext/>
        <w:keepLines/>
        <w:spacing w:before="40" w:after="0" w:line="240" w:lineRule="auto"/>
        <w:jc w:val="both"/>
        <w:outlineLvl w:val="4"/>
        <w:rPr>
          <w:rFonts w:eastAsia="Times New Roman"/>
          <w:noProof/>
        </w:rPr>
      </w:pPr>
      <w:r>
        <w:rPr>
          <w:noProof/>
        </w:rPr>
        <w:t>Groupe 13: Améliorer la résilience, l’accessibilité et la durabilité des soins de santé</w:t>
      </w:r>
    </w:p>
    <w:p w14:paraId="1C19DAA6" w14:textId="77777777" w:rsidR="00A00259" w:rsidRDefault="00371282">
      <w:pPr>
        <w:pStyle w:val="P68B1DB1-Normal5"/>
        <w:numPr>
          <w:ilvl w:val="0"/>
          <w:numId w:val="46"/>
        </w:numPr>
        <w:tabs>
          <w:tab w:val="left" w:pos="8364"/>
        </w:tabs>
        <w:spacing w:before="120" w:after="0" w:line="240" w:lineRule="auto"/>
        <w:jc w:val="both"/>
        <w:rPr>
          <w:rFonts w:cs="Times New Roman"/>
          <w:noProof/>
        </w:rPr>
      </w:pPr>
      <w:r>
        <w:rPr>
          <w:noProof/>
        </w:rPr>
        <w:t>Réformes organisationnelles du système de santé (ID: 16756)</w:t>
      </w:r>
    </w:p>
    <w:p w14:paraId="26E5E33B" w14:textId="77777777" w:rsidR="00A00259" w:rsidRDefault="00371282">
      <w:pPr>
        <w:pStyle w:val="P68B1DB1-Normal5"/>
        <w:numPr>
          <w:ilvl w:val="0"/>
          <w:numId w:val="46"/>
        </w:numPr>
        <w:tabs>
          <w:tab w:val="left" w:pos="8364"/>
        </w:tabs>
        <w:spacing w:before="120" w:after="0" w:line="240" w:lineRule="auto"/>
        <w:jc w:val="both"/>
        <w:rPr>
          <w:rFonts w:cs="Times New Roman"/>
          <w:noProof/>
        </w:rPr>
      </w:pPr>
      <w:r>
        <w:rPr>
          <w:noProof/>
        </w:rPr>
        <w:t>Réforme dans les domaines de la santé mentale et des toxicomanies (ID: 16820)</w:t>
      </w:r>
    </w:p>
    <w:p w14:paraId="5C4B0880" w14:textId="77777777" w:rsidR="00A00259" w:rsidRDefault="00371282">
      <w:pPr>
        <w:pStyle w:val="P68B1DB1-Normal5"/>
        <w:numPr>
          <w:ilvl w:val="0"/>
          <w:numId w:val="46"/>
        </w:numPr>
        <w:tabs>
          <w:tab w:val="left" w:pos="8364"/>
        </w:tabs>
        <w:spacing w:before="120" w:after="0" w:line="240" w:lineRule="auto"/>
        <w:jc w:val="both"/>
        <w:rPr>
          <w:rFonts w:cs="Times New Roman"/>
          <w:noProof/>
        </w:rPr>
      </w:pPr>
      <w:r>
        <w:rPr>
          <w:noProof/>
        </w:rPr>
        <w:t>Réforme du système de soins de santé primaires (ID: 16755)</w:t>
      </w:r>
    </w:p>
    <w:p w14:paraId="45920DF0" w14:textId="77777777" w:rsidR="00A00259" w:rsidRDefault="00371282">
      <w:pPr>
        <w:pStyle w:val="P68B1DB1-Normal5"/>
        <w:numPr>
          <w:ilvl w:val="0"/>
          <w:numId w:val="46"/>
        </w:numPr>
        <w:tabs>
          <w:tab w:val="left" w:pos="8364"/>
        </w:tabs>
        <w:spacing w:before="120" w:after="120" w:line="240" w:lineRule="auto"/>
        <w:jc w:val="both"/>
        <w:rPr>
          <w:rFonts w:cs="Times New Roman"/>
          <w:noProof/>
        </w:rPr>
      </w:pPr>
      <w:r>
        <w:rPr>
          <w:noProof/>
        </w:rPr>
        <w:t>Mise en œuvre du programme national de prévention de la santé publique «Spiros Doxiadis» (ID: 16783)</w:t>
      </w:r>
    </w:p>
    <w:p w14:paraId="0F2D7832" w14:textId="77777777" w:rsidR="00A00259" w:rsidRDefault="00371282">
      <w:pPr>
        <w:pStyle w:val="P68B1DB1-Normal5"/>
        <w:numPr>
          <w:ilvl w:val="0"/>
          <w:numId w:val="46"/>
        </w:numPr>
        <w:tabs>
          <w:tab w:val="left" w:pos="8364"/>
        </w:tabs>
        <w:spacing w:before="120" w:after="120" w:line="240" w:lineRule="auto"/>
        <w:jc w:val="both"/>
        <w:rPr>
          <w:rFonts w:cs="Times New Roman"/>
          <w:noProof/>
        </w:rPr>
      </w:pPr>
      <w:r>
        <w:rPr>
          <w:noProof/>
        </w:rPr>
        <w:t>Réforme du médecin personnel (ID: 16984)</w:t>
      </w:r>
    </w:p>
    <w:tbl>
      <w:tblPr>
        <w:tblW w:w="16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7"/>
        <w:gridCol w:w="2085"/>
        <w:gridCol w:w="969"/>
        <w:gridCol w:w="1293"/>
        <w:gridCol w:w="1707"/>
        <w:gridCol w:w="1335"/>
        <w:gridCol w:w="1050"/>
        <w:gridCol w:w="975"/>
        <w:gridCol w:w="1076"/>
        <w:gridCol w:w="851"/>
        <w:gridCol w:w="4230"/>
      </w:tblGrid>
      <w:tr w:rsidR="00A00259" w14:paraId="2F09CD99" w14:textId="77777777" w:rsidTr="00CE3F9A">
        <w:trPr>
          <w:trHeight w:val="631"/>
          <w:tblHeader/>
          <w:jc w:val="center"/>
        </w:trPr>
        <w:tc>
          <w:tcPr>
            <w:tcW w:w="717" w:type="dxa"/>
            <w:vMerge w:val="restart"/>
            <w:shd w:val="clear" w:color="auto" w:fill="BDD7EE"/>
            <w:vAlign w:val="center"/>
            <w:hideMark/>
          </w:tcPr>
          <w:p w14:paraId="5E68DEFE" w14:textId="77777777" w:rsidR="00A00259" w:rsidRDefault="00371282">
            <w:pPr>
              <w:pStyle w:val="P68B1DB1-Normal10"/>
              <w:spacing w:after="0" w:line="240" w:lineRule="auto"/>
              <w:ind w:right="-670"/>
              <w:rPr>
                <w:rFonts w:eastAsia="Times New Roman" w:cs="Times New Roman"/>
                <w:bCs/>
                <w:noProof/>
                <w:szCs w:val="18"/>
              </w:rPr>
            </w:pPr>
            <w:r>
              <w:rPr>
                <w:noProof/>
              </w:rPr>
              <w:t xml:space="preserve">Seq. </w:t>
            </w:r>
            <w:r>
              <w:rPr>
                <w:noProof/>
              </w:rPr>
              <w:br/>
              <w:t>Non.</w:t>
            </w:r>
          </w:p>
        </w:tc>
        <w:tc>
          <w:tcPr>
            <w:tcW w:w="2085" w:type="dxa"/>
            <w:vMerge w:val="restart"/>
            <w:shd w:val="clear" w:color="auto" w:fill="BDD7EE"/>
            <w:vAlign w:val="center"/>
            <w:hideMark/>
          </w:tcPr>
          <w:p w14:paraId="783FA564" w14:textId="77777777" w:rsidR="00A00259" w:rsidRDefault="00371282">
            <w:pPr>
              <w:pStyle w:val="P68B1DB1-Normal15"/>
              <w:spacing w:after="0" w:line="240" w:lineRule="auto"/>
              <w:ind w:right="-670"/>
              <w:rPr>
                <w:noProof/>
              </w:rPr>
            </w:pPr>
            <w:r>
              <w:rPr>
                <w:noProof/>
              </w:rPr>
              <w:t>Mesure connexe</w:t>
            </w:r>
          </w:p>
          <w:p w14:paraId="3CB8D57B" w14:textId="77777777" w:rsidR="00A00259" w:rsidRDefault="00371282">
            <w:pPr>
              <w:pStyle w:val="P68B1DB1-Normal15"/>
              <w:spacing w:after="0" w:line="240" w:lineRule="auto"/>
              <w:ind w:right="-670"/>
              <w:rPr>
                <w:rFonts w:eastAsia="Times New Roman"/>
                <w:bCs/>
                <w:noProof/>
              </w:rPr>
            </w:pPr>
            <w:r>
              <w:rPr>
                <w:noProof/>
              </w:rPr>
              <w:t>(Réforme ou investissement)</w:t>
            </w:r>
          </w:p>
        </w:tc>
        <w:tc>
          <w:tcPr>
            <w:tcW w:w="969" w:type="dxa"/>
            <w:vMerge w:val="restart"/>
            <w:shd w:val="clear" w:color="auto" w:fill="BDD7EE"/>
            <w:vAlign w:val="center"/>
            <w:hideMark/>
          </w:tcPr>
          <w:p w14:paraId="19E295BF" w14:textId="77777777" w:rsidR="00A00259" w:rsidRDefault="00371282">
            <w:pPr>
              <w:pStyle w:val="P68B1DB1-Normal15"/>
              <w:spacing w:after="0" w:line="240" w:lineRule="auto"/>
              <w:ind w:right="-670"/>
              <w:rPr>
                <w:noProof/>
              </w:rPr>
            </w:pPr>
            <w:r>
              <w:rPr>
                <w:noProof/>
              </w:rPr>
              <w:t>Étape /</w:t>
            </w:r>
          </w:p>
          <w:p w14:paraId="24976D7F" w14:textId="77777777" w:rsidR="00A00259" w:rsidRDefault="00371282">
            <w:pPr>
              <w:pStyle w:val="P68B1DB1-Normal15"/>
              <w:spacing w:after="0" w:line="240" w:lineRule="auto"/>
              <w:ind w:right="-670"/>
              <w:rPr>
                <w:rFonts w:eastAsia="Times New Roman"/>
                <w:bCs/>
                <w:noProof/>
              </w:rPr>
            </w:pPr>
            <w:r>
              <w:rPr>
                <w:noProof/>
              </w:rPr>
              <w:t>Objectif</w:t>
            </w:r>
          </w:p>
        </w:tc>
        <w:tc>
          <w:tcPr>
            <w:tcW w:w="1293" w:type="dxa"/>
            <w:vMerge w:val="restart"/>
            <w:shd w:val="clear" w:color="auto" w:fill="BDD7EE"/>
            <w:vAlign w:val="center"/>
            <w:hideMark/>
          </w:tcPr>
          <w:p w14:paraId="605061F3" w14:textId="77777777" w:rsidR="00A00259" w:rsidRDefault="00371282">
            <w:pPr>
              <w:pStyle w:val="P68B1DB1-Normal15"/>
              <w:spacing w:after="0" w:line="240" w:lineRule="auto"/>
              <w:ind w:left="447" w:right="-670" w:hanging="447"/>
              <w:rPr>
                <w:rFonts w:eastAsia="Times New Roman"/>
                <w:bCs/>
                <w:noProof/>
              </w:rPr>
            </w:pPr>
            <w:r>
              <w:rPr>
                <w:noProof/>
              </w:rPr>
              <w:t>Nom</w:t>
            </w:r>
          </w:p>
        </w:tc>
        <w:tc>
          <w:tcPr>
            <w:tcW w:w="1707" w:type="dxa"/>
            <w:vMerge w:val="restart"/>
            <w:shd w:val="clear" w:color="auto" w:fill="BDD7EE"/>
            <w:vAlign w:val="center"/>
            <w:hideMark/>
          </w:tcPr>
          <w:p w14:paraId="06CA85B1" w14:textId="77777777" w:rsidR="00A00259" w:rsidRDefault="00371282">
            <w:pPr>
              <w:pStyle w:val="P68B1DB1-Normal15"/>
              <w:spacing w:after="0" w:line="240" w:lineRule="auto"/>
              <w:ind w:left="447" w:right="-670" w:hanging="447"/>
              <w:rPr>
                <w:noProof/>
              </w:rPr>
            </w:pPr>
            <w:r>
              <w:rPr>
                <w:noProof/>
              </w:rPr>
              <w:t>Indicateurs qualitatifs</w:t>
            </w:r>
          </w:p>
          <w:p w14:paraId="227785AF" w14:textId="77777777" w:rsidR="00A00259" w:rsidRDefault="00371282">
            <w:pPr>
              <w:pStyle w:val="P68B1DB1-Normal15"/>
              <w:spacing w:after="0" w:line="240" w:lineRule="auto"/>
              <w:ind w:left="447" w:right="-670" w:hanging="447"/>
              <w:rPr>
                <w:rFonts w:eastAsia="Times New Roman"/>
                <w:bCs/>
                <w:noProof/>
              </w:rPr>
            </w:pPr>
            <w:r>
              <w:rPr>
                <w:noProof/>
              </w:rPr>
              <w:t>(pour les jalons)</w:t>
            </w:r>
          </w:p>
        </w:tc>
        <w:tc>
          <w:tcPr>
            <w:tcW w:w="3360" w:type="dxa"/>
            <w:gridSpan w:val="3"/>
            <w:shd w:val="clear" w:color="auto" w:fill="BDD7EE"/>
            <w:vAlign w:val="center"/>
            <w:hideMark/>
          </w:tcPr>
          <w:p w14:paraId="5E504EC2" w14:textId="77777777" w:rsidR="00A00259" w:rsidRDefault="00371282">
            <w:pPr>
              <w:pStyle w:val="P68B1DB1-Normal15"/>
              <w:tabs>
                <w:tab w:val="left" w:pos="176"/>
                <w:tab w:val="left" w:pos="582"/>
              </w:tabs>
              <w:spacing w:after="0" w:line="240" w:lineRule="auto"/>
              <w:ind w:left="-108" w:right="-670" w:firstLine="108"/>
              <w:jc w:val="center"/>
              <w:rPr>
                <w:noProof/>
              </w:rPr>
            </w:pPr>
            <w:r>
              <w:rPr>
                <w:noProof/>
              </w:rPr>
              <w:t>Indicateurs quantitatifs</w:t>
            </w:r>
          </w:p>
          <w:p w14:paraId="49EA4D8E" w14:textId="77777777" w:rsidR="00A00259" w:rsidRDefault="00371282">
            <w:pPr>
              <w:pStyle w:val="P68B1DB1-Normal15"/>
              <w:spacing w:after="0" w:line="240" w:lineRule="auto"/>
              <w:ind w:right="-670"/>
              <w:jc w:val="center"/>
              <w:rPr>
                <w:rFonts w:eastAsia="Times New Roman"/>
                <w:bCs/>
                <w:noProof/>
              </w:rPr>
            </w:pPr>
            <w:r>
              <w:rPr>
                <w:noProof/>
              </w:rPr>
              <w:t>(pour les objectifs)</w:t>
            </w:r>
          </w:p>
        </w:tc>
        <w:tc>
          <w:tcPr>
            <w:tcW w:w="1927" w:type="dxa"/>
            <w:gridSpan w:val="2"/>
            <w:shd w:val="clear" w:color="auto" w:fill="BDD7EE"/>
            <w:vAlign w:val="center"/>
            <w:hideMark/>
          </w:tcPr>
          <w:p w14:paraId="3CAE1BB3" w14:textId="77777777" w:rsidR="00A00259" w:rsidRDefault="00371282">
            <w:pPr>
              <w:pStyle w:val="P68B1DB1-Normal15"/>
              <w:spacing w:after="0" w:line="240" w:lineRule="auto"/>
              <w:ind w:right="-670"/>
              <w:rPr>
                <w:rFonts w:eastAsia="Times New Roman"/>
                <w:bCs/>
                <w:noProof/>
              </w:rPr>
            </w:pPr>
            <w:r>
              <w:rPr>
                <w:noProof/>
              </w:rPr>
              <w:t>Calendrier indicatif d'achèvement</w:t>
            </w:r>
          </w:p>
        </w:tc>
        <w:tc>
          <w:tcPr>
            <w:tcW w:w="4230" w:type="dxa"/>
            <w:vMerge w:val="restart"/>
            <w:shd w:val="clear" w:color="auto" w:fill="BDD7EE"/>
            <w:vAlign w:val="center"/>
            <w:hideMark/>
          </w:tcPr>
          <w:p w14:paraId="7E697711" w14:textId="77777777" w:rsidR="00A00259" w:rsidRDefault="00371282">
            <w:pPr>
              <w:pStyle w:val="P68B1DB1-Normal15"/>
              <w:spacing w:after="0" w:line="240" w:lineRule="auto"/>
              <w:ind w:left="253" w:right="-670"/>
              <w:rPr>
                <w:rFonts w:eastAsia="Times New Roman"/>
                <w:bCs/>
                <w:noProof/>
              </w:rPr>
            </w:pPr>
            <w:r>
              <w:rPr>
                <w:noProof/>
              </w:rPr>
              <w:t>Description de chaque jalon et cible</w:t>
            </w:r>
          </w:p>
        </w:tc>
      </w:tr>
      <w:tr w:rsidR="00A00259" w14:paraId="0E4D8D21" w14:textId="77777777" w:rsidTr="00CE3F9A">
        <w:trPr>
          <w:trHeight w:val="532"/>
          <w:tblHeader/>
          <w:jc w:val="center"/>
        </w:trPr>
        <w:tc>
          <w:tcPr>
            <w:tcW w:w="717" w:type="dxa"/>
            <w:vMerge/>
            <w:vAlign w:val="center"/>
            <w:hideMark/>
          </w:tcPr>
          <w:p w14:paraId="26213B54" w14:textId="77777777" w:rsidR="00A00259" w:rsidRDefault="00A00259">
            <w:pPr>
              <w:spacing w:after="0" w:line="240" w:lineRule="auto"/>
              <w:rPr>
                <w:rFonts w:ascii="Times New Roman" w:eastAsia="Times New Roman" w:hAnsi="Times New Roman" w:cs="Times New Roman"/>
                <w:b/>
                <w:bCs/>
                <w:noProof/>
                <w:sz w:val="18"/>
                <w:szCs w:val="18"/>
              </w:rPr>
            </w:pPr>
          </w:p>
        </w:tc>
        <w:tc>
          <w:tcPr>
            <w:tcW w:w="2085" w:type="dxa"/>
            <w:vMerge/>
            <w:vAlign w:val="center"/>
            <w:hideMark/>
          </w:tcPr>
          <w:p w14:paraId="63EDC9B3" w14:textId="77777777" w:rsidR="00A00259" w:rsidRDefault="00A00259">
            <w:pPr>
              <w:spacing w:after="0" w:line="240" w:lineRule="auto"/>
              <w:rPr>
                <w:rFonts w:ascii="Times New Roman" w:eastAsia="Times New Roman" w:hAnsi="Times New Roman" w:cs="Times New Roman"/>
                <w:b/>
                <w:bCs/>
                <w:noProof/>
                <w:sz w:val="18"/>
                <w:szCs w:val="18"/>
              </w:rPr>
            </w:pPr>
          </w:p>
        </w:tc>
        <w:tc>
          <w:tcPr>
            <w:tcW w:w="969" w:type="dxa"/>
            <w:vMerge/>
            <w:vAlign w:val="center"/>
            <w:hideMark/>
          </w:tcPr>
          <w:p w14:paraId="345FBD1B" w14:textId="77777777" w:rsidR="00A00259" w:rsidRDefault="00A00259">
            <w:pPr>
              <w:spacing w:after="0" w:line="240" w:lineRule="auto"/>
              <w:rPr>
                <w:rFonts w:ascii="Times New Roman" w:eastAsia="Times New Roman" w:hAnsi="Times New Roman" w:cs="Times New Roman"/>
                <w:b/>
                <w:bCs/>
                <w:noProof/>
                <w:sz w:val="18"/>
                <w:szCs w:val="18"/>
              </w:rPr>
            </w:pPr>
          </w:p>
        </w:tc>
        <w:tc>
          <w:tcPr>
            <w:tcW w:w="1293" w:type="dxa"/>
            <w:vMerge/>
            <w:vAlign w:val="center"/>
            <w:hideMark/>
          </w:tcPr>
          <w:p w14:paraId="57E68FEC" w14:textId="77777777" w:rsidR="00A00259" w:rsidRDefault="00A00259">
            <w:pPr>
              <w:spacing w:after="0" w:line="240" w:lineRule="auto"/>
              <w:rPr>
                <w:rFonts w:ascii="Times New Roman" w:eastAsia="Times New Roman" w:hAnsi="Times New Roman" w:cs="Times New Roman"/>
                <w:b/>
                <w:bCs/>
                <w:noProof/>
                <w:sz w:val="18"/>
                <w:szCs w:val="18"/>
              </w:rPr>
            </w:pPr>
          </w:p>
        </w:tc>
        <w:tc>
          <w:tcPr>
            <w:tcW w:w="1707" w:type="dxa"/>
            <w:vMerge/>
            <w:vAlign w:val="center"/>
            <w:hideMark/>
          </w:tcPr>
          <w:p w14:paraId="432C25C7" w14:textId="77777777" w:rsidR="00A00259" w:rsidRDefault="00A00259">
            <w:pPr>
              <w:spacing w:after="0" w:line="240" w:lineRule="auto"/>
              <w:rPr>
                <w:rFonts w:ascii="Times New Roman" w:eastAsia="Times New Roman" w:hAnsi="Times New Roman" w:cs="Times New Roman"/>
                <w:b/>
                <w:bCs/>
                <w:noProof/>
                <w:sz w:val="18"/>
                <w:szCs w:val="18"/>
              </w:rPr>
            </w:pPr>
          </w:p>
        </w:tc>
        <w:tc>
          <w:tcPr>
            <w:tcW w:w="1335" w:type="dxa"/>
            <w:shd w:val="clear" w:color="auto" w:fill="BDD7EE"/>
            <w:vAlign w:val="center"/>
            <w:hideMark/>
          </w:tcPr>
          <w:p w14:paraId="0FB2235B" w14:textId="77777777" w:rsidR="00A00259" w:rsidRDefault="00371282">
            <w:pPr>
              <w:pStyle w:val="P68B1DB1-Normal15"/>
              <w:spacing w:after="0" w:line="240" w:lineRule="auto"/>
              <w:jc w:val="center"/>
              <w:rPr>
                <w:rFonts w:eastAsia="Times New Roman"/>
                <w:bCs/>
                <w:noProof/>
              </w:rPr>
            </w:pPr>
            <w:r>
              <w:rPr>
                <w:noProof/>
              </w:rPr>
              <w:t>Unité de mesure</w:t>
            </w:r>
          </w:p>
        </w:tc>
        <w:tc>
          <w:tcPr>
            <w:tcW w:w="1050" w:type="dxa"/>
            <w:shd w:val="clear" w:color="auto" w:fill="BDD7EE"/>
            <w:vAlign w:val="center"/>
            <w:hideMark/>
          </w:tcPr>
          <w:p w14:paraId="4003084A" w14:textId="77777777" w:rsidR="00A00259" w:rsidRDefault="00371282">
            <w:pPr>
              <w:pStyle w:val="P68B1DB1-Normal15"/>
              <w:spacing w:after="0" w:line="240" w:lineRule="auto"/>
              <w:jc w:val="center"/>
              <w:rPr>
                <w:rFonts w:eastAsia="Times New Roman"/>
                <w:bCs/>
                <w:noProof/>
              </w:rPr>
            </w:pPr>
            <w:r>
              <w:rPr>
                <w:noProof/>
              </w:rPr>
              <w:t xml:space="preserve">Données de référence </w:t>
            </w:r>
          </w:p>
        </w:tc>
        <w:tc>
          <w:tcPr>
            <w:tcW w:w="975" w:type="dxa"/>
            <w:shd w:val="clear" w:color="auto" w:fill="BDD7EE"/>
            <w:vAlign w:val="center"/>
            <w:hideMark/>
          </w:tcPr>
          <w:p w14:paraId="4F61DB7E" w14:textId="77777777" w:rsidR="00A00259" w:rsidRDefault="00371282">
            <w:pPr>
              <w:pStyle w:val="P68B1DB1-Normal15"/>
              <w:spacing w:after="0" w:line="240" w:lineRule="auto"/>
              <w:jc w:val="center"/>
              <w:rPr>
                <w:rFonts w:eastAsia="Times New Roman"/>
                <w:bCs/>
                <w:noProof/>
              </w:rPr>
            </w:pPr>
            <w:r>
              <w:rPr>
                <w:noProof/>
              </w:rPr>
              <w:t xml:space="preserve">Objectif </w:t>
            </w:r>
          </w:p>
        </w:tc>
        <w:tc>
          <w:tcPr>
            <w:tcW w:w="1076" w:type="dxa"/>
            <w:shd w:val="clear" w:color="auto" w:fill="BDD7EE"/>
            <w:vAlign w:val="center"/>
            <w:hideMark/>
          </w:tcPr>
          <w:p w14:paraId="782E5E17" w14:textId="77777777" w:rsidR="00A00259" w:rsidRDefault="00371282">
            <w:pPr>
              <w:pStyle w:val="P68B1DB1-Normal15"/>
              <w:spacing w:after="0" w:line="240" w:lineRule="auto"/>
              <w:jc w:val="center"/>
              <w:rPr>
                <w:rFonts w:eastAsia="Times New Roman"/>
                <w:bCs/>
                <w:noProof/>
              </w:rPr>
            </w:pPr>
            <w:r>
              <w:rPr>
                <w:noProof/>
              </w:rPr>
              <w:t>Trimestre</w:t>
            </w:r>
          </w:p>
        </w:tc>
        <w:tc>
          <w:tcPr>
            <w:tcW w:w="851" w:type="dxa"/>
            <w:shd w:val="clear" w:color="auto" w:fill="BDD7EE"/>
            <w:vAlign w:val="center"/>
            <w:hideMark/>
          </w:tcPr>
          <w:p w14:paraId="25DC9916" w14:textId="77777777" w:rsidR="00A00259" w:rsidRDefault="00371282">
            <w:pPr>
              <w:pStyle w:val="P68B1DB1-Normal15"/>
              <w:spacing w:after="0" w:line="240" w:lineRule="auto"/>
              <w:jc w:val="center"/>
              <w:rPr>
                <w:rFonts w:eastAsia="Times New Roman"/>
                <w:bCs/>
                <w:noProof/>
              </w:rPr>
            </w:pPr>
            <w:r>
              <w:rPr>
                <w:noProof/>
              </w:rPr>
              <w:t>Année</w:t>
            </w:r>
          </w:p>
        </w:tc>
        <w:tc>
          <w:tcPr>
            <w:tcW w:w="4230" w:type="dxa"/>
            <w:vMerge/>
            <w:vAlign w:val="center"/>
            <w:hideMark/>
          </w:tcPr>
          <w:p w14:paraId="1AE996DE"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0C9069CC" w14:textId="77777777" w:rsidTr="00CE3F9A">
        <w:trPr>
          <w:trHeight w:val="313"/>
          <w:jc w:val="center"/>
        </w:trPr>
        <w:tc>
          <w:tcPr>
            <w:tcW w:w="717" w:type="dxa"/>
            <w:shd w:val="clear" w:color="auto" w:fill="C6EFCE"/>
            <w:noWrap/>
          </w:tcPr>
          <w:p w14:paraId="502BF398" w14:textId="77777777" w:rsidR="00A00259" w:rsidRDefault="00371282">
            <w:pPr>
              <w:pStyle w:val="P68B1DB1-Normal12"/>
              <w:spacing w:after="0" w:line="240" w:lineRule="auto"/>
              <w:rPr>
                <w:rFonts w:eastAsia="Times New Roman"/>
                <w:noProof/>
              </w:rPr>
            </w:pPr>
            <w:r>
              <w:rPr>
                <w:noProof/>
              </w:rPr>
              <w:t>159</w:t>
            </w:r>
          </w:p>
        </w:tc>
        <w:tc>
          <w:tcPr>
            <w:tcW w:w="2085" w:type="dxa"/>
            <w:shd w:val="clear" w:color="auto" w:fill="C6EFCE"/>
            <w:noWrap/>
          </w:tcPr>
          <w:p w14:paraId="412CE86F" w14:textId="77777777"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-16755_Réforme du système de soins de santé primaires</w:t>
            </w:r>
          </w:p>
        </w:tc>
        <w:tc>
          <w:tcPr>
            <w:tcW w:w="969" w:type="dxa"/>
            <w:shd w:val="clear" w:color="auto" w:fill="C6EFCE"/>
            <w:noWrap/>
          </w:tcPr>
          <w:p w14:paraId="72DDB879" w14:textId="77777777" w:rsidR="00A00259" w:rsidRDefault="00371282">
            <w:pPr>
              <w:pStyle w:val="P68B1DB1-Normal12"/>
              <w:spacing w:after="0" w:line="240" w:lineRule="auto"/>
              <w:rPr>
                <w:rFonts w:eastAsia="Times New Roman"/>
                <w:noProof/>
              </w:rPr>
            </w:pPr>
            <w:r>
              <w:rPr>
                <w:noProof/>
              </w:rPr>
              <w:t>Étape</w:t>
            </w:r>
          </w:p>
        </w:tc>
        <w:tc>
          <w:tcPr>
            <w:tcW w:w="1293" w:type="dxa"/>
            <w:shd w:val="clear" w:color="auto" w:fill="C6EFCE"/>
            <w:noWrap/>
          </w:tcPr>
          <w:p w14:paraId="3EFAE51B" w14:textId="77777777" w:rsidR="00A00259" w:rsidRDefault="00371282">
            <w:pPr>
              <w:pStyle w:val="P68B1DB1-Normal12"/>
              <w:spacing w:after="0" w:line="240" w:lineRule="auto"/>
              <w:rPr>
                <w:rFonts w:eastAsia="Times New Roman"/>
                <w:noProof/>
              </w:rPr>
            </w:pPr>
            <w:r>
              <w:rPr>
                <w:noProof/>
              </w:rPr>
              <w:t xml:space="preserve">Activation des programmes de médecine familiale pour les soins de santé primaires </w:t>
            </w:r>
          </w:p>
        </w:tc>
        <w:tc>
          <w:tcPr>
            <w:tcW w:w="1707" w:type="dxa"/>
            <w:shd w:val="clear" w:color="auto" w:fill="C6EFCE"/>
            <w:noWrap/>
          </w:tcPr>
          <w:p w14:paraId="3A340D0F" w14:textId="3B070161" w:rsidR="00A00259" w:rsidRDefault="00371282">
            <w:pPr>
              <w:pStyle w:val="P68B1DB1-Normal12"/>
              <w:spacing w:after="0" w:line="240" w:lineRule="auto"/>
              <w:rPr>
                <w:rFonts w:eastAsia="Times New Roman"/>
                <w:noProof/>
              </w:rPr>
            </w:pPr>
            <w:r>
              <w:rPr>
                <w:noProof/>
              </w:rPr>
              <w:t>Preuve du début des cours pour tous les programmes d'études nouvellement activés en médecine familiale et de l'inclusion d'un module de médecine familiale dans tous les programmes d'études en médecine</w:t>
            </w:r>
          </w:p>
        </w:tc>
        <w:tc>
          <w:tcPr>
            <w:tcW w:w="1335" w:type="dxa"/>
            <w:shd w:val="clear" w:color="auto" w:fill="C6EFCE"/>
            <w:noWrap/>
          </w:tcPr>
          <w:p w14:paraId="79E5C08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50" w:type="dxa"/>
            <w:shd w:val="clear" w:color="auto" w:fill="C6EFCE"/>
            <w:noWrap/>
          </w:tcPr>
          <w:p w14:paraId="7E17F134" w14:textId="77777777" w:rsidR="00A00259" w:rsidRDefault="00A00259">
            <w:pPr>
              <w:spacing w:after="0" w:line="240" w:lineRule="auto"/>
              <w:ind w:left="-692" w:right="631"/>
              <w:rPr>
                <w:rFonts w:ascii="Times New Roman" w:eastAsia="Times New Roman" w:hAnsi="Times New Roman" w:cs="Times New Roman"/>
                <w:noProof/>
                <w:color w:val="006100"/>
                <w:sz w:val="18"/>
                <w:szCs w:val="18"/>
              </w:rPr>
            </w:pPr>
          </w:p>
        </w:tc>
        <w:tc>
          <w:tcPr>
            <w:tcW w:w="975" w:type="dxa"/>
            <w:shd w:val="clear" w:color="auto" w:fill="C6EFCE"/>
            <w:noWrap/>
          </w:tcPr>
          <w:p w14:paraId="778D42F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76" w:type="dxa"/>
            <w:shd w:val="clear" w:color="auto" w:fill="C6EFCE"/>
            <w:noWrap/>
          </w:tcPr>
          <w:p w14:paraId="014EC6F1" w14:textId="77777777" w:rsidR="00A00259" w:rsidRDefault="00371282">
            <w:pPr>
              <w:pStyle w:val="P68B1DB1-Normal12"/>
              <w:spacing w:after="0" w:line="240" w:lineRule="auto"/>
              <w:rPr>
                <w:rFonts w:eastAsia="Times New Roman"/>
                <w:noProof/>
              </w:rPr>
            </w:pPr>
            <w:r>
              <w:rPr>
                <w:noProof/>
              </w:rPr>
              <w:t>T4</w:t>
            </w:r>
          </w:p>
        </w:tc>
        <w:tc>
          <w:tcPr>
            <w:tcW w:w="851" w:type="dxa"/>
            <w:shd w:val="clear" w:color="auto" w:fill="C6EFCE"/>
            <w:noWrap/>
          </w:tcPr>
          <w:p w14:paraId="4632AA7F" w14:textId="77777777" w:rsidR="00A00259" w:rsidRDefault="00371282">
            <w:pPr>
              <w:pStyle w:val="P68B1DB1-Normal12"/>
              <w:spacing w:after="0" w:line="240" w:lineRule="auto"/>
              <w:rPr>
                <w:rFonts w:eastAsia="Times New Roman"/>
                <w:noProof/>
              </w:rPr>
            </w:pPr>
            <w:r>
              <w:rPr>
                <w:noProof/>
              </w:rPr>
              <w:t>2022</w:t>
            </w:r>
          </w:p>
        </w:tc>
        <w:tc>
          <w:tcPr>
            <w:tcW w:w="4230" w:type="dxa"/>
            <w:shd w:val="clear" w:color="auto" w:fill="C6EFCE"/>
            <w:noWrap/>
          </w:tcPr>
          <w:p w14:paraId="20C3A4A7" w14:textId="7E88B43A" w:rsidR="00A00259" w:rsidRDefault="00371282">
            <w:pPr>
              <w:pStyle w:val="P68B1DB1-Normal12"/>
              <w:spacing w:after="0" w:line="240" w:lineRule="auto"/>
              <w:rPr>
                <w:rFonts w:eastAsia="Times New Roman"/>
                <w:noProof/>
              </w:rPr>
            </w:pPr>
            <w:r>
              <w:rPr>
                <w:noProof/>
              </w:rPr>
              <w:t>Étendre le nombre de programmes universitaires actifs en médecine familiale à au moins 75 % des écoles de médecine en Grèce et inclure un module obligatoire en médecine familiale dans tous les programmes de médecine. Cela comprend une documentation, pour les universités concernées, mettant en évidence la nouvelle architecture des diplômes: 1) les nouveaux programmes d'études et 2) l'inclusion du module obligatoire en médecine familiale dans les programmes d'études existants.</w:t>
            </w:r>
          </w:p>
        </w:tc>
      </w:tr>
      <w:tr w:rsidR="00A00259" w14:paraId="6EEE975B" w14:textId="77777777" w:rsidTr="00CE3F9A">
        <w:trPr>
          <w:trHeight w:val="313"/>
          <w:jc w:val="center"/>
        </w:trPr>
        <w:tc>
          <w:tcPr>
            <w:tcW w:w="717" w:type="dxa"/>
            <w:shd w:val="clear" w:color="auto" w:fill="C6EFCE"/>
            <w:noWrap/>
          </w:tcPr>
          <w:p w14:paraId="1B376365" w14:textId="77777777" w:rsidR="00A00259" w:rsidRDefault="00371282">
            <w:pPr>
              <w:pStyle w:val="P68B1DB1-Normal12"/>
              <w:spacing w:after="0" w:line="240" w:lineRule="auto"/>
              <w:rPr>
                <w:rFonts w:eastAsia="Times New Roman"/>
                <w:noProof/>
              </w:rPr>
            </w:pPr>
            <w:r>
              <w:rPr>
                <w:noProof/>
              </w:rPr>
              <w:t>160</w:t>
            </w:r>
          </w:p>
        </w:tc>
        <w:tc>
          <w:tcPr>
            <w:tcW w:w="2085" w:type="dxa"/>
            <w:shd w:val="clear" w:color="auto" w:fill="C6EFCE"/>
            <w:noWrap/>
          </w:tcPr>
          <w:p w14:paraId="378A4525" w14:textId="48562C69"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- 16820_Réforme dans les domaines de la santé mentale et de la toxicomanie</w:t>
            </w:r>
          </w:p>
        </w:tc>
        <w:tc>
          <w:tcPr>
            <w:tcW w:w="969" w:type="dxa"/>
            <w:shd w:val="clear" w:color="auto" w:fill="C6EFCE"/>
            <w:noWrap/>
          </w:tcPr>
          <w:p w14:paraId="4E8B6D10" w14:textId="77777777" w:rsidR="00A00259" w:rsidRDefault="00371282">
            <w:pPr>
              <w:pStyle w:val="P68B1DB1-Normal12"/>
              <w:spacing w:after="0" w:line="240" w:lineRule="auto"/>
              <w:rPr>
                <w:rFonts w:eastAsia="Times New Roman"/>
                <w:noProof/>
              </w:rPr>
            </w:pPr>
            <w:r>
              <w:rPr>
                <w:noProof/>
              </w:rPr>
              <w:t>Objectif</w:t>
            </w:r>
          </w:p>
        </w:tc>
        <w:tc>
          <w:tcPr>
            <w:tcW w:w="1293" w:type="dxa"/>
            <w:shd w:val="clear" w:color="auto" w:fill="C6EFCE"/>
            <w:noWrap/>
          </w:tcPr>
          <w:p w14:paraId="55E3E9BC" w14:textId="77777777" w:rsidR="00A00259" w:rsidRDefault="00371282">
            <w:pPr>
              <w:pStyle w:val="P68B1DB1-Normal12"/>
              <w:spacing w:after="0" w:line="240" w:lineRule="auto"/>
              <w:rPr>
                <w:rFonts w:eastAsia="Times New Roman"/>
                <w:noProof/>
              </w:rPr>
            </w:pPr>
            <w:r>
              <w:rPr>
                <w:noProof/>
              </w:rPr>
              <w:t>Santé mentale – 50 unités ouvertes – étape 1 de 2</w:t>
            </w:r>
          </w:p>
        </w:tc>
        <w:tc>
          <w:tcPr>
            <w:tcW w:w="1707" w:type="dxa"/>
            <w:shd w:val="clear" w:color="auto" w:fill="C6EFCE"/>
            <w:noWrap/>
          </w:tcPr>
          <w:p w14:paraId="238AB2D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335" w:type="dxa"/>
            <w:shd w:val="clear" w:color="auto" w:fill="C6EFCE"/>
            <w:noWrap/>
          </w:tcPr>
          <w:p w14:paraId="1AFC4212" w14:textId="77777777" w:rsidR="00A00259" w:rsidRDefault="00371282">
            <w:pPr>
              <w:pStyle w:val="P68B1DB1-Normal12"/>
              <w:spacing w:after="0" w:line="240" w:lineRule="auto"/>
              <w:rPr>
                <w:rFonts w:eastAsia="Times New Roman"/>
                <w:noProof/>
              </w:rPr>
            </w:pPr>
            <w:r>
              <w:rPr>
                <w:noProof/>
              </w:rPr>
              <w:t>Nombre d'unités de santé mentale achevées et opérationnelles</w:t>
            </w:r>
          </w:p>
        </w:tc>
        <w:tc>
          <w:tcPr>
            <w:tcW w:w="1050" w:type="dxa"/>
            <w:shd w:val="clear" w:color="auto" w:fill="C6EFCE"/>
            <w:noWrap/>
          </w:tcPr>
          <w:p w14:paraId="5A7F5D17" w14:textId="77777777" w:rsidR="00A00259" w:rsidRDefault="00371282">
            <w:pPr>
              <w:pStyle w:val="P68B1DB1-Normal12"/>
              <w:spacing w:after="0" w:line="240" w:lineRule="auto"/>
              <w:rPr>
                <w:rFonts w:eastAsia="Times New Roman"/>
                <w:noProof/>
              </w:rPr>
            </w:pPr>
            <w:r>
              <w:rPr>
                <w:noProof/>
              </w:rPr>
              <w:t>0</w:t>
            </w:r>
          </w:p>
        </w:tc>
        <w:tc>
          <w:tcPr>
            <w:tcW w:w="975" w:type="dxa"/>
            <w:shd w:val="clear" w:color="auto" w:fill="C6EFCE"/>
            <w:noWrap/>
          </w:tcPr>
          <w:p w14:paraId="6323302B" w14:textId="77777777" w:rsidR="00A00259" w:rsidRDefault="00371282">
            <w:pPr>
              <w:pStyle w:val="P68B1DB1-Normal12"/>
              <w:spacing w:after="0" w:line="240" w:lineRule="auto"/>
              <w:rPr>
                <w:rFonts w:eastAsia="Times New Roman"/>
                <w:noProof/>
              </w:rPr>
            </w:pPr>
            <w:r>
              <w:rPr>
                <w:noProof/>
              </w:rPr>
              <w:t>50</w:t>
            </w:r>
          </w:p>
        </w:tc>
        <w:tc>
          <w:tcPr>
            <w:tcW w:w="1076" w:type="dxa"/>
            <w:shd w:val="clear" w:color="auto" w:fill="C6EFCE"/>
            <w:noWrap/>
          </w:tcPr>
          <w:p w14:paraId="57FBC247" w14:textId="77777777" w:rsidR="00A00259" w:rsidRDefault="00371282">
            <w:pPr>
              <w:pStyle w:val="P68B1DB1-Normal12"/>
              <w:spacing w:after="0" w:line="240" w:lineRule="auto"/>
              <w:rPr>
                <w:rFonts w:eastAsia="Times New Roman"/>
                <w:noProof/>
              </w:rPr>
            </w:pPr>
            <w:r>
              <w:rPr>
                <w:noProof/>
              </w:rPr>
              <w:t>T4</w:t>
            </w:r>
          </w:p>
        </w:tc>
        <w:tc>
          <w:tcPr>
            <w:tcW w:w="851" w:type="dxa"/>
            <w:shd w:val="clear" w:color="auto" w:fill="C6EFCE"/>
            <w:noWrap/>
          </w:tcPr>
          <w:p w14:paraId="705903C5" w14:textId="77777777" w:rsidR="00A00259" w:rsidRDefault="00371282">
            <w:pPr>
              <w:pStyle w:val="P68B1DB1-Normal12"/>
              <w:spacing w:after="0" w:line="240" w:lineRule="auto"/>
              <w:rPr>
                <w:rFonts w:eastAsia="Times New Roman"/>
                <w:noProof/>
              </w:rPr>
            </w:pPr>
            <w:r>
              <w:rPr>
                <w:noProof/>
              </w:rPr>
              <w:t>2022</w:t>
            </w:r>
          </w:p>
        </w:tc>
        <w:tc>
          <w:tcPr>
            <w:tcW w:w="4230" w:type="dxa"/>
            <w:shd w:val="clear" w:color="auto" w:fill="C6EFCE"/>
            <w:noWrap/>
          </w:tcPr>
          <w:p w14:paraId="21F27E93" w14:textId="77777777" w:rsidR="00A00259" w:rsidRDefault="00371282">
            <w:pPr>
              <w:pStyle w:val="P68B1DB1-Normal12"/>
              <w:spacing w:after="0" w:line="240" w:lineRule="auto"/>
              <w:rPr>
                <w:rFonts w:eastAsia="Times New Roman"/>
                <w:noProof/>
              </w:rPr>
            </w:pPr>
            <w:r>
              <w:rPr>
                <w:noProof/>
              </w:rPr>
              <w:t>Mise en place et fonctionnement complet de 50 unités de santé mentale (mises en œuvre grâce à une rénovation des unités existantes) soutenues par le Plan stratégique national de soutien à la santé mentale (sur un total de 106 unités de santé mentale)</w:t>
            </w:r>
          </w:p>
        </w:tc>
      </w:tr>
      <w:tr w:rsidR="00A00259" w14:paraId="65ED51F2" w14:textId="77777777" w:rsidTr="00CE3F9A">
        <w:trPr>
          <w:trHeight w:val="313"/>
          <w:jc w:val="center"/>
        </w:trPr>
        <w:tc>
          <w:tcPr>
            <w:tcW w:w="717" w:type="dxa"/>
            <w:shd w:val="clear" w:color="auto" w:fill="C6EFCE"/>
            <w:noWrap/>
          </w:tcPr>
          <w:p w14:paraId="5231629D" w14:textId="77777777" w:rsidR="00A00259" w:rsidRDefault="00371282">
            <w:pPr>
              <w:pStyle w:val="P68B1DB1-Normal12"/>
              <w:spacing w:after="0" w:line="240" w:lineRule="auto"/>
              <w:rPr>
                <w:rFonts w:eastAsia="Times New Roman"/>
                <w:noProof/>
              </w:rPr>
            </w:pPr>
            <w:r>
              <w:rPr>
                <w:noProof/>
              </w:rPr>
              <w:t>162</w:t>
            </w:r>
          </w:p>
        </w:tc>
        <w:tc>
          <w:tcPr>
            <w:tcW w:w="2085" w:type="dxa"/>
            <w:shd w:val="clear" w:color="auto" w:fill="C6EFCE"/>
            <w:noWrap/>
          </w:tcPr>
          <w:p w14:paraId="4BA0F1E2" w14:textId="77777777"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- 16820_Réforme dans les domaines de la santé mentale et des toxicomanies</w:t>
            </w:r>
          </w:p>
        </w:tc>
        <w:tc>
          <w:tcPr>
            <w:tcW w:w="969" w:type="dxa"/>
            <w:shd w:val="clear" w:color="auto" w:fill="C6EFCE"/>
            <w:noWrap/>
          </w:tcPr>
          <w:p w14:paraId="786C4490" w14:textId="77777777" w:rsidR="00A00259" w:rsidRDefault="00371282">
            <w:pPr>
              <w:pStyle w:val="P68B1DB1-Normal12"/>
              <w:spacing w:after="0" w:line="240" w:lineRule="auto"/>
              <w:rPr>
                <w:rFonts w:eastAsia="Times New Roman"/>
                <w:noProof/>
              </w:rPr>
            </w:pPr>
            <w:r>
              <w:rPr>
                <w:noProof/>
              </w:rPr>
              <w:t>Objectif</w:t>
            </w:r>
          </w:p>
        </w:tc>
        <w:tc>
          <w:tcPr>
            <w:tcW w:w="1293" w:type="dxa"/>
            <w:shd w:val="clear" w:color="auto" w:fill="C6EFCE"/>
            <w:noWrap/>
          </w:tcPr>
          <w:p w14:paraId="6C8F43DE" w14:textId="77777777" w:rsidR="00A00259" w:rsidRDefault="00371282">
            <w:pPr>
              <w:pStyle w:val="P68B1DB1-Normal12"/>
              <w:spacing w:after="0" w:line="240" w:lineRule="auto"/>
              <w:rPr>
                <w:rFonts w:eastAsia="Times New Roman"/>
                <w:noProof/>
              </w:rPr>
            </w:pPr>
            <w:r>
              <w:rPr>
                <w:noProof/>
              </w:rPr>
              <w:t>Santé mentale – 106 unités ouvertes – étape 2 de 2</w:t>
            </w:r>
          </w:p>
        </w:tc>
        <w:tc>
          <w:tcPr>
            <w:tcW w:w="1707" w:type="dxa"/>
            <w:shd w:val="clear" w:color="auto" w:fill="C6EFCE"/>
            <w:noWrap/>
          </w:tcPr>
          <w:p w14:paraId="4F2B89B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335" w:type="dxa"/>
            <w:shd w:val="clear" w:color="auto" w:fill="C6EFCE"/>
            <w:noWrap/>
          </w:tcPr>
          <w:p w14:paraId="544F2B3D" w14:textId="77777777" w:rsidR="00A00259" w:rsidRDefault="00371282">
            <w:pPr>
              <w:pStyle w:val="P68B1DB1-Normal12"/>
              <w:spacing w:after="0" w:line="240" w:lineRule="auto"/>
              <w:rPr>
                <w:rFonts w:eastAsia="Times New Roman"/>
                <w:noProof/>
              </w:rPr>
            </w:pPr>
            <w:r>
              <w:rPr>
                <w:noProof/>
              </w:rPr>
              <w:t>Nombre d'unités de santé mentale créées ou rénovées</w:t>
            </w:r>
          </w:p>
        </w:tc>
        <w:tc>
          <w:tcPr>
            <w:tcW w:w="1050" w:type="dxa"/>
            <w:shd w:val="clear" w:color="auto" w:fill="C6EFCE"/>
            <w:noWrap/>
          </w:tcPr>
          <w:p w14:paraId="7C3AA35D" w14:textId="77777777" w:rsidR="00A00259" w:rsidRDefault="00371282">
            <w:pPr>
              <w:pStyle w:val="P68B1DB1-Normal12"/>
              <w:spacing w:after="0" w:line="240" w:lineRule="auto"/>
              <w:rPr>
                <w:rFonts w:eastAsia="Times New Roman"/>
                <w:noProof/>
              </w:rPr>
            </w:pPr>
            <w:r>
              <w:rPr>
                <w:noProof/>
              </w:rPr>
              <w:t>50</w:t>
            </w:r>
          </w:p>
        </w:tc>
        <w:tc>
          <w:tcPr>
            <w:tcW w:w="975" w:type="dxa"/>
            <w:shd w:val="clear" w:color="auto" w:fill="C6EFCE"/>
            <w:noWrap/>
          </w:tcPr>
          <w:p w14:paraId="709A2FAD" w14:textId="77777777" w:rsidR="00A00259" w:rsidRDefault="00371282">
            <w:pPr>
              <w:pStyle w:val="P68B1DB1-Normal12"/>
              <w:spacing w:after="0" w:line="240" w:lineRule="auto"/>
              <w:rPr>
                <w:rFonts w:eastAsia="Times New Roman"/>
                <w:noProof/>
              </w:rPr>
            </w:pPr>
            <w:r>
              <w:rPr>
                <w:noProof/>
              </w:rPr>
              <w:t>106</w:t>
            </w:r>
          </w:p>
          <w:p w14:paraId="6623FAA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76" w:type="dxa"/>
            <w:shd w:val="clear" w:color="auto" w:fill="C6EFCE"/>
            <w:noWrap/>
          </w:tcPr>
          <w:p w14:paraId="0D53CDC9" w14:textId="77777777" w:rsidR="00A00259" w:rsidRDefault="00371282">
            <w:pPr>
              <w:pStyle w:val="P68B1DB1-Normal12"/>
              <w:spacing w:after="0" w:line="240" w:lineRule="auto"/>
              <w:rPr>
                <w:rFonts w:eastAsia="Times New Roman"/>
                <w:noProof/>
              </w:rPr>
            </w:pPr>
            <w:r>
              <w:rPr>
                <w:noProof/>
              </w:rPr>
              <w:t>T4</w:t>
            </w:r>
          </w:p>
        </w:tc>
        <w:tc>
          <w:tcPr>
            <w:tcW w:w="851" w:type="dxa"/>
            <w:shd w:val="clear" w:color="auto" w:fill="C6EFCE"/>
            <w:noWrap/>
          </w:tcPr>
          <w:p w14:paraId="630A47D2" w14:textId="77777777" w:rsidR="00A00259" w:rsidRDefault="00371282">
            <w:pPr>
              <w:pStyle w:val="P68B1DB1-Normal12"/>
              <w:spacing w:after="0" w:line="240" w:lineRule="auto"/>
              <w:rPr>
                <w:rFonts w:eastAsia="Times New Roman"/>
                <w:noProof/>
              </w:rPr>
            </w:pPr>
            <w:r>
              <w:rPr>
                <w:noProof/>
              </w:rPr>
              <w:t>2023</w:t>
            </w:r>
          </w:p>
        </w:tc>
        <w:tc>
          <w:tcPr>
            <w:tcW w:w="4230" w:type="dxa"/>
            <w:shd w:val="clear" w:color="auto" w:fill="C6EFCE"/>
            <w:noWrap/>
          </w:tcPr>
          <w:p w14:paraId="1C723F26" w14:textId="77777777" w:rsidR="00A00259" w:rsidRDefault="00371282">
            <w:pPr>
              <w:pStyle w:val="P68B1DB1-Normal12"/>
              <w:spacing w:after="0" w:line="240" w:lineRule="auto"/>
              <w:rPr>
                <w:rFonts w:eastAsia="Times New Roman"/>
                <w:noProof/>
              </w:rPr>
            </w:pPr>
            <w:r>
              <w:rPr>
                <w:noProof/>
              </w:rPr>
              <w:t xml:space="preserve">Création et mise en service de 25 nouvelles unités de santé mentale et rénovation de 31 unités de santé mentale existantes soutenues par le plan stratégique national pour le soutien à la santé mentale, ainsi que développement d’applications web et numérisation des services de santé mentale (comprenant une carte numérique des unités de santé mentale et une plateforme numérique pour la supervision des entités à but non lucratif fournissant des services de santé mentale) </w:t>
            </w:r>
          </w:p>
        </w:tc>
      </w:tr>
      <w:tr w:rsidR="00A00259" w14:paraId="22189C50" w14:textId="77777777" w:rsidTr="00CE3F9A">
        <w:trPr>
          <w:trHeight w:val="313"/>
          <w:jc w:val="center"/>
        </w:trPr>
        <w:tc>
          <w:tcPr>
            <w:tcW w:w="717" w:type="dxa"/>
            <w:shd w:val="clear" w:color="auto" w:fill="C6EFCE"/>
            <w:noWrap/>
          </w:tcPr>
          <w:p w14:paraId="5C6D9325" w14:textId="77777777" w:rsidR="00A00259" w:rsidRDefault="00371282">
            <w:pPr>
              <w:pStyle w:val="P68B1DB1-Normal12"/>
              <w:spacing w:after="0" w:line="240" w:lineRule="auto"/>
              <w:rPr>
                <w:rFonts w:eastAsia="Times New Roman"/>
                <w:noProof/>
              </w:rPr>
            </w:pPr>
            <w:r>
              <w:rPr>
                <w:noProof/>
              </w:rPr>
              <w:t>163</w:t>
            </w:r>
          </w:p>
        </w:tc>
        <w:tc>
          <w:tcPr>
            <w:tcW w:w="2085" w:type="dxa"/>
            <w:shd w:val="clear" w:color="auto" w:fill="C6EFCE"/>
            <w:noWrap/>
          </w:tcPr>
          <w:p w14:paraId="72B2D14C" w14:textId="77777777" w:rsidR="00A00259" w:rsidRDefault="00371282">
            <w:pPr>
              <w:pStyle w:val="P68B1DB1-Normal12"/>
              <w:spacing w:after="0" w:line="240" w:lineRule="auto"/>
              <w:rPr>
                <w:rFonts w:eastAsia="Times New Roman"/>
                <w:noProof/>
              </w:rPr>
            </w:pPr>
            <w:r>
              <w:rPr>
                <w:noProof/>
              </w:rPr>
              <w:t xml:space="preserve">10 - 3.3. Améliorer la résilience, l'accessibilité et la durabilité des soins de santé - 16756_Réformes organisationnelles du système de santé </w:t>
            </w:r>
          </w:p>
        </w:tc>
        <w:tc>
          <w:tcPr>
            <w:tcW w:w="969" w:type="dxa"/>
            <w:shd w:val="clear" w:color="auto" w:fill="C6EFCE"/>
            <w:noWrap/>
          </w:tcPr>
          <w:p w14:paraId="51144F2A" w14:textId="77777777" w:rsidR="00A00259" w:rsidRDefault="00371282">
            <w:pPr>
              <w:pStyle w:val="P68B1DB1-Normal12"/>
              <w:spacing w:after="0" w:line="240" w:lineRule="auto"/>
              <w:rPr>
                <w:rFonts w:eastAsia="Times New Roman"/>
                <w:noProof/>
              </w:rPr>
            </w:pPr>
            <w:r>
              <w:rPr>
                <w:noProof/>
              </w:rPr>
              <w:t>Étape</w:t>
            </w:r>
          </w:p>
        </w:tc>
        <w:tc>
          <w:tcPr>
            <w:tcW w:w="1293" w:type="dxa"/>
            <w:shd w:val="clear" w:color="auto" w:fill="C6EFCE"/>
            <w:noWrap/>
          </w:tcPr>
          <w:p w14:paraId="132DD028" w14:textId="77777777" w:rsidR="00A00259" w:rsidRDefault="00371282">
            <w:pPr>
              <w:pStyle w:val="P68B1DB1-Normal16"/>
              <w:spacing w:after="0" w:line="240" w:lineRule="auto"/>
              <w:rPr>
                <w:rFonts w:eastAsia="Times New Roman"/>
                <w:noProof/>
                <w:color w:val="006100"/>
              </w:rPr>
            </w:pPr>
            <w:r>
              <w:rPr>
                <w:noProof/>
                <w:color w:val="006100"/>
              </w:rPr>
              <w:t>L'Institut grec DRG KETEKNY et la nouvelle</w:t>
            </w:r>
            <w:r>
              <w:rPr>
                <w:noProof/>
              </w:rPr>
              <w:t xml:space="preserve"> </w:t>
            </w:r>
            <w:r>
              <w:rPr>
                <w:noProof/>
                <w:color w:val="006100"/>
              </w:rPr>
              <w:t xml:space="preserve">Agence pour l'assurance qualité dans les soins de santé ODIPY </w:t>
            </w:r>
          </w:p>
        </w:tc>
        <w:tc>
          <w:tcPr>
            <w:tcW w:w="1707" w:type="dxa"/>
            <w:shd w:val="clear" w:color="auto" w:fill="C6EFCE"/>
            <w:noWrap/>
          </w:tcPr>
          <w:p w14:paraId="5F975676" w14:textId="060CC663" w:rsidR="00A00259" w:rsidRDefault="00371282">
            <w:pPr>
              <w:pStyle w:val="P68B1DB1-Normal12"/>
              <w:spacing w:after="0" w:line="240" w:lineRule="auto"/>
              <w:rPr>
                <w:rFonts w:eastAsia="Times New Roman"/>
                <w:noProof/>
              </w:rPr>
            </w:pPr>
            <w:r>
              <w:rPr>
                <w:noProof/>
              </w:rPr>
              <w:t xml:space="preserve">Les plateformes sont en ligne et accessibles, la stratégie et le cadre législatif sont entrés en vigueur </w:t>
            </w:r>
          </w:p>
        </w:tc>
        <w:tc>
          <w:tcPr>
            <w:tcW w:w="1335" w:type="dxa"/>
            <w:shd w:val="clear" w:color="auto" w:fill="C6EFCE"/>
            <w:noWrap/>
          </w:tcPr>
          <w:p w14:paraId="4BDCD51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50" w:type="dxa"/>
            <w:shd w:val="clear" w:color="auto" w:fill="C6EFCE"/>
            <w:noWrap/>
          </w:tcPr>
          <w:p w14:paraId="71E7C69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75" w:type="dxa"/>
            <w:shd w:val="clear" w:color="auto" w:fill="C6EFCE"/>
            <w:noWrap/>
          </w:tcPr>
          <w:p w14:paraId="63BA9CF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76" w:type="dxa"/>
            <w:shd w:val="clear" w:color="auto" w:fill="C6EFCE"/>
            <w:noWrap/>
          </w:tcPr>
          <w:p w14:paraId="0925AC25" w14:textId="77777777" w:rsidR="00A00259" w:rsidRDefault="00371282">
            <w:pPr>
              <w:pStyle w:val="P68B1DB1-Normal12"/>
              <w:spacing w:after="0" w:line="240" w:lineRule="auto"/>
              <w:rPr>
                <w:rFonts w:eastAsia="Times New Roman"/>
                <w:noProof/>
              </w:rPr>
            </w:pPr>
            <w:r>
              <w:rPr>
                <w:noProof/>
              </w:rPr>
              <w:t>T2</w:t>
            </w:r>
          </w:p>
        </w:tc>
        <w:tc>
          <w:tcPr>
            <w:tcW w:w="851" w:type="dxa"/>
            <w:shd w:val="clear" w:color="auto" w:fill="C6EFCE"/>
            <w:noWrap/>
          </w:tcPr>
          <w:p w14:paraId="0549C230" w14:textId="77777777" w:rsidR="00A00259" w:rsidRDefault="00371282">
            <w:pPr>
              <w:pStyle w:val="P68B1DB1-Normal12"/>
              <w:spacing w:after="0" w:line="240" w:lineRule="auto"/>
              <w:rPr>
                <w:rFonts w:eastAsia="Times New Roman"/>
                <w:noProof/>
              </w:rPr>
            </w:pPr>
            <w:r>
              <w:rPr>
                <w:noProof/>
              </w:rPr>
              <w:t>2025</w:t>
            </w:r>
          </w:p>
        </w:tc>
        <w:tc>
          <w:tcPr>
            <w:tcW w:w="4230" w:type="dxa"/>
            <w:shd w:val="clear" w:color="auto" w:fill="C6EFCE"/>
            <w:noWrap/>
          </w:tcPr>
          <w:p w14:paraId="79AB6E7F" w14:textId="2CF29AC0" w:rsidR="00A00259" w:rsidRDefault="00371282">
            <w:pPr>
              <w:pStyle w:val="P68B1DB1-Normal23"/>
              <w:spacing w:after="0" w:line="240" w:lineRule="auto"/>
              <w:rPr>
                <w:noProof/>
              </w:rPr>
            </w:pPr>
            <w:r>
              <w:rPr>
                <w:noProof/>
              </w:rPr>
              <w:t xml:space="preserve">Pour que cette étape soit franchie, il faut que: </w:t>
            </w:r>
          </w:p>
          <w:p w14:paraId="5E40DE02" w14:textId="77777777" w:rsidR="00A00259" w:rsidRDefault="00371282">
            <w:pPr>
              <w:pStyle w:val="P68B1DB1-ListParagraph34"/>
              <w:numPr>
                <w:ilvl w:val="0"/>
                <w:numId w:val="47"/>
              </w:numPr>
              <w:spacing w:after="0" w:line="240" w:lineRule="auto"/>
              <w:ind w:left="343" w:hanging="343"/>
              <w:rPr>
                <w:rFonts w:eastAsia="Times New Roman"/>
                <w:noProof/>
              </w:rPr>
            </w:pPr>
            <w:r>
              <w:rPr>
                <w:noProof/>
              </w:rPr>
              <w:t>L'extension d'interopérabilité - DRG Coding Application Programming Interfaces (APIs) est en ligne et accessible</w:t>
            </w:r>
          </w:p>
          <w:p w14:paraId="7991D016" w14:textId="77777777" w:rsidR="00A00259" w:rsidRDefault="00371282">
            <w:pPr>
              <w:pStyle w:val="P68B1DB1-ListParagraph42"/>
              <w:numPr>
                <w:ilvl w:val="0"/>
                <w:numId w:val="47"/>
              </w:numPr>
              <w:spacing w:after="0" w:line="240" w:lineRule="auto"/>
              <w:ind w:left="343" w:hanging="343"/>
              <w:rPr>
                <w:rFonts w:eastAsia="Times New Roman"/>
                <w:noProof/>
                <w:color w:val="006100"/>
              </w:rPr>
            </w:pPr>
            <w:r>
              <w:rPr>
                <w:noProof/>
                <w:color w:val="006100"/>
              </w:rPr>
              <w:t>la plateforme de consultation sur le codage médical de la Classification internationale des maladies (CIM) &amp; Greek Medical Procedure Classification (ETIP) est en ligne et accessible</w:t>
            </w:r>
          </w:p>
          <w:p w14:paraId="69E8C244" w14:textId="77777777" w:rsidR="00A00259" w:rsidRDefault="00371282">
            <w:pPr>
              <w:pStyle w:val="P68B1DB1-ListParagraph34"/>
              <w:numPr>
                <w:ilvl w:val="0"/>
                <w:numId w:val="47"/>
              </w:numPr>
              <w:spacing w:after="0" w:line="240" w:lineRule="auto"/>
              <w:ind w:left="343" w:hanging="343"/>
              <w:rPr>
                <w:rFonts w:eastAsia="Times New Roman"/>
                <w:noProof/>
              </w:rPr>
            </w:pPr>
            <w:r>
              <w:rPr>
                <w:noProof/>
              </w:rPr>
              <w:t xml:space="preserve">la plateforme de collecte de données financières et comptables est en ligne et accessible </w:t>
            </w:r>
          </w:p>
          <w:p w14:paraId="2171A8A9" w14:textId="77777777" w:rsidR="00A00259" w:rsidRDefault="00371282">
            <w:pPr>
              <w:pStyle w:val="P68B1DB1-ListParagraph34"/>
              <w:numPr>
                <w:ilvl w:val="0"/>
                <w:numId w:val="47"/>
              </w:numPr>
              <w:spacing w:after="0" w:line="240" w:lineRule="auto"/>
              <w:ind w:left="343" w:hanging="343"/>
              <w:rPr>
                <w:rFonts w:eastAsia="Times New Roman"/>
                <w:noProof/>
              </w:rPr>
            </w:pPr>
            <w:r>
              <w:rPr>
                <w:noProof/>
              </w:rPr>
              <w:t>la carte nationale de la santé (pour la demande et l’offre de services dans le système de santé) est en ligne et accessible;</w:t>
            </w:r>
          </w:p>
          <w:p w14:paraId="20601BD6" w14:textId="2DCD0062" w:rsidR="00A00259" w:rsidRDefault="00371282">
            <w:pPr>
              <w:pStyle w:val="P68B1DB1-ListParagraph34"/>
              <w:numPr>
                <w:ilvl w:val="0"/>
                <w:numId w:val="47"/>
              </w:numPr>
              <w:spacing w:after="0" w:line="240" w:lineRule="auto"/>
              <w:ind w:left="343" w:hanging="343"/>
              <w:rPr>
                <w:rFonts w:eastAsia="Times New Roman"/>
                <w:noProof/>
              </w:rPr>
            </w:pPr>
            <w:r>
              <w:rPr>
                <w:noProof/>
              </w:rPr>
              <w:t xml:space="preserve">entrée en vigueur a) du cadre législatif relatif à l’assurance de la qualité, à la sécurité des patients et à la participation des patients, aux soins et aux politiques de sécurité, et b) de la stratégie nationale correspondante </w:t>
            </w:r>
          </w:p>
        </w:tc>
      </w:tr>
      <w:tr w:rsidR="00A00259" w14:paraId="273B549F" w14:textId="77777777" w:rsidTr="00CE3F9A">
        <w:trPr>
          <w:trHeight w:val="313"/>
          <w:jc w:val="center"/>
        </w:trPr>
        <w:tc>
          <w:tcPr>
            <w:tcW w:w="717" w:type="dxa"/>
            <w:shd w:val="clear" w:color="auto" w:fill="C6EFCE"/>
            <w:noWrap/>
          </w:tcPr>
          <w:p w14:paraId="25316C0D" w14:textId="77777777" w:rsidR="00A00259" w:rsidRDefault="00371282">
            <w:pPr>
              <w:pStyle w:val="P68B1DB1-Normal12"/>
              <w:spacing w:after="0" w:line="240" w:lineRule="auto"/>
              <w:rPr>
                <w:rFonts w:eastAsia="Times New Roman"/>
                <w:noProof/>
              </w:rPr>
            </w:pPr>
            <w:r>
              <w:rPr>
                <w:noProof/>
              </w:rPr>
              <w:t>164</w:t>
            </w:r>
          </w:p>
        </w:tc>
        <w:tc>
          <w:tcPr>
            <w:tcW w:w="2085" w:type="dxa"/>
            <w:shd w:val="clear" w:color="auto" w:fill="C6EFCE"/>
            <w:noWrap/>
          </w:tcPr>
          <w:p w14:paraId="740AF108" w14:textId="77777777" w:rsidR="00A00259" w:rsidRDefault="00371282">
            <w:pPr>
              <w:pStyle w:val="P68B1DB1-Normal12"/>
              <w:spacing w:after="0" w:line="240" w:lineRule="auto"/>
              <w:rPr>
                <w:rFonts w:eastAsia="Times New Roman"/>
                <w:noProof/>
              </w:rPr>
            </w:pPr>
            <w:r>
              <w:rPr>
                <w:noProof/>
              </w:rPr>
              <w:t xml:space="preserve">10 - 3.3. Améliorer la résilience, l'accessibilité et la durabilité des soins de santé - 16756_Réformes organisationnelles du système de santé </w:t>
            </w:r>
          </w:p>
        </w:tc>
        <w:tc>
          <w:tcPr>
            <w:tcW w:w="969" w:type="dxa"/>
            <w:shd w:val="clear" w:color="auto" w:fill="C6EFCE"/>
            <w:noWrap/>
          </w:tcPr>
          <w:p w14:paraId="62CDB697" w14:textId="77777777" w:rsidR="00A00259" w:rsidRDefault="00371282">
            <w:pPr>
              <w:pStyle w:val="P68B1DB1-Normal12"/>
              <w:spacing w:after="0" w:line="240" w:lineRule="auto"/>
              <w:rPr>
                <w:rFonts w:eastAsia="Times New Roman"/>
                <w:noProof/>
              </w:rPr>
            </w:pPr>
            <w:r>
              <w:rPr>
                <w:noProof/>
              </w:rPr>
              <w:t>Objectif</w:t>
            </w:r>
          </w:p>
        </w:tc>
        <w:tc>
          <w:tcPr>
            <w:tcW w:w="1293" w:type="dxa"/>
            <w:shd w:val="clear" w:color="auto" w:fill="C6EFCE"/>
            <w:noWrap/>
          </w:tcPr>
          <w:p w14:paraId="08E2B446" w14:textId="77777777" w:rsidR="00A00259" w:rsidRDefault="00371282">
            <w:pPr>
              <w:pStyle w:val="P68B1DB1-Normal12"/>
              <w:spacing w:after="0" w:line="240" w:lineRule="auto"/>
              <w:rPr>
                <w:rFonts w:eastAsia="Times New Roman"/>
                <w:noProof/>
              </w:rPr>
            </w:pPr>
            <w:r>
              <w:rPr>
                <w:noProof/>
              </w:rPr>
              <w:t xml:space="preserve">Système de santé – formation KETEKNY </w:t>
            </w:r>
          </w:p>
        </w:tc>
        <w:tc>
          <w:tcPr>
            <w:tcW w:w="1707" w:type="dxa"/>
            <w:shd w:val="clear" w:color="auto" w:fill="C6EFCE"/>
            <w:noWrap/>
          </w:tcPr>
          <w:p w14:paraId="7C2A86B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335" w:type="dxa"/>
            <w:shd w:val="clear" w:color="auto" w:fill="C6EFCE"/>
            <w:noWrap/>
          </w:tcPr>
          <w:p w14:paraId="06801266" w14:textId="77777777" w:rsidR="00A00259" w:rsidRDefault="00371282">
            <w:pPr>
              <w:pStyle w:val="P68B1DB1-Normal12"/>
              <w:spacing w:after="0" w:line="240" w:lineRule="auto"/>
              <w:rPr>
                <w:rFonts w:eastAsia="Times New Roman"/>
                <w:noProof/>
              </w:rPr>
            </w:pPr>
            <w:r>
              <w:rPr>
                <w:noProof/>
              </w:rPr>
              <w:t xml:space="preserve">Nombre de professionnels de la santé certifiés pour la formation sur le codage et la facturation cliniques </w:t>
            </w:r>
          </w:p>
        </w:tc>
        <w:tc>
          <w:tcPr>
            <w:tcW w:w="1050" w:type="dxa"/>
            <w:shd w:val="clear" w:color="auto" w:fill="C6EFCE"/>
            <w:noWrap/>
          </w:tcPr>
          <w:p w14:paraId="7A4E91C4" w14:textId="77777777" w:rsidR="00A00259" w:rsidRDefault="00371282">
            <w:pPr>
              <w:pStyle w:val="P68B1DB1-Normal12"/>
              <w:spacing w:after="0" w:line="240" w:lineRule="auto"/>
              <w:rPr>
                <w:rFonts w:eastAsia="Times New Roman"/>
                <w:noProof/>
              </w:rPr>
            </w:pPr>
            <w:r>
              <w:rPr>
                <w:noProof/>
              </w:rPr>
              <w:t>0</w:t>
            </w:r>
          </w:p>
        </w:tc>
        <w:tc>
          <w:tcPr>
            <w:tcW w:w="975" w:type="dxa"/>
            <w:shd w:val="clear" w:color="auto" w:fill="C6EFCE"/>
            <w:noWrap/>
          </w:tcPr>
          <w:p w14:paraId="333B0DAE" w14:textId="05458C3D" w:rsidR="00A00259" w:rsidRDefault="00371282">
            <w:pPr>
              <w:pStyle w:val="P68B1DB1-Normal12"/>
              <w:spacing w:after="0" w:line="240" w:lineRule="auto"/>
              <w:rPr>
                <w:rFonts w:eastAsia="Times New Roman"/>
                <w:noProof/>
              </w:rPr>
            </w:pPr>
            <w:r>
              <w:rPr>
                <w:noProof/>
              </w:rPr>
              <w:t xml:space="preserve">3 462 </w:t>
            </w:r>
          </w:p>
        </w:tc>
        <w:tc>
          <w:tcPr>
            <w:tcW w:w="1076" w:type="dxa"/>
            <w:shd w:val="clear" w:color="auto" w:fill="C6EFCE"/>
            <w:noWrap/>
          </w:tcPr>
          <w:p w14:paraId="7B88A140" w14:textId="77777777" w:rsidR="00A00259" w:rsidRDefault="00371282">
            <w:pPr>
              <w:pStyle w:val="P68B1DB1-Normal12"/>
              <w:spacing w:after="0" w:line="240" w:lineRule="auto"/>
              <w:rPr>
                <w:rFonts w:eastAsia="Times New Roman"/>
                <w:noProof/>
              </w:rPr>
            </w:pPr>
            <w:r>
              <w:rPr>
                <w:noProof/>
              </w:rPr>
              <w:t>T2</w:t>
            </w:r>
          </w:p>
        </w:tc>
        <w:tc>
          <w:tcPr>
            <w:tcW w:w="851" w:type="dxa"/>
            <w:shd w:val="clear" w:color="auto" w:fill="C6EFCE"/>
            <w:noWrap/>
          </w:tcPr>
          <w:p w14:paraId="439F1AAC" w14:textId="77777777" w:rsidR="00A00259" w:rsidRDefault="00371282">
            <w:pPr>
              <w:pStyle w:val="P68B1DB1-Normal12"/>
              <w:spacing w:after="0" w:line="240" w:lineRule="auto"/>
              <w:rPr>
                <w:rFonts w:eastAsia="Times New Roman"/>
                <w:noProof/>
              </w:rPr>
            </w:pPr>
            <w:r>
              <w:rPr>
                <w:noProof/>
              </w:rPr>
              <w:t>2025</w:t>
            </w:r>
          </w:p>
        </w:tc>
        <w:tc>
          <w:tcPr>
            <w:tcW w:w="4230" w:type="dxa"/>
            <w:shd w:val="clear" w:color="auto" w:fill="C6EFCE"/>
            <w:noWrap/>
          </w:tcPr>
          <w:p w14:paraId="49CF0D3A" w14:textId="29BAFB40" w:rsidR="00A00259" w:rsidRDefault="00371282">
            <w:pPr>
              <w:pStyle w:val="P68B1DB1-Normal12"/>
              <w:spacing w:after="0" w:line="240" w:lineRule="auto"/>
              <w:rPr>
                <w:rFonts w:eastAsia="Times New Roman"/>
                <w:noProof/>
              </w:rPr>
            </w:pPr>
            <w:r>
              <w:rPr>
                <w:noProof/>
              </w:rPr>
              <w:t>Certification de 3 462 professionnels de santé pour la formation sur le codage clinique &amp; Facturation.</w:t>
            </w:r>
          </w:p>
        </w:tc>
      </w:tr>
      <w:tr w:rsidR="00A00259" w14:paraId="554F801D" w14:textId="77777777" w:rsidTr="00CE3F9A">
        <w:trPr>
          <w:trHeight w:val="313"/>
          <w:jc w:val="center"/>
        </w:trPr>
        <w:tc>
          <w:tcPr>
            <w:tcW w:w="717" w:type="dxa"/>
            <w:shd w:val="clear" w:color="auto" w:fill="C6EFCE"/>
            <w:noWrap/>
          </w:tcPr>
          <w:p w14:paraId="2A2A167A" w14:textId="77777777" w:rsidR="00A00259" w:rsidRDefault="00371282">
            <w:pPr>
              <w:pStyle w:val="P68B1DB1-Normal12"/>
              <w:spacing w:after="0" w:line="240" w:lineRule="auto"/>
              <w:rPr>
                <w:noProof/>
              </w:rPr>
            </w:pPr>
            <w:r>
              <w:rPr>
                <w:noProof/>
              </w:rPr>
              <w:t>164 bis</w:t>
            </w:r>
          </w:p>
        </w:tc>
        <w:tc>
          <w:tcPr>
            <w:tcW w:w="2085" w:type="dxa"/>
            <w:shd w:val="clear" w:color="auto" w:fill="C6EFCE"/>
            <w:noWrap/>
          </w:tcPr>
          <w:p w14:paraId="2BAD216F" w14:textId="77777777" w:rsidR="00A00259" w:rsidRDefault="00371282">
            <w:pPr>
              <w:pStyle w:val="P68B1DB1-Normal12"/>
              <w:spacing w:after="0" w:line="240" w:lineRule="auto"/>
              <w:rPr>
                <w:noProof/>
              </w:rPr>
            </w:pPr>
            <w:r>
              <w:rPr>
                <w:noProof/>
              </w:rPr>
              <w:t>10 - 3.3. «Améliorer la résilience, l’accessibilité et la durabilité des soins de santé» – 16 756 _Réformes organisationnelles du système de santé</w:t>
            </w:r>
          </w:p>
        </w:tc>
        <w:tc>
          <w:tcPr>
            <w:tcW w:w="969" w:type="dxa"/>
            <w:shd w:val="clear" w:color="auto" w:fill="C6EFCE"/>
            <w:noWrap/>
          </w:tcPr>
          <w:p w14:paraId="2BE8745F" w14:textId="77777777" w:rsidR="00A00259" w:rsidRDefault="00371282">
            <w:pPr>
              <w:pStyle w:val="P68B1DB1-Normal12"/>
              <w:spacing w:after="0" w:line="240" w:lineRule="auto"/>
              <w:rPr>
                <w:noProof/>
              </w:rPr>
            </w:pPr>
            <w:r>
              <w:rPr>
                <w:noProof/>
              </w:rPr>
              <w:t>Objectif</w:t>
            </w:r>
          </w:p>
        </w:tc>
        <w:tc>
          <w:tcPr>
            <w:tcW w:w="1293" w:type="dxa"/>
            <w:shd w:val="clear" w:color="auto" w:fill="C6EFCE"/>
            <w:noWrap/>
          </w:tcPr>
          <w:p w14:paraId="0FC51A36" w14:textId="77777777" w:rsidR="00A00259" w:rsidRDefault="00371282">
            <w:pPr>
              <w:pStyle w:val="P68B1DB1-Normal12"/>
              <w:spacing w:after="0" w:line="240" w:lineRule="auto"/>
              <w:rPr>
                <w:noProof/>
              </w:rPr>
            </w:pPr>
            <w:r>
              <w:rPr>
                <w:noProof/>
              </w:rPr>
              <w:t>Réduction de la liste d'attente pour les chirurgies</w:t>
            </w:r>
          </w:p>
        </w:tc>
        <w:tc>
          <w:tcPr>
            <w:tcW w:w="1707" w:type="dxa"/>
            <w:shd w:val="clear" w:color="auto" w:fill="C6EFCE"/>
            <w:noWrap/>
          </w:tcPr>
          <w:p w14:paraId="178B37D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335" w:type="dxa"/>
            <w:shd w:val="clear" w:color="auto" w:fill="C6EFCE"/>
            <w:noWrap/>
          </w:tcPr>
          <w:p w14:paraId="52EA5C71" w14:textId="77777777" w:rsidR="00A00259" w:rsidRDefault="00371282">
            <w:pPr>
              <w:pStyle w:val="P68B1DB1-Normal12"/>
              <w:spacing w:after="0" w:line="240" w:lineRule="auto"/>
              <w:rPr>
                <w:noProof/>
              </w:rPr>
            </w:pPr>
            <w:r>
              <w:rPr>
                <w:noProof/>
              </w:rPr>
              <w:t>Nombre de chirurgies effectuées pour des patients qui attendent depuis plus de quatre mois.</w:t>
            </w:r>
          </w:p>
        </w:tc>
        <w:tc>
          <w:tcPr>
            <w:tcW w:w="1050" w:type="dxa"/>
            <w:shd w:val="clear" w:color="auto" w:fill="C6EFCE"/>
            <w:noWrap/>
          </w:tcPr>
          <w:p w14:paraId="03E94860" w14:textId="77777777" w:rsidR="00A00259" w:rsidRDefault="00371282">
            <w:pPr>
              <w:pStyle w:val="P68B1DB1-Normal12"/>
              <w:spacing w:after="0" w:line="240" w:lineRule="auto"/>
              <w:rPr>
                <w:noProof/>
              </w:rPr>
            </w:pPr>
            <w:r>
              <w:rPr>
                <w:noProof/>
              </w:rPr>
              <w:t>0</w:t>
            </w:r>
          </w:p>
        </w:tc>
        <w:tc>
          <w:tcPr>
            <w:tcW w:w="975" w:type="dxa"/>
            <w:shd w:val="clear" w:color="auto" w:fill="C6EFCE"/>
            <w:noWrap/>
          </w:tcPr>
          <w:p w14:paraId="278A3EE1" w14:textId="77777777" w:rsidR="00A00259" w:rsidRDefault="00371282">
            <w:pPr>
              <w:pStyle w:val="P68B1DB1-Normal12"/>
              <w:spacing w:after="0" w:line="240" w:lineRule="auto"/>
              <w:rPr>
                <w:noProof/>
              </w:rPr>
            </w:pPr>
            <w:r>
              <w:rPr>
                <w:noProof/>
              </w:rPr>
              <w:t>20 000</w:t>
            </w:r>
          </w:p>
        </w:tc>
        <w:tc>
          <w:tcPr>
            <w:tcW w:w="1076" w:type="dxa"/>
            <w:shd w:val="clear" w:color="auto" w:fill="C6EFCE"/>
            <w:noWrap/>
          </w:tcPr>
          <w:p w14:paraId="7D9AF375" w14:textId="77777777" w:rsidR="00A00259" w:rsidRDefault="00371282">
            <w:pPr>
              <w:pStyle w:val="P68B1DB1-Normal12"/>
              <w:spacing w:after="0" w:line="240" w:lineRule="auto"/>
              <w:rPr>
                <w:noProof/>
              </w:rPr>
            </w:pPr>
            <w:r>
              <w:rPr>
                <w:noProof/>
              </w:rPr>
              <w:t>T4</w:t>
            </w:r>
          </w:p>
        </w:tc>
        <w:tc>
          <w:tcPr>
            <w:tcW w:w="851" w:type="dxa"/>
            <w:shd w:val="clear" w:color="auto" w:fill="C6EFCE"/>
            <w:noWrap/>
          </w:tcPr>
          <w:p w14:paraId="3C7AD8C6" w14:textId="77777777" w:rsidR="00A00259" w:rsidRDefault="00371282">
            <w:pPr>
              <w:pStyle w:val="P68B1DB1-Normal12"/>
              <w:spacing w:after="0" w:line="240" w:lineRule="auto"/>
              <w:rPr>
                <w:noProof/>
              </w:rPr>
            </w:pPr>
            <w:r>
              <w:rPr>
                <w:noProof/>
              </w:rPr>
              <w:t>2025</w:t>
            </w:r>
          </w:p>
        </w:tc>
        <w:tc>
          <w:tcPr>
            <w:tcW w:w="4230" w:type="dxa"/>
            <w:shd w:val="clear" w:color="auto" w:fill="C6EFCE"/>
            <w:noWrap/>
          </w:tcPr>
          <w:p w14:paraId="4FDAF4C7" w14:textId="5E0DD846" w:rsidR="00A00259" w:rsidRDefault="00371282">
            <w:pPr>
              <w:pStyle w:val="P68B1DB1-Normal12"/>
              <w:spacing w:after="0" w:line="240" w:lineRule="auto"/>
              <w:rPr>
                <w:noProof/>
              </w:rPr>
            </w:pPr>
            <w:r>
              <w:rPr>
                <w:noProof/>
              </w:rPr>
              <w:t xml:space="preserve">Réduction de l’arriéré d’au moins 90 % du nombre total de chirurgies en attente pour les patients qui attendent depuis plus de quatre mois sur la liste numérique unique des chirurgies (sur la base de l’état de la liste au 16 octobre 2024) et réduction d’au moins 50 % du nombre de chirurgies pour les patients qui attendent depuis plus de quatre mois sur la liste numérique unique des chirurgies d’ici la fin du programme de chirurgies de l’après-midi. </w:t>
            </w:r>
          </w:p>
          <w:p w14:paraId="1DED4FC2" w14:textId="77777777" w:rsidR="00A00259" w:rsidRDefault="00A00259">
            <w:pPr>
              <w:spacing w:after="0" w:line="240" w:lineRule="auto"/>
              <w:rPr>
                <w:rFonts w:ascii="Times New Roman" w:hAnsi="Times New Roman" w:cs="Times New Roman"/>
                <w:noProof/>
                <w:color w:val="006100"/>
                <w:sz w:val="18"/>
                <w:szCs w:val="18"/>
              </w:rPr>
            </w:pPr>
          </w:p>
          <w:p w14:paraId="34199AAC" w14:textId="77777777" w:rsidR="00A00259" w:rsidRDefault="00371282">
            <w:pPr>
              <w:pStyle w:val="P68B1DB1-Normal16"/>
              <w:spacing w:after="0" w:line="240" w:lineRule="auto"/>
              <w:rPr>
                <w:noProof/>
                <w:color w:val="006100"/>
              </w:rPr>
            </w:pPr>
            <w:r>
              <w:rPr>
                <w:noProof/>
                <w:color w:val="006100"/>
              </w:rPr>
              <w:t>Effectuer au moins 20 000 chirurgies pour les patients qui ont attendu plus de quatre mois, dont au moins 8 000 chirurgies pour les patients qui ont attendu plus de 8 mois.</w:t>
            </w:r>
            <w:r>
              <w:rPr>
                <w:noProof/>
              </w:rPr>
              <w:t xml:space="preserve"> </w:t>
            </w:r>
            <w:r>
              <w:rPr>
                <w:noProof/>
                <w:color w:val="006100"/>
              </w:rPr>
              <w:t>Ces interventions chirurgicales concernent à la fois les bénéficiaires de la liste de statut du 16 octobre 2024 et ceux qui sont devenus éligibles depuis lors.</w:t>
            </w:r>
          </w:p>
        </w:tc>
      </w:tr>
      <w:tr w:rsidR="00A00259" w14:paraId="6DD25D69" w14:textId="77777777" w:rsidTr="00CE3F9A">
        <w:trPr>
          <w:trHeight w:val="313"/>
          <w:jc w:val="center"/>
        </w:trPr>
        <w:tc>
          <w:tcPr>
            <w:tcW w:w="717" w:type="dxa"/>
            <w:shd w:val="clear" w:color="auto" w:fill="C6EFCE"/>
            <w:noWrap/>
          </w:tcPr>
          <w:p w14:paraId="65F2CB40" w14:textId="77777777" w:rsidR="00A00259" w:rsidRDefault="00371282">
            <w:pPr>
              <w:pStyle w:val="P68B1DB1-Normal12"/>
              <w:spacing w:after="0" w:line="240" w:lineRule="auto"/>
              <w:rPr>
                <w:noProof/>
              </w:rPr>
            </w:pPr>
            <w:r>
              <w:rPr>
                <w:noProof/>
              </w:rPr>
              <w:t>164 ter</w:t>
            </w:r>
          </w:p>
        </w:tc>
        <w:tc>
          <w:tcPr>
            <w:tcW w:w="2085" w:type="dxa"/>
            <w:shd w:val="clear" w:color="auto" w:fill="C6EFCE"/>
            <w:noWrap/>
          </w:tcPr>
          <w:p w14:paraId="2E6C339D" w14:textId="77777777" w:rsidR="00A00259" w:rsidRDefault="00371282">
            <w:pPr>
              <w:pStyle w:val="P68B1DB1-Normal12"/>
              <w:spacing w:after="0" w:line="240" w:lineRule="auto"/>
              <w:rPr>
                <w:noProof/>
              </w:rPr>
            </w:pPr>
            <w:r>
              <w:rPr>
                <w:noProof/>
              </w:rPr>
              <w:t>10 - 3.3. «Améliorer la résilience, l’accessibilité et la durabilité des soins de santé» – 16 756 _Réformes organisationnelles du système de santé</w:t>
            </w:r>
          </w:p>
        </w:tc>
        <w:tc>
          <w:tcPr>
            <w:tcW w:w="969" w:type="dxa"/>
            <w:shd w:val="clear" w:color="auto" w:fill="C6EFCE"/>
            <w:noWrap/>
          </w:tcPr>
          <w:p w14:paraId="0804CDF4" w14:textId="77777777" w:rsidR="00A00259" w:rsidRDefault="00371282">
            <w:pPr>
              <w:pStyle w:val="P68B1DB1-Normal12"/>
              <w:spacing w:after="0" w:line="240" w:lineRule="auto"/>
              <w:rPr>
                <w:noProof/>
              </w:rPr>
            </w:pPr>
            <w:r>
              <w:rPr>
                <w:noProof/>
              </w:rPr>
              <w:t>Étape</w:t>
            </w:r>
          </w:p>
        </w:tc>
        <w:tc>
          <w:tcPr>
            <w:tcW w:w="1293" w:type="dxa"/>
            <w:shd w:val="clear" w:color="auto" w:fill="C6EFCE"/>
            <w:noWrap/>
          </w:tcPr>
          <w:p w14:paraId="3B5DBACB" w14:textId="77777777" w:rsidR="00A00259" w:rsidRDefault="00371282">
            <w:pPr>
              <w:pStyle w:val="P68B1DB1-Normal12"/>
              <w:spacing w:after="0" w:line="240" w:lineRule="auto"/>
              <w:rPr>
                <w:noProof/>
              </w:rPr>
            </w:pPr>
            <w:r>
              <w:rPr>
                <w:noProof/>
              </w:rPr>
              <w:t>Navigation et orientation du système de santé pour les citoyens</w:t>
            </w:r>
          </w:p>
        </w:tc>
        <w:tc>
          <w:tcPr>
            <w:tcW w:w="1707" w:type="dxa"/>
            <w:shd w:val="clear" w:color="auto" w:fill="C6EFCE"/>
            <w:noWrap/>
          </w:tcPr>
          <w:p w14:paraId="15D3DD95" w14:textId="77777777" w:rsidR="00A00259" w:rsidRDefault="00371282">
            <w:pPr>
              <w:pStyle w:val="P68B1DB1-Normal23"/>
              <w:spacing w:after="0" w:line="240" w:lineRule="auto"/>
              <w:rPr>
                <w:noProof/>
              </w:rPr>
            </w:pPr>
            <w:r>
              <w:rPr>
                <w:noProof/>
              </w:rPr>
              <w:t>Outils et services de navigation et d'orientation pour les citoyens</w:t>
            </w:r>
          </w:p>
        </w:tc>
        <w:tc>
          <w:tcPr>
            <w:tcW w:w="1335" w:type="dxa"/>
            <w:shd w:val="clear" w:color="auto" w:fill="C6EFCE"/>
            <w:noWrap/>
          </w:tcPr>
          <w:p w14:paraId="7BE85CD1" w14:textId="77777777" w:rsidR="00A00259" w:rsidRDefault="00A00259">
            <w:pPr>
              <w:spacing w:after="0" w:line="240" w:lineRule="auto"/>
              <w:rPr>
                <w:rFonts w:ascii="Times New Roman" w:hAnsi="Times New Roman" w:cs="Times New Roman"/>
                <w:noProof/>
                <w:color w:val="006100"/>
                <w:sz w:val="18"/>
                <w:szCs w:val="18"/>
              </w:rPr>
            </w:pPr>
          </w:p>
        </w:tc>
        <w:tc>
          <w:tcPr>
            <w:tcW w:w="1050" w:type="dxa"/>
            <w:shd w:val="clear" w:color="auto" w:fill="C6EFCE"/>
            <w:noWrap/>
          </w:tcPr>
          <w:p w14:paraId="1C3DA6E7" w14:textId="77777777" w:rsidR="00A00259" w:rsidRDefault="00A00259">
            <w:pPr>
              <w:spacing w:after="0" w:line="240" w:lineRule="auto"/>
              <w:rPr>
                <w:rFonts w:ascii="Times New Roman" w:hAnsi="Times New Roman" w:cs="Times New Roman"/>
                <w:noProof/>
                <w:color w:val="006100"/>
                <w:sz w:val="18"/>
                <w:szCs w:val="18"/>
              </w:rPr>
            </w:pPr>
          </w:p>
        </w:tc>
        <w:tc>
          <w:tcPr>
            <w:tcW w:w="975" w:type="dxa"/>
            <w:shd w:val="clear" w:color="auto" w:fill="C6EFCE"/>
            <w:noWrap/>
          </w:tcPr>
          <w:p w14:paraId="0438B1D4" w14:textId="77777777" w:rsidR="00A00259" w:rsidRDefault="00A00259">
            <w:pPr>
              <w:spacing w:after="0" w:line="240" w:lineRule="auto"/>
              <w:rPr>
                <w:rFonts w:ascii="Times New Roman" w:hAnsi="Times New Roman" w:cs="Times New Roman"/>
                <w:noProof/>
                <w:color w:val="006100"/>
                <w:sz w:val="18"/>
                <w:szCs w:val="18"/>
              </w:rPr>
            </w:pPr>
          </w:p>
        </w:tc>
        <w:tc>
          <w:tcPr>
            <w:tcW w:w="1076" w:type="dxa"/>
            <w:shd w:val="clear" w:color="auto" w:fill="C6EFCE"/>
            <w:noWrap/>
          </w:tcPr>
          <w:p w14:paraId="0E0AD78D" w14:textId="77777777" w:rsidR="00A00259" w:rsidRDefault="00371282">
            <w:pPr>
              <w:pStyle w:val="P68B1DB1-Normal12"/>
              <w:spacing w:after="0" w:line="240" w:lineRule="auto"/>
              <w:rPr>
                <w:noProof/>
              </w:rPr>
            </w:pPr>
            <w:r>
              <w:rPr>
                <w:noProof/>
              </w:rPr>
              <w:t>T2</w:t>
            </w:r>
          </w:p>
        </w:tc>
        <w:tc>
          <w:tcPr>
            <w:tcW w:w="851" w:type="dxa"/>
            <w:shd w:val="clear" w:color="auto" w:fill="C6EFCE"/>
            <w:noWrap/>
          </w:tcPr>
          <w:p w14:paraId="50FC0547" w14:textId="77777777" w:rsidR="00A00259" w:rsidRDefault="00371282">
            <w:pPr>
              <w:pStyle w:val="P68B1DB1-Normal12"/>
              <w:spacing w:after="0" w:line="240" w:lineRule="auto"/>
              <w:rPr>
                <w:noProof/>
              </w:rPr>
            </w:pPr>
            <w:r>
              <w:rPr>
                <w:noProof/>
              </w:rPr>
              <w:t>2026</w:t>
            </w:r>
          </w:p>
        </w:tc>
        <w:tc>
          <w:tcPr>
            <w:tcW w:w="4230" w:type="dxa"/>
            <w:shd w:val="clear" w:color="auto" w:fill="C6EFCE"/>
            <w:noWrap/>
          </w:tcPr>
          <w:p w14:paraId="6F635273" w14:textId="5821A64C" w:rsidR="00A00259" w:rsidRDefault="00371282">
            <w:pPr>
              <w:pStyle w:val="P68B1DB1-Normal12"/>
              <w:spacing w:after="0" w:line="240" w:lineRule="auto"/>
              <w:rPr>
                <w:noProof/>
              </w:rPr>
            </w:pPr>
            <w:r>
              <w:rPr>
                <w:noProof/>
              </w:rPr>
              <w:t>La ligne téléphonique gratuite (1 566) pour les demandes des citoyens est en service.</w:t>
            </w:r>
          </w:p>
          <w:p w14:paraId="505F07ED" w14:textId="77777777" w:rsidR="00A00259" w:rsidRDefault="00A00259">
            <w:pPr>
              <w:spacing w:after="0" w:line="240" w:lineRule="auto"/>
              <w:rPr>
                <w:rFonts w:ascii="Times New Roman" w:hAnsi="Times New Roman" w:cs="Times New Roman"/>
                <w:noProof/>
                <w:color w:val="006100"/>
                <w:sz w:val="18"/>
                <w:szCs w:val="18"/>
              </w:rPr>
            </w:pPr>
          </w:p>
          <w:p w14:paraId="68BFFC91" w14:textId="77777777" w:rsidR="00A00259" w:rsidRDefault="00371282">
            <w:pPr>
              <w:pStyle w:val="P68B1DB1-Normal12"/>
              <w:spacing w:after="0" w:line="240" w:lineRule="auto"/>
              <w:rPr>
                <w:noProof/>
              </w:rPr>
            </w:pPr>
            <w:r>
              <w:rPr>
                <w:noProof/>
              </w:rPr>
              <w:t>Un site Web avec des capacités d'assistant numérique et une application mobile pour la gestion et le traitement des demandes des citoyens sont en ligne et accessibles.</w:t>
            </w:r>
          </w:p>
          <w:p w14:paraId="1A9C00AB" w14:textId="77777777" w:rsidR="00A00259" w:rsidRDefault="00371282">
            <w:pPr>
              <w:pStyle w:val="P68B1DB1-Normal12"/>
              <w:spacing w:after="0" w:line="240" w:lineRule="auto"/>
              <w:rPr>
                <w:noProof/>
              </w:rPr>
            </w:pPr>
            <w:r>
              <w:rPr>
                <w:noProof/>
              </w:rPr>
              <w:t>Un réseau d'agents de terrain formés est créé pour fournir des services d'orientation et de navigation aux citoyens dans les structures et services de santé.</w:t>
            </w:r>
          </w:p>
        </w:tc>
      </w:tr>
      <w:tr w:rsidR="00A00259" w14:paraId="728C08EC" w14:textId="77777777" w:rsidTr="00CE3F9A">
        <w:trPr>
          <w:trHeight w:val="313"/>
          <w:jc w:val="center"/>
        </w:trPr>
        <w:tc>
          <w:tcPr>
            <w:tcW w:w="717" w:type="dxa"/>
            <w:shd w:val="clear" w:color="auto" w:fill="C6EFCE"/>
            <w:noWrap/>
          </w:tcPr>
          <w:p w14:paraId="3A567550" w14:textId="77777777" w:rsidR="00A00259" w:rsidRDefault="00371282">
            <w:pPr>
              <w:pStyle w:val="P68B1DB1-Normal12"/>
              <w:spacing w:after="0" w:line="240" w:lineRule="auto"/>
              <w:rPr>
                <w:rFonts w:eastAsia="Times New Roman"/>
                <w:noProof/>
              </w:rPr>
            </w:pPr>
            <w:r>
              <w:rPr>
                <w:noProof/>
              </w:rPr>
              <w:t>165</w:t>
            </w:r>
          </w:p>
        </w:tc>
        <w:tc>
          <w:tcPr>
            <w:tcW w:w="2085" w:type="dxa"/>
            <w:shd w:val="clear" w:color="auto" w:fill="C6EFCE"/>
            <w:noWrap/>
          </w:tcPr>
          <w:p w14:paraId="21DF54C2" w14:textId="77777777"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- 16783_Mise en œuvre du programme national de prévention de la santé publique «Spiros Doxiadis» (NPP’SD)</w:t>
            </w:r>
          </w:p>
        </w:tc>
        <w:tc>
          <w:tcPr>
            <w:tcW w:w="969" w:type="dxa"/>
            <w:shd w:val="clear" w:color="auto" w:fill="C6EFCE"/>
            <w:noWrap/>
          </w:tcPr>
          <w:p w14:paraId="0FC35006" w14:textId="77777777" w:rsidR="00A00259" w:rsidRDefault="00371282">
            <w:pPr>
              <w:pStyle w:val="P68B1DB1-Normal12"/>
              <w:spacing w:after="0" w:line="240" w:lineRule="auto"/>
              <w:rPr>
                <w:rFonts w:eastAsia="Times New Roman"/>
                <w:noProof/>
              </w:rPr>
            </w:pPr>
            <w:r>
              <w:rPr>
                <w:noProof/>
              </w:rPr>
              <w:t>Étape</w:t>
            </w:r>
          </w:p>
        </w:tc>
        <w:tc>
          <w:tcPr>
            <w:tcW w:w="1293" w:type="dxa"/>
            <w:shd w:val="clear" w:color="auto" w:fill="C6EFCE"/>
            <w:noWrap/>
          </w:tcPr>
          <w:p w14:paraId="52E1BCD6" w14:textId="77777777" w:rsidR="00A00259" w:rsidRDefault="00371282">
            <w:pPr>
              <w:pStyle w:val="P68B1DB1-Normal12"/>
              <w:spacing w:after="0" w:line="240" w:lineRule="auto"/>
              <w:rPr>
                <w:rFonts w:eastAsia="Times New Roman"/>
                <w:noProof/>
              </w:rPr>
            </w:pPr>
            <w:r>
              <w:rPr>
                <w:noProof/>
              </w:rPr>
              <w:t xml:space="preserve">Programme national de prévention de la santé publique «Spiros Doxiadis» - Prévention primaire </w:t>
            </w:r>
          </w:p>
        </w:tc>
        <w:tc>
          <w:tcPr>
            <w:tcW w:w="1707" w:type="dxa"/>
            <w:shd w:val="clear" w:color="auto" w:fill="C6EFCE"/>
            <w:noWrap/>
          </w:tcPr>
          <w:p w14:paraId="39164299" w14:textId="77777777" w:rsidR="00A00259" w:rsidRDefault="00371282">
            <w:pPr>
              <w:pStyle w:val="P68B1DB1-Normal12"/>
              <w:spacing w:after="0" w:line="240" w:lineRule="auto"/>
              <w:rPr>
                <w:rFonts w:eastAsia="Times New Roman"/>
                <w:noProof/>
              </w:rPr>
            </w:pPr>
            <w:r>
              <w:rPr>
                <w:noProof/>
              </w:rPr>
              <w:t>Interventions de prévention primaire et dispositions de l’acte juridique indiquant l’entrée en vigueur de l’acte juridique.</w:t>
            </w:r>
          </w:p>
        </w:tc>
        <w:tc>
          <w:tcPr>
            <w:tcW w:w="1335" w:type="dxa"/>
            <w:shd w:val="clear" w:color="auto" w:fill="C6EFCE"/>
            <w:noWrap/>
          </w:tcPr>
          <w:p w14:paraId="2605ADC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50" w:type="dxa"/>
            <w:shd w:val="clear" w:color="auto" w:fill="C6EFCE"/>
            <w:noWrap/>
          </w:tcPr>
          <w:p w14:paraId="42E8FFC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75" w:type="dxa"/>
            <w:shd w:val="clear" w:color="auto" w:fill="C6EFCE"/>
            <w:noWrap/>
          </w:tcPr>
          <w:p w14:paraId="7FA9C75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76" w:type="dxa"/>
            <w:shd w:val="clear" w:color="auto" w:fill="C6EFCE"/>
            <w:noWrap/>
          </w:tcPr>
          <w:p w14:paraId="2F504D96" w14:textId="77777777" w:rsidR="00A00259" w:rsidRDefault="00371282">
            <w:pPr>
              <w:pStyle w:val="P68B1DB1-Normal12"/>
              <w:spacing w:after="0" w:line="240" w:lineRule="auto"/>
              <w:rPr>
                <w:rFonts w:eastAsia="Times New Roman"/>
                <w:noProof/>
              </w:rPr>
            </w:pPr>
            <w:r>
              <w:rPr>
                <w:noProof/>
              </w:rPr>
              <w:t>T4</w:t>
            </w:r>
          </w:p>
        </w:tc>
        <w:tc>
          <w:tcPr>
            <w:tcW w:w="851" w:type="dxa"/>
            <w:shd w:val="clear" w:color="auto" w:fill="C6EFCE"/>
            <w:noWrap/>
          </w:tcPr>
          <w:p w14:paraId="36BD4158" w14:textId="77777777" w:rsidR="00A00259" w:rsidRDefault="00371282">
            <w:pPr>
              <w:pStyle w:val="P68B1DB1-Normal12"/>
              <w:spacing w:after="0" w:line="240" w:lineRule="auto"/>
              <w:rPr>
                <w:rFonts w:eastAsia="Times New Roman"/>
                <w:noProof/>
              </w:rPr>
            </w:pPr>
            <w:r>
              <w:rPr>
                <w:noProof/>
              </w:rPr>
              <w:t>2025</w:t>
            </w:r>
          </w:p>
        </w:tc>
        <w:tc>
          <w:tcPr>
            <w:tcW w:w="4230" w:type="dxa"/>
            <w:shd w:val="clear" w:color="auto" w:fill="C6EFCE"/>
            <w:noWrap/>
          </w:tcPr>
          <w:p w14:paraId="15809C3F" w14:textId="77777777" w:rsidR="00A00259" w:rsidRDefault="00371282">
            <w:pPr>
              <w:pStyle w:val="P68B1DB1-Normal12"/>
              <w:spacing w:after="0" w:line="240" w:lineRule="auto"/>
              <w:rPr>
                <w:noProof/>
              </w:rPr>
            </w:pPr>
            <w:r>
              <w:rPr>
                <w:noProof/>
              </w:rPr>
              <w:t>La réalisation de cette étape nécessite:</w:t>
            </w:r>
          </w:p>
          <w:p w14:paraId="01F6D71C" w14:textId="77777777" w:rsidR="00A00259" w:rsidRDefault="00A00259">
            <w:pPr>
              <w:spacing w:after="0" w:line="240" w:lineRule="auto"/>
              <w:rPr>
                <w:rFonts w:ascii="Times New Roman" w:hAnsi="Times New Roman" w:cs="Times New Roman"/>
                <w:noProof/>
                <w:color w:val="006100"/>
                <w:sz w:val="18"/>
                <w:szCs w:val="18"/>
              </w:rPr>
            </w:pPr>
          </w:p>
          <w:p w14:paraId="75A705D1" w14:textId="77777777" w:rsidR="00A00259" w:rsidRDefault="00371282">
            <w:pPr>
              <w:pStyle w:val="P68B1DB1-Normal12"/>
              <w:spacing w:after="0" w:line="240" w:lineRule="auto"/>
              <w:rPr>
                <w:noProof/>
              </w:rPr>
            </w:pPr>
            <w:r>
              <w:rPr>
                <w:noProof/>
              </w:rPr>
              <w:t>i) Interventions pour la promotion de l'exercice physique et de la saine alimentation:</w:t>
            </w:r>
          </w:p>
          <w:p w14:paraId="74433EAA" w14:textId="082A0164" w:rsidR="00A00259" w:rsidRDefault="00371282">
            <w:pPr>
              <w:pStyle w:val="P68B1DB1-Normal12"/>
              <w:spacing w:after="0" w:line="240" w:lineRule="auto"/>
              <w:rPr>
                <w:noProof/>
              </w:rPr>
            </w:pPr>
            <w:r>
              <w:rPr>
                <w:noProof/>
              </w:rPr>
              <w:t>a) l'entrée en vigueur d'un acte juridique pour une alimentation saine dans les cantines scolaires,</w:t>
            </w:r>
          </w:p>
          <w:p w14:paraId="52C80521" w14:textId="75FAE12D" w:rsidR="00A00259" w:rsidRDefault="00371282">
            <w:pPr>
              <w:spacing w:after="0" w:line="240" w:lineRule="auto"/>
              <w:rPr>
                <w:rFonts w:ascii="Times New Roman" w:hAnsi="Times New Roman" w:cs="Times New Roman"/>
                <w:noProof/>
                <w:color w:val="006100"/>
                <w:sz w:val="18"/>
                <w:szCs w:val="18"/>
              </w:rPr>
            </w:pPr>
            <w:r>
              <w:rPr>
                <w:rFonts w:ascii="Times New Roman" w:hAnsi="Times New Roman" w:cs="Times New Roman"/>
                <w:noProof/>
                <w:color w:val="006100"/>
                <w:sz w:val="18"/>
                <w:szCs w:val="18"/>
              </w:rPr>
              <w:t xml:space="preserve">b) </w:t>
            </w:r>
            <w:r>
              <w:rPr>
                <w:rFonts w:ascii="Times New Roman" w:eastAsia="Times New Roman" w:hAnsi="Times New Roman" w:cs="Times New Roman"/>
                <w:noProof/>
                <w:color w:val="006100"/>
                <w:sz w:val="18"/>
                <w:szCs w:val="18"/>
              </w:rPr>
              <w:t>la livraison de 4 boîtes à outils de matériel éducatif pour une alimentation saine et la publication d'un document d'orientation ministériel officiel pour informer toutes les écoles primaires et secondaires du pays de la disponibilité des boîtes à outils et de la façon dont elles peuvent être intégrées dans divers programmes scolaires;</w:t>
            </w:r>
            <w:r>
              <w:rPr>
                <w:rFonts w:asciiTheme="minorHAnsi" w:eastAsiaTheme="minorEastAsia" w:hAnsiTheme="minorHAnsi" w:cstheme="minorBidi"/>
                <w:noProof/>
                <w:color w:val="006100"/>
                <w:sz w:val="18"/>
                <w:szCs w:val="18"/>
              </w:rPr>
              <w:t xml:space="preserve"> </w:t>
            </w:r>
          </w:p>
          <w:p w14:paraId="5E79A91D" w14:textId="77777777" w:rsidR="00A00259" w:rsidRDefault="00371282">
            <w:pPr>
              <w:pStyle w:val="P68B1DB1-Normal43"/>
              <w:spacing w:after="0" w:line="240" w:lineRule="auto"/>
              <w:rPr>
                <w:rFonts w:ascii="Times New Roman" w:hAnsi="Times New Roman" w:cs="Times New Roman"/>
                <w:noProof/>
              </w:rPr>
            </w:pPr>
            <w:r>
              <w:rPr>
                <w:rFonts w:asciiTheme="minorHAnsi" w:eastAsiaTheme="minorEastAsia" w:hAnsiTheme="minorHAnsi" w:cstheme="minorBidi"/>
                <w:noProof/>
              </w:rPr>
              <w:t xml:space="preserve">c) </w:t>
            </w:r>
            <w:r>
              <w:rPr>
                <w:rFonts w:ascii="Times New Roman" w:hAnsi="Times New Roman" w:cs="Times New Roman"/>
                <w:noProof/>
              </w:rPr>
              <w:t>actions communautaires et actions de sensibilisation</w:t>
            </w:r>
          </w:p>
          <w:p w14:paraId="75C9EAD6" w14:textId="629E6921" w:rsidR="00A00259" w:rsidRDefault="00371282">
            <w:pPr>
              <w:pStyle w:val="P68B1DB1-Normal12"/>
              <w:spacing w:after="0" w:line="240" w:lineRule="auto"/>
              <w:rPr>
                <w:noProof/>
              </w:rPr>
            </w:pPr>
            <w:r>
              <w:rPr>
                <w:noProof/>
              </w:rPr>
              <w:t>d) la création du Centre européen pour l'obésité,</w:t>
            </w:r>
          </w:p>
          <w:p w14:paraId="7C59AD7A" w14:textId="488F731E" w:rsidR="00A00259" w:rsidRDefault="00371282">
            <w:pPr>
              <w:pStyle w:val="P68B1DB1-Normal12"/>
              <w:spacing w:after="0" w:line="240" w:lineRule="auto"/>
              <w:rPr>
                <w:noProof/>
              </w:rPr>
            </w:pPr>
            <w:r>
              <w:rPr>
                <w:noProof/>
              </w:rPr>
              <w:t>et</w:t>
            </w:r>
          </w:p>
          <w:p w14:paraId="17610966" w14:textId="227760D5" w:rsidR="00A00259" w:rsidRDefault="00371282">
            <w:pPr>
              <w:pStyle w:val="P68B1DB1-Normal12"/>
              <w:spacing w:after="0" w:line="240" w:lineRule="auto"/>
              <w:rPr>
                <w:noProof/>
              </w:rPr>
            </w:pPr>
            <w:r>
              <w:rPr>
                <w:noProof/>
              </w:rPr>
              <w:t xml:space="preserve">e) la fourniture d'outils numériques, </w:t>
            </w:r>
          </w:p>
          <w:p w14:paraId="5EFF1BD1" w14:textId="77777777" w:rsidR="00A00259" w:rsidRDefault="00A00259">
            <w:pPr>
              <w:spacing w:after="0" w:line="240" w:lineRule="auto"/>
              <w:rPr>
                <w:rFonts w:ascii="Times New Roman" w:hAnsi="Times New Roman" w:cs="Times New Roman"/>
                <w:noProof/>
                <w:color w:val="006100"/>
                <w:sz w:val="18"/>
                <w:szCs w:val="18"/>
              </w:rPr>
            </w:pPr>
          </w:p>
          <w:p w14:paraId="1DB2E1C5" w14:textId="4BACAA56" w:rsidR="00A00259" w:rsidRDefault="00371282">
            <w:pPr>
              <w:pStyle w:val="P68B1DB1-Normal35"/>
              <w:rPr>
                <w:rFonts w:ascii="Times New Roman" w:hAnsi="Times New Roman" w:cs="Times New Roman"/>
                <w:noProof/>
                <w:sz w:val="18"/>
                <w:szCs w:val="18"/>
              </w:rPr>
            </w:pPr>
            <w:r>
              <w:rPr>
                <w:rFonts w:ascii="Times New Roman" w:hAnsi="Times New Roman" w:cs="Times New Roman"/>
                <w:noProof/>
                <w:sz w:val="18"/>
                <w:szCs w:val="18"/>
              </w:rPr>
              <w:t xml:space="preserve">ii) a) les interventions visant à prévenir les problèmes psychosociaux chez les enfants </w:t>
            </w:r>
            <w:r>
              <w:rPr>
                <w:rFonts w:ascii="Times New Roman" w:eastAsia="Times New Roman" w:hAnsi="Times New Roman" w:cs="Times New Roman"/>
                <w:noProof/>
                <w:sz w:val="18"/>
                <w:szCs w:val="18"/>
              </w:rPr>
              <w:t>et</w:t>
            </w:r>
            <w:r>
              <w:rPr>
                <w:rFonts w:ascii="Times New Roman" w:eastAsia="Times New Roman" w:hAnsi="Times New Roman" w:cs="Times New Roman"/>
                <w:noProof/>
                <w:sz w:val="20"/>
                <w:szCs w:val="20"/>
              </w:rPr>
              <w:t xml:space="preserve"> leurs familles,</w:t>
            </w:r>
            <w:r>
              <w:rPr>
                <w:rFonts w:ascii="Times New Roman" w:hAnsi="Times New Roman" w:cs="Times New Roman"/>
                <w:noProof/>
                <w:sz w:val="18"/>
                <w:szCs w:val="18"/>
              </w:rPr>
              <w:t xml:space="preserve"> b) les interventions visant à promouvoir la santé des adolescents par la sensibilisation à la santé menstruelle et l'alphabétisation; c) la création d'un centre communautaire modèle pour prévenir et traiter le phénomène de l'automutilation chez les jeunes, et d) des interventions visant à accroître la sensibilisation à la santé mentale familiale.</w:t>
            </w:r>
          </w:p>
        </w:tc>
      </w:tr>
      <w:tr w:rsidR="00A00259" w14:paraId="176FD3C9" w14:textId="77777777" w:rsidTr="00CE3F9A">
        <w:trPr>
          <w:trHeight w:val="313"/>
          <w:jc w:val="center"/>
        </w:trPr>
        <w:tc>
          <w:tcPr>
            <w:tcW w:w="717" w:type="dxa"/>
            <w:shd w:val="clear" w:color="auto" w:fill="C6EFCE"/>
            <w:noWrap/>
          </w:tcPr>
          <w:p w14:paraId="013F3515" w14:textId="77777777" w:rsidR="00A00259" w:rsidRDefault="00371282">
            <w:pPr>
              <w:pStyle w:val="P68B1DB1-Normal12"/>
              <w:spacing w:after="0" w:line="240" w:lineRule="auto"/>
              <w:rPr>
                <w:noProof/>
              </w:rPr>
            </w:pPr>
            <w:r>
              <w:rPr>
                <w:noProof/>
              </w:rPr>
              <w:t>165a</w:t>
            </w:r>
          </w:p>
        </w:tc>
        <w:tc>
          <w:tcPr>
            <w:tcW w:w="2085" w:type="dxa"/>
            <w:shd w:val="clear" w:color="auto" w:fill="C6EFCE"/>
            <w:noWrap/>
          </w:tcPr>
          <w:p w14:paraId="70E4171B" w14:textId="77777777" w:rsidR="00A00259" w:rsidRDefault="00371282">
            <w:pPr>
              <w:pStyle w:val="P68B1DB1-Normal12"/>
              <w:spacing w:after="0" w:line="240" w:lineRule="auto"/>
              <w:rPr>
                <w:noProof/>
              </w:rPr>
            </w:pPr>
            <w:r>
              <w:rPr>
                <w:noProof/>
              </w:rPr>
              <w:t>10 - 3.3. «Améliorer la résilience, l’accessibilité et la durabilité des soins de santé» - 16783_Mise en œuvre du programme national de prévention de la santé publique «Spiros Doxiadis» (NPP’SD)</w:t>
            </w:r>
          </w:p>
        </w:tc>
        <w:tc>
          <w:tcPr>
            <w:tcW w:w="969" w:type="dxa"/>
            <w:shd w:val="clear" w:color="auto" w:fill="C6EFCE"/>
            <w:noWrap/>
          </w:tcPr>
          <w:p w14:paraId="795754A7" w14:textId="77777777" w:rsidR="00A00259" w:rsidRDefault="00371282">
            <w:pPr>
              <w:pStyle w:val="P68B1DB1-Normal12"/>
              <w:spacing w:after="0" w:line="240" w:lineRule="auto"/>
              <w:rPr>
                <w:noProof/>
              </w:rPr>
            </w:pPr>
            <w:r>
              <w:rPr>
                <w:noProof/>
              </w:rPr>
              <w:t>Étape</w:t>
            </w:r>
          </w:p>
        </w:tc>
        <w:tc>
          <w:tcPr>
            <w:tcW w:w="1293" w:type="dxa"/>
            <w:shd w:val="clear" w:color="auto" w:fill="C6EFCE"/>
            <w:noWrap/>
          </w:tcPr>
          <w:p w14:paraId="26577AFD" w14:textId="77777777" w:rsidR="00A00259" w:rsidRDefault="00371282">
            <w:pPr>
              <w:pStyle w:val="P68B1DB1-Normal12"/>
              <w:spacing w:after="0" w:line="240" w:lineRule="auto"/>
              <w:rPr>
                <w:noProof/>
              </w:rPr>
            </w:pPr>
            <w:r>
              <w:rPr>
                <w:noProof/>
              </w:rPr>
              <w:t>Programme national de prévention de la santé publique «Spiros Doxiadis» – Prévention secondaire</w:t>
            </w:r>
          </w:p>
        </w:tc>
        <w:tc>
          <w:tcPr>
            <w:tcW w:w="1707" w:type="dxa"/>
            <w:shd w:val="clear" w:color="auto" w:fill="C6EFCE"/>
            <w:noWrap/>
          </w:tcPr>
          <w:p w14:paraId="0515FA2E" w14:textId="77777777" w:rsidR="00A00259" w:rsidRDefault="00371282">
            <w:pPr>
              <w:pStyle w:val="P68B1DB1-Normal12"/>
              <w:spacing w:after="0" w:line="240" w:lineRule="auto"/>
              <w:rPr>
                <w:noProof/>
              </w:rPr>
            </w:pPr>
            <w:r>
              <w:rPr>
                <w:noProof/>
              </w:rPr>
              <w:t>Prévention Dépistage Interventions</w:t>
            </w:r>
          </w:p>
        </w:tc>
        <w:tc>
          <w:tcPr>
            <w:tcW w:w="1335" w:type="dxa"/>
            <w:shd w:val="clear" w:color="auto" w:fill="C6EFCE"/>
            <w:noWrap/>
          </w:tcPr>
          <w:p w14:paraId="372B680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50" w:type="dxa"/>
            <w:shd w:val="clear" w:color="auto" w:fill="C6EFCE"/>
            <w:noWrap/>
          </w:tcPr>
          <w:p w14:paraId="174228D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75" w:type="dxa"/>
            <w:shd w:val="clear" w:color="auto" w:fill="C6EFCE"/>
            <w:noWrap/>
          </w:tcPr>
          <w:p w14:paraId="60265DB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76" w:type="dxa"/>
            <w:shd w:val="clear" w:color="auto" w:fill="C6EFCE"/>
            <w:noWrap/>
          </w:tcPr>
          <w:p w14:paraId="3AE6B8A8" w14:textId="77777777" w:rsidR="00A00259" w:rsidRDefault="00371282">
            <w:pPr>
              <w:pStyle w:val="P68B1DB1-Normal12"/>
              <w:spacing w:after="0" w:line="240" w:lineRule="auto"/>
              <w:rPr>
                <w:noProof/>
              </w:rPr>
            </w:pPr>
            <w:r>
              <w:rPr>
                <w:noProof/>
              </w:rPr>
              <w:t>T4</w:t>
            </w:r>
          </w:p>
        </w:tc>
        <w:tc>
          <w:tcPr>
            <w:tcW w:w="851" w:type="dxa"/>
            <w:shd w:val="clear" w:color="auto" w:fill="C6EFCE"/>
            <w:noWrap/>
          </w:tcPr>
          <w:p w14:paraId="4046EA2F" w14:textId="77777777" w:rsidR="00A00259" w:rsidRDefault="00371282">
            <w:pPr>
              <w:pStyle w:val="P68B1DB1-Normal12"/>
              <w:spacing w:after="0" w:line="240" w:lineRule="auto"/>
              <w:rPr>
                <w:noProof/>
              </w:rPr>
            </w:pPr>
            <w:r>
              <w:rPr>
                <w:noProof/>
              </w:rPr>
              <w:t>2025</w:t>
            </w:r>
          </w:p>
        </w:tc>
        <w:tc>
          <w:tcPr>
            <w:tcW w:w="4230" w:type="dxa"/>
            <w:shd w:val="clear" w:color="auto" w:fill="C6EFCE"/>
            <w:noWrap/>
          </w:tcPr>
          <w:p w14:paraId="0D7E1C94" w14:textId="72914E50" w:rsidR="00A00259" w:rsidRDefault="00371282">
            <w:pPr>
              <w:pStyle w:val="P68B1DB1-Normal12"/>
              <w:spacing w:after="0" w:line="240" w:lineRule="auto"/>
              <w:rPr>
                <w:noProof/>
              </w:rPr>
            </w:pPr>
            <w:r>
              <w:rPr>
                <w:noProof/>
              </w:rPr>
              <w:t>Interventions de dépistage préventif du cancer du sein, du cancer du col de l’utérus, du cancer colorectal et des maladies cardiovasculaires (MCV), couvrant:</w:t>
            </w:r>
          </w:p>
          <w:p w14:paraId="3A1B047A" w14:textId="77777777" w:rsidR="00A00259" w:rsidRDefault="00A00259">
            <w:pPr>
              <w:spacing w:after="0" w:line="240" w:lineRule="auto"/>
              <w:rPr>
                <w:rFonts w:ascii="Times New Roman" w:hAnsi="Times New Roman" w:cs="Times New Roman"/>
                <w:noProof/>
                <w:color w:val="006100"/>
                <w:sz w:val="18"/>
                <w:szCs w:val="18"/>
              </w:rPr>
            </w:pPr>
          </w:p>
          <w:p w14:paraId="39878454" w14:textId="3D559ADF" w:rsidR="00A00259" w:rsidRDefault="00371282">
            <w:pPr>
              <w:pStyle w:val="P68B1DB1-ListParagraph34"/>
              <w:numPr>
                <w:ilvl w:val="0"/>
                <w:numId w:val="40"/>
              </w:numPr>
              <w:spacing w:after="0" w:line="240" w:lineRule="auto"/>
              <w:rPr>
                <w:noProof/>
              </w:rPr>
            </w:pPr>
            <w:r>
              <w:rPr>
                <w:noProof/>
              </w:rPr>
              <w:t xml:space="preserve">Au moins 1 850 000 interventions de dépistage du cancer du col de l’utérus ont été réalisées. </w:t>
            </w:r>
          </w:p>
          <w:p w14:paraId="1EEC5359" w14:textId="77777777" w:rsidR="00A00259" w:rsidRDefault="00A00259">
            <w:pPr>
              <w:pStyle w:val="ListParagraph"/>
              <w:spacing w:after="0" w:line="240" w:lineRule="auto"/>
              <w:rPr>
                <w:rFonts w:ascii="Times New Roman" w:hAnsi="Times New Roman" w:cs="Times New Roman"/>
                <w:noProof/>
                <w:color w:val="006100"/>
                <w:sz w:val="18"/>
                <w:szCs w:val="18"/>
              </w:rPr>
            </w:pPr>
          </w:p>
          <w:p w14:paraId="6B464616" w14:textId="7EDB0247" w:rsidR="00A00259" w:rsidRDefault="00371282">
            <w:pPr>
              <w:pStyle w:val="P68B1DB1-ListParagraph34"/>
              <w:numPr>
                <w:ilvl w:val="0"/>
                <w:numId w:val="40"/>
              </w:numPr>
              <w:spacing w:after="0" w:line="240" w:lineRule="auto"/>
              <w:rPr>
                <w:noProof/>
              </w:rPr>
            </w:pPr>
            <w:bookmarkStart w:id="5" w:name="_Hlk234256932"/>
            <w:r>
              <w:rPr>
                <w:noProof/>
              </w:rPr>
              <w:t>Au moins 4 150 0000 interventions de dépistage exécutées pour les maladies cardiovasculaires.</w:t>
            </w:r>
          </w:p>
          <w:bookmarkEnd w:id="5"/>
          <w:p w14:paraId="01FBA226" w14:textId="77777777" w:rsidR="00A00259" w:rsidRDefault="00A00259">
            <w:pPr>
              <w:pStyle w:val="ListParagraph"/>
              <w:spacing w:after="0" w:line="240" w:lineRule="auto"/>
              <w:rPr>
                <w:rFonts w:ascii="Times New Roman" w:hAnsi="Times New Roman" w:cs="Times New Roman"/>
                <w:noProof/>
                <w:color w:val="006100"/>
                <w:sz w:val="18"/>
                <w:szCs w:val="18"/>
              </w:rPr>
            </w:pPr>
          </w:p>
          <w:p w14:paraId="2D882B80" w14:textId="17B37FA4" w:rsidR="00A00259" w:rsidRDefault="00371282">
            <w:pPr>
              <w:pStyle w:val="P68B1DB1-ListParagraph34"/>
              <w:numPr>
                <w:ilvl w:val="0"/>
                <w:numId w:val="40"/>
              </w:numPr>
              <w:spacing w:after="0" w:line="240" w:lineRule="auto"/>
              <w:rPr>
                <w:noProof/>
              </w:rPr>
            </w:pPr>
            <w:r>
              <w:rPr>
                <w:noProof/>
              </w:rPr>
              <w:t>Au moins 1 250 000 interventions de dépistage du cancer du sein ont été réalisées.</w:t>
            </w:r>
          </w:p>
          <w:p w14:paraId="5BF9A0F9" w14:textId="77777777" w:rsidR="00A00259" w:rsidRDefault="00A00259">
            <w:pPr>
              <w:pStyle w:val="ListParagraph"/>
              <w:spacing w:after="0" w:line="240" w:lineRule="auto"/>
              <w:rPr>
                <w:rFonts w:ascii="Times New Roman" w:hAnsi="Times New Roman" w:cs="Times New Roman"/>
                <w:noProof/>
                <w:color w:val="006100"/>
                <w:sz w:val="18"/>
                <w:szCs w:val="18"/>
              </w:rPr>
            </w:pPr>
          </w:p>
          <w:p w14:paraId="28F6999D" w14:textId="6F1055D7" w:rsidR="00A00259" w:rsidRDefault="00371282">
            <w:pPr>
              <w:pStyle w:val="P68B1DB1-ListParagraph34"/>
              <w:numPr>
                <w:ilvl w:val="0"/>
                <w:numId w:val="40"/>
              </w:numPr>
              <w:spacing w:after="0" w:line="240" w:lineRule="auto"/>
              <w:rPr>
                <w:noProof/>
                <w:color w:val="006000"/>
              </w:rPr>
            </w:pPr>
            <w:r>
              <w:rPr>
                <w:noProof/>
              </w:rPr>
              <w:t xml:space="preserve">Au moins 1 060 000 interventions de dépistage du cancer colorectal. </w:t>
            </w:r>
          </w:p>
        </w:tc>
      </w:tr>
      <w:tr w:rsidR="00A00259" w14:paraId="11EA2871" w14:textId="77777777" w:rsidTr="00CE3F9A">
        <w:trPr>
          <w:trHeight w:val="2206"/>
          <w:jc w:val="center"/>
        </w:trPr>
        <w:tc>
          <w:tcPr>
            <w:tcW w:w="717" w:type="dxa"/>
            <w:shd w:val="clear" w:color="auto" w:fill="C6EFCE"/>
            <w:noWrap/>
          </w:tcPr>
          <w:p w14:paraId="381C7EE4" w14:textId="77777777" w:rsidR="00A00259" w:rsidRDefault="00371282">
            <w:pPr>
              <w:pStyle w:val="P68B1DB1-Normal12"/>
              <w:spacing w:after="0" w:line="240" w:lineRule="auto"/>
              <w:rPr>
                <w:noProof/>
              </w:rPr>
            </w:pPr>
            <w:r>
              <w:rPr>
                <w:noProof/>
              </w:rPr>
              <w:t>165b</w:t>
            </w:r>
          </w:p>
        </w:tc>
        <w:tc>
          <w:tcPr>
            <w:tcW w:w="2085" w:type="dxa"/>
            <w:shd w:val="clear" w:color="auto" w:fill="C6EFCE"/>
            <w:noWrap/>
          </w:tcPr>
          <w:p w14:paraId="383CC57F" w14:textId="77777777"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- 16783_Mise en œuvre du programme national de prévention de la santé publique «Spiros Doxiadis» (NPP’SD)</w:t>
            </w:r>
          </w:p>
        </w:tc>
        <w:tc>
          <w:tcPr>
            <w:tcW w:w="969" w:type="dxa"/>
            <w:shd w:val="clear" w:color="auto" w:fill="C6EFCE"/>
            <w:noWrap/>
          </w:tcPr>
          <w:p w14:paraId="0E717CB8" w14:textId="77777777" w:rsidR="00A00259" w:rsidRDefault="00371282">
            <w:pPr>
              <w:pStyle w:val="P68B1DB1-Normal12"/>
              <w:spacing w:after="0" w:line="240" w:lineRule="auto"/>
              <w:rPr>
                <w:noProof/>
              </w:rPr>
            </w:pPr>
            <w:r>
              <w:rPr>
                <w:noProof/>
              </w:rPr>
              <w:t>Étape</w:t>
            </w:r>
          </w:p>
        </w:tc>
        <w:tc>
          <w:tcPr>
            <w:tcW w:w="1293" w:type="dxa"/>
            <w:shd w:val="clear" w:color="auto" w:fill="C6EFCE"/>
            <w:noWrap/>
          </w:tcPr>
          <w:p w14:paraId="32CA61AE" w14:textId="77777777" w:rsidR="00A00259" w:rsidRDefault="00371282">
            <w:pPr>
              <w:pStyle w:val="P68B1DB1-Normal12"/>
              <w:spacing w:after="0" w:line="240" w:lineRule="auto"/>
              <w:rPr>
                <w:noProof/>
              </w:rPr>
            </w:pPr>
            <w:r>
              <w:rPr>
                <w:noProof/>
              </w:rPr>
              <w:t>Surveillance de la santé</w:t>
            </w:r>
          </w:p>
        </w:tc>
        <w:tc>
          <w:tcPr>
            <w:tcW w:w="1707" w:type="dxa"/>
            <w:shd w:val="clear" w:color="auto" w:fill="C6EFCE"/>
            <w:noWrap/>
          </w:tcPr>
          <w:p w14:paraId="19122AF4" w14:textId="77777777" w:rsidR="00A00259" w:rsidRDefault="00371282">
            <w:pPr>
              <w:pStyle w:val="P68B1DB1-Normal12"/>
              <w:spacing w:after="0" w:line="240" w:lineRule="auto"/>
              <w:rPr>
                <w:noProof/>
              </w:rPr>
            </w:pPr>
            <w:r>
              <w:rPr>
                <w:noProof/>
              </w:rPr>
              <w:t>La plateforme pour l’utilisation secondaire des données de santé est en ligne et accessible.</w:t>
            </w:r>
          </w:p>
        </w:tc>
        <w:tc>
          <w:tcPr>
            <w:tcW w:w="1335" w:type="dxa"/>
            <w:shd w:val="clear" w:color="auto" w:fill="C6EFCE"/>
            <w:noWrap/>
          </w:tcPr>
          <w:p w14:paraId="690684D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50" w:type="dxa"/>
            <w:shd w:val="clear" w:color="auto" w:fill="C6EFCE"/>
            <w:noWrap/>
          </w:tcPr>
          <w:p w14:paraId="3A2320C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75" w:type="dxa"/>
            <w:shd w:val="clear" w:color="auto" w:fill="C6EFCE"/>
            <w:noWrap/>
          </w:tcPr>
          <w:p w14:paraId="70ACF84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76" w:type="dxa"/>
            <w:shd w:val="clear" w:color="auto" w:fill="C6EFCE"/>
            <w:noWrap/>
          </w:tcPr>
          <w:p w14:paraId="36BDF6BD" w14:textId="77777777" w:rsidR="00A00259" w:rsidRDefault="00371282">
            <w:pPr>
              <w:pStyle w:val="P68B1DB1-Normal12"/>
              <w:spacing w:after="0" w:line="240" w:lineRule="auto"/>
              <w:rPr>
                <w:noProof/>
              </w:rPr>
            </w:pPr>
            <w:r>
              <w:rPr>
                <w:noProof/>
              </w:rPr>
              <w:t>T2</w:t>
            </w:r>
          </w:p>
        </w:tc>
        <w:tc>
          <w:tcPr>
            <w:tcW w:w="851" w:type="dxa"/>
            <w:shd w:val="clear" w:color="auto" w:fill="C6EFCE"/>
            <w:noWrap/>
          </w:tcPr>
          <w:p w14:paraId="30AF91FE" w14:textId="77777777" w:rsidR="00A00259" w:rsidRDefault="00371282">
            <w:pPr>
              <w:pStyle w:val="P68B1DB1-Normal12"/>
              <w:spacing w:after="0" w:line="240" w:lineRule="auto"/>
              <w:rPr>
                <w:noProof/>
              </w:rPr>
            </w:pPr>
            <w:r>
              <w:rPr>
                <w:noProof/>
              </w:rPr>
              <w:t>2026</w:t>
            </w:r>
          </w:p>
        </w:tc>
        <w:tc>
          <w:tcPr>
            <w:tcW w:w="4230" w:type="dxa"/>
            <w:shd w:val="clear" w:color="auto" w:fill="C6EFCE"/>
            <w:noWrap/>
          </w:tcPr>
          <w:p w14:paraId="5A80953D" w14:textId="3DC4341B" w:rsidR="00A00259" w:rsidRDefault="00371282">
            <w:pPr>
              <w:pStyle w:val="P68B1DB1-Normal12"/>
              <w:spacing w:after="0" w:line="240" w:lineRule="auto"/>
              <w:rPr>
                <w:i/>
                <w:iCs/>
                <w:noProof/>
              </w:rPr>
            </w:pPr>
            <w:r>
              <w:rPr>
                <w:noProof/>
              </w:rPr>
              <w:t>La plateforme pour l'utilisation secondaire des données de santé est en ligne et accessible, y compris l'IA/ML, les cas d'utilisation et les analyses .</w:t>
            </w:r>
          </w:p>
        </w:tc>
      </w:tr>
      <w:tr w:rsidR="00A00259" w14:paraId="1D86A079" w14:textId="77777777" w:rsidTr="00CE3F9A">
        <w:trPr>
          <w:trHeight w:val="313"/>
          <w:jc w:val="center"/>
        </w:trPr>
        <w:tc>
          <w:tcPr>
            <w:tcW w:w="717" w:type="dxa"/>
            <w:shd w:val="clear" w:color="auto" w:fill="C6EFCE"/>
            <w:noWrap/>
          </w:tcPr>
          <w:p w14:paraId="5F1E4460" w14:textId="77777777" w:rsidR="00A00259" w:rsidRDefault="00371282">
            <w:pPr>
              <w:pStyle w:val="P68B1DB1-Normal12"/>
              <w:spacing w:after="0" w:line="240" w:lineRule="auto"/>
              <w:rPr>
                <w:rFonts w:eastAsia="Times New Roman"/>
                <w:noProof/>
              </w:rPr>
            </w:pPr>
            <w:r>
              <w:rPr>
                <w:noProof/>
              </w:rPr>
              <w:t>166</w:t>
            </w:r>
          </w:p>
        </w:tc>
        <w:tc>
          <w:tcPr>
            <w:tcW w:w="2085" w:type="dxa"/>
            <w:shd w:val="clear" w:color="auto" w:fill="C6EFCE"/>
            <w:noWrap/>
          </w:tcPr>
          <w:p w14:paraId="27320219" w14:textId="77777777"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- 16755_Investissements verts - Réforme du système de soins de santé primaires</w:t>
            </w:r>
          </w:p>
        </w:tc>
        <w:tc>
          <w:tcPr>
            <w:tcW w:w="969" w:type="dxa"/>
            <w:shd w:val="clear" w:color="auto" w:fill="C6EFCE"/>
            <w:noWrap/>
          </w:tcPr>
          <w:p w14:paraId="44875026" w14:textId="77777777" w:rsidR="00A00259" w:rsidRDefault="00371282">
            <w:pPr>
              <w:pStyle w:val="P68B1DB1-Normal12"/>
              <w:spacing w:after="0" w:line="240" w:lineRule="auto"/>
              <w:rPr>
                <w:rFonts w:eastAsia="Times New Roman"/>
                <w:noProof/>
              </w:rPr>
            </w:pPr>
            <w:r>
              <w:rPr>
                <w:noProof/>
              </w:rPr>
              <w:t>Objectif</w:t>
            </w:r>
          </w:p>
        </w:tc>
        <w:tc>
          <w:tcPr>
            <w:tcW w:w="1293" w:type="dxa"/>
            <w:shd w:val="clear" w:color="auto" w:fill="C6EFCE"/>
            <w:noWrap/>
          </w:tcPr>
          <w:p w14:paraId="161A9E32" w14:textId="77777777" w:rsidR="00A00259" w:rsidRDefault="00371282">
            <w:pPr>
              <w:pStyle w:val="P68B1DB1-Normal12"/>
              <w:spacing w:after="0" w:line="240" w:lineRule="auto"/>
              <w:rPr>
                <w:rFonts w:eastAsia="Times New Roman"/>
                <w:noProof/>
              </w:rPr>
            </w:pPr>
            <w:r>
              <w:rPr>
                <w:noProof/>
              </w:rPr>
              <w:t>SSP – unités de soins de santé primaires dotées d’infrastructures rénovées – étape 1</w:t>
            </w:r>
          </w:p>
        </w:tc>
        <w:tc>
          <w:tcPr>
            <w:tcW w:w="1707" w:type="dxa"/>
            <w:shd w:val="clear" w:color="auto" w:fill="C6EFCE"/>
            <w:noWrap/>
          </w:tcPr>
          <w:p w14:paraId="1633963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335" w:type="dxa"/>
            <w:shd w:val="clear" w:color="auto" w:fill="C6EFCE"/>
            <w:noWrap/>
          </w:tcPr>
          <w:p w14:paraId="5416A2B5" w14:textId="77777777" w:rsidR="00A00259" w:rsidRDefault="00371282">
            <w:pPr>
              <w:pStyle w:val="P68B1DB1-Normal12"/>
              <w:spacing w:after="0" w:line="240" w:lineRule="auto"/>
              <w:rPr>
                <w:rFonts w:eastAsia="Times New Roman"/>
                <w:noProof/>
              </w:rPr>
            </w:pPr>
            <w:r>
              <w:rPr>
                <w:noProof/>
              </w:rPr>
              <w:t xml:space="preserve">Nombre d'unités de soins de santé primaires où l'infrastructure est rénovée </w:t>
            </w:r>
          </w:p>
        </w:tc>
        <w:tc>
          <w:tcPr>
            <w:tcW w:w="1050" w:type="dxa"/>
            <w:shd w:val="clear" w:color="auto" w:fill="C6EFCE"/>
            <w:noWrap/>
          </w:tcPr>
          <w:p w14:paraId="036CD4B9" w14:textId="77777777" w:rsidR="00A00259" w:rsidRDefault="00371282">
            <w:pPr>
              <w:pStyle w:val="P68B1DB1-Normal12"/>
              <w:spacing w:after="0" w:line="240" w:lineRule="auto"/>
              <w:rPr>
                <w:rFonts w:eastAsia="Times New Roman"/>
                <w:noProof/>
              </w:rPr>
            </w:pPr>
            <w:r>
              <w:rPr>
                <w:noProof/>
              </w:rPr>
              <w:t>0</w:t>
            </w:r>
          </w:p>
        </w:tc>
        <w:tc>
          <w:tcPr>
            <w:tcW w:w="975" w:type="dxa"/>
            <w:shd w:val="clear" w:color="auto" w:fill="C6EFCE"/>
            <w:noWrap/>
          </w:tcPr>
          <w:p w14:paraId="01295DF4" w14:textId="77777777" w:rsidR="00A00259" w:rsidRDefault="00371282">
            <w:pPr>
              <w:pStyle w:val="P68B1DB1-Normal12"/>
              <w:spacing w:after="0" w:line="240" w:lineRule="auto"/>
              <w:rPr>
                <w:rFonts w:eastAsia="Times New Roman"/>
                <w:noProof/>
              </w:rPr>
            </w:pPr>
            <w:r>
              <w:rPr>
                <w:noProof/>
              </w:rPr>
              <w:t>15</w:t>
            </w:r>
          </w:p>
        </w:tc>
        <w:tc>
          <w:tcPr>
            <w:tcW w:w="1076" w:type="dxa"/>
            <w:shd w:val="clear" w:color="auto" w:fill="C6EFCE"/>
            <w:noWrap/>
          </w:tcPr>
          <w:p w14:paraId="2B061B94" w14:textId="77777777" w:rsidR="00A00259" w:rsidRDefault="00371282">
            <w:pPr>
              <w:pStyle w:val="P68B1DB1-Normal12"/>
              <w:spacing w:after="0" w:line="240" w:lineRule="auto"/>
              <w:rPr>
                <w:rFonts w:eastAsia="Times New Roman"/>
                <w:noProof/>
              </w:rPr>
            </w:pPr>
            <w:r>
              <w:rPr>
                <w:noProof/>
              </w:rPr>
              <w:t>T4</w:t>
            </w:r>
          </w:p>
        </w:tc>
        <w:tc>
          <w:tcPr>
            <w:tcW w:w="851" w:type="dxa"/>
            <w:shd w:val="clear" w:color="auto" w:fill="C6EFCE"/>
            <w:noWrap/>
          </w:tcPr>
          <w:p w14:paraId="245CD09D" w14:textId="77777777" w:rsidR="00A00259" w:rsidRDefault="00371282">
            <w:pPr>
              <w:pStyle w:val="P68B1DB1-Normal12"/>
              <w:spacing w:after="0" w:line="240" w:lineRule="auto"/>
              <w:rPr>
                <w:rFonts w:eastAsia="Times New Roman"/>
                <w:noProof/>
              </w:rPr>
            </w:pPr>
            <w:r>
              <w:rPr>
                <w:noProof/>
              </w:rPr>
              <w:t>2025</w:t>
            </w:r>
          </w:p>
        </w:tc>
        <w:tc>
          <w:tcPr>
            <w:tcW w:w="4230" w:type="dxa"/>
            <w:shd w:val="clear" w:color="auto" w:fill="C6EFCE"/>
            <w:noWrap/>
          </w:tcPr>
          <w:p w14:paraId="17BBDFD5" w14:textId="77777777" w:rsidR="00A00259" w:rsidRDefault="00371282">
            <w:pPr>
              <w:pStyle w:val="P68B1DB1-Normal12"/>
              <w:spacing w:after="0" w:line="240" w:lineRule="auto"/>
              <w:rPr>
                <w:noProof/>
              </w:rPr>
            </w:pPr>
            <w:r>
              <w:rPr>
                <w:noProof/>
              </w:rPr>
              <w:t xml:space="preserve">Pour au moins 15 unités de soins de santé primaires, rénovation des infrastructures pour l’efficacité énergétique et création d’une unité de gestion des maladies chroniques dans chaque unité de soins de santé primaires. </w:t>
            </w:r>
          </w:p>
        </w:tc>
      </w:tr>
      <w:tr w:rsidR="00A00259" w14:paraId="59C3B63C" w14:textId="77777777" w:rsidTr="00CE3F9A">
        <w:trPr>
          <w:trHeight w:val="313"/>
          <w:jc w:val="center"/>
        </w:trPr>
        <w:tc>
          <w:tcPr>
            <w:tcW w:w="717" w:type="dxa"/>
            <w:shd w:val="clear" w:color="auto" w:fill="C6EFCE"/>
            <w:noWrap/>
          </w:tcPr>
          <w:p w14:paraId="50C6F29F" w14:textId="77777777" w:rsidR="00A00259" w:rsidRDefault="00371282">
            <w:pPr>
              <w:pStyle w:val="P68B1DB1-Normal12"/>
              <w:spacing w:after="0" w:line="240" w:lineRule="auto"/>
              <w:rPr>
                <w:noProof/>
              </w:rPr>
            </w:pPr>
            <w:r>
              <w:rPr>
                <w:noProof/>
              </w:rPr>
              <w:t>166 bis</w:t>
            </w:r>
          </w:p>
        </w:tc>
        <w:tc>
          <w:tcPr>
            <w:tcW w:w="2085" w:type="dxa"/>
            <w:shd w:val="clear" w:color="auto" w:fill="C6EFCE"/>
            <w:noWrap/>
          </w:tcPr>
          <w:p w14:paraId="7B56A9D8" w14:textId="77777777" w:rsidR="00A00259" w:rsidRDefault="00371282">
            <w:pPr>
              <w:pStyle w:val="P68B1DB1-Normal12"/>
              <w:spacing w:after="0" w:line="240" w:lineRule="auto"/>
              <w:rPr>
                <w:noProof/>
              </w:rPr>
            </w:pPr>
            <w:r>
              <w:rPr>
                <w:noProof/>
              </w:rPr>
              <w:t>10 - 3.3. Améliorer la résilience, l'accessibilité et la durabilité des soins de santé - 16755_Investissements verts - Réforme du système de soins de santé primaires</w:t>
            </w:r>
          </w:p>
        </w:tc>
        <w:tc>
          <w:tcPr>
            <w:tcW w:w="969" w:type="dxa"/>
            <w:shd w:val="clear" w:color="auto" w:fill="C6EFCE"/>
            <w:noWrap/>
          </w:tcPr>
          <w:p w14:paraId="46BEB12A" w14:textId="77777777" w:rsidR="00A00259" w:rsidRDefault="00371282">
            <w:pPr>
              <w:pStyle w:val="P68B1DB1-Normal12"/>
              <w:spacing w:after="0" w:line="240" w:lineRule="auto"/>
              <w:rPr>
                <w:noProof/>
              </w:rPr>
            </w:pPr>
            <w:r>
              <w:rPr>
                <w:noProof/>
              </w:rPr>
              <w:t>Objectif</w:t>
            </w:r>
          </w:p>
        </w:tc>
        <w:tc>
          <w:tcPr>
            <w:tcW w:w="1293" w:type="dxa"/>
            <w:shd w:val="clear" w:color="auto" w:fill="C6EFCE"/>
            <w:noWrap/>
          </w:tcPr>
          <w:p w14:paraId="1C9F6F1A" w14:textId="3FE79BEF" w:rsidR="00A00259" w:rsidRDefault="00371282">
            <w:pPr>
              <w:pStyle w:val="P68B1DB1-Normal12"/>
              <w:spacing w:after="0" w:line="240" w:lineRule="auto"/>
              <w:rPr>
                <w:noProof/>
              </w:rPr>
            </w:pPr>
            <w:r>
              <w:rPr>
                <w:noProof/>
              </w:rPr>
              <w:t>SSP – unités de soins de santé primaires dotées d’infrastructures rénovées – étape 2</w:t>
            </w:r>
          </w:p>
        </w:tc>
        <w:tc>
          <w:tcPr>
            <w:tcW w:w="1707" w:type="dxa"/>
            <w:shd w:val="clear" w:color="auto" w:fill="C6EFCE"/>
            <w:noWrap/>
          </w:tcPr>
          <w:p w14:paraId="2B75FFE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335" w:type="dxa"/>
            <w:shd w:val="clear" w:color="auto" w:fill="C6EFCE"/>
            <w:noWrap/>
          </w:tcPr>
          <w:p w14:paraId="68E80BE0" w14:textId="77777777" w:rsidR="00A00259" w:rsidRDefault="00371282">
            <w:pPr>
              <w:pStyle w:val="P68B1DB1-Normal12"/>
              <w:spacing w:after="0" w:line="240" w:lineRule="auto"/>
              <w:rPr>
                <w:noProof/>
              </w:rPr>
            </w:pPr>
            <w:r>
              <w:rPr>
                <w:noProof/>
              </w:rPr>
              <w:t xml:space="preserve">Nombre d'unités de soins de santé primaires où l'infrastructure est rénovée </w:t>
            </w:r>
          </w:p>
        </w:tc>
        <w:tc>
          <w:tcPr>
            <w:tcW w:w="1050" w:type="dxa"/>
            <w:shd w:val="clear" w:color="auto" w:fill="C6EFCE"/>
            <w:noWrap/>
          </w:tcPr>
          <w:p w14:paraId="291C75FB" w14:textId="77777777" w:rsidR="00A00259" w:rsidRDefault="00371282">
            <w:pPr>
              <w:pStyle w:val="P68B1DB1-Normal12"/>
              <w:spacing w:after="0" w:line="240" w:lineRule="auto"/>
              <w:rPr>
                <w:noProof/>
              </w:rPr>
            </w:pPr>
            <w:r>
              <w:rPr>
                <w:noProof/>
              </w:rPr>
              <w:t>15</w:t>
            </w:r>
          </w:p>
        </w:tc>
        <w:tc>
          <w:tcPr>
            <w:tcW w:w="975" w:type="dxa"/>
            <w:shd w:val="clear" w:color="auto" w:fill="C6EFCE"/>
            <w:noWrap/>
          </w:tcPr>
          <w:p w14:paraId="43E6DD59" w14:textId="77777777" w:rsidR="00A00259" w:rsidRDefault="00371282">
            <w:pPr>
              <w:pStyle w:val="P68B1DB1-Normal12"/>
              <w:spacing w:after="0" w:line="240" w:lineRule="auto"/>
              <w:rPr>
                <w:noProof/>
              </w:rPr>
            </w:pPr>
            <w:r>
              <w:rPr>
                <w:noProof/>
              </w:rPr>
              <w:t>55</w:t>
            </w:r>
          </w:p>
        </w:tc>
        <w:tc>
          <w:tcPr>
            <w:tcW w:w="1076" w:type="dxa"/>
            <w:shd w:val="clear" w:color="auto" w:fill="C6EFCE"/>
            <w:noWrap/>
          </w:tcPr>
          <w:p w14:paraId="0AC67DE5" w14:textId="77777777" w:rsidR="00A00259" w:rsidRDefault="00371282">
            <w:pPr>
              <w:pStyle w:val="P68B1DB1-Normal12"/>
              <w:spacing w:after="0" w:line="240" w:lineRule="auto"/>
              <w:rPr>
                <w:noProof/>
              </w:rPr>
            </w:pPr>
            <w:r>
              <w:rPr>
                <w:noProof/>
              </w:rPr>
              <w:t>T1</w:t>
            </w:r>
          </w:p>
        </w:tc>
        <w:tc>
          <w:tcPr>
            <w:tcW w:w="851" w:type="dxa"/>
            <w:shd w:val="clear" w:color="auto" w:fill="C6EFCE"/>
            <w:noWrap/>
          </w:tcPr>
          <w:p w14:paraId="7BD87681" w14:textId="77777777" w:rsidR="00A00259" w:rsidRDefault="00371282">
            <w:pPr>
              <w:pStyle w:val="P68B1DB1-Normal12"/>
              <w:spacing w:after="0" w:line="240" w:lineRule="auto"/>
              <w:rPr>
                <w:noProof/>
              </w:rPr>
            </w:pPr>
            <w:r>
              <w:rPr>
                <w:noProof/>
              </w:rPr>
              <w:t>2026</w:t>
            </w:r>
          </w:p>
        </w:tc>
        <w:tc>
          <w:tcPr>
            <w:tcW w:w="4230" w:type="dxa"/>
            <w:shd w:val="clear" w:color="auto" w:fill="C6EFCE"/>
            <w:noWrap/>
          </w:tcPr>
          <w:p w14:paraId="4069F35A" w14:textId="77777777" w:rsidR="00A00259" w:rsidRDefault="00371282">
            <w:pPr>
              <w:pStyle w:val="P68B1DB1-Normal12"/>
              <w:spacing w:after="0" w:line="240" w:lineRule="auto"/>
              <w:rPr>
                <w:noProof/>
              </w:rPr>
            </w:pPr>
            <w:r>
              <w:rPr>
                <w:noProof/>
              </w:rPr>
              <w:t xml:space="preserve">Pour au moins 40 unités de soins de santé primaires supplémentaires, rénovations d’infrastructures en vue de l’efficacité énergétique. </w:t>
            </w:r>
          </w:p>
          <w:p w14:paraId="74ABA6D6" w14:textId="77777777" w:rsidR="00A00259" w:rsidRDefault="00A00259">
            <w:pPr>
              <w:spacing w:after="0" w:line="240" w:lineRule="auto"/>
              <w:rPr>
                <w:rFonts w:ascii="Times New Roman" w:hAnsi="Times New Roman" w:cs="Times New Roman"/>
                <w:noProof/>
                <w:color w:val="006100"/>
                <w:sz w:val="18"/>
                <w:szCs w:val="18"/>
              </w:rPr>
            </w:pPr>
          </w:p>
          <w:p w14:paraId="3A473B88" w14:textId="782C5228" w:rsidR="00A00259" w:rsidRDefault="00371282">
            <w:pPr>
              <w:pStyle w:val="P68B1DB1-Normal12"/>
              <w:spacing w:after="0" w:line="240" w:lineRule="auto"/>
              <w:rPr>
                <w:noProof/>
              </w:rPr>
            </w:pPr>
            <w:r>
              <w:rPr>
                <w:noProof/>
              </w:rPr>
              <w:t>Création d'une unité de gestion des maladies chroniques dans un nombre égal d'unités de soins de santé primaires.</w:t>
            </w:r>
          </w:p>
        </w:tc>
      </w:tr>
      <w:tr w:rsidR="00A00259" w14:paraId="426A877B" w14:textId="77777777" w:rsidTr="00CE3F9A">
        <w:trPr>
          <w:trHeight w:val="313"/>
          <w:jc w:val="center"/>
        </w:trPr>
        <w:tc>
          <w:tcPr>
            <w:tcW w:w="717" w:type="dxa"/>
            <w:shd w:val="clear" w:color="auto" w:fill="C6EFCE"/>
            <w:noWrap/>
          </w:tcPr>
          <w:p w14:paraId="4432EFDE" w14:textId="77777777" w:rsidR="00A00259" w:rsidRDefault="00371282">
            <w:pPr>
              <w:pStyle w:val="P68B1DB1-Normal12"/>
              <w:spacing w:after="0" w:line="240" w:lineRule="auto"/>
              <w:rPr>
                <w:noProof/>
              </w:rPr>
            </w:pPr>
            <w:r>
              <w:rPr>
                <w:noProof/>
              </w:rPr>
              <w:t>166b</w:t>
            </w:r>
          </w:p>
        </w:tc>
        <w:tc>
          <w:tcPr>
            <w:tcW w:w="2085" w:type="dxa"/>
            <w:shd w:val="clear" w:color="auto" w:fill="C6EFCE"/>
            <w:noWrap/>
          </w:tcPr>
          <w:p w14:paraId="7128E9D8" w14:textId="77777777" w:rsidR="00A00259" w:rsidRDefault="00371282">
            <w:pPr>
              <w:pStyle w:val="P68B1DB1-Normal12"/>
              <w:spacing w:after="0" w:line="240" w:lineRule="auto"/>
              <w:rPr>
                <w:noProof/>
              </w:rPr>
            </w:pPr>
            <w:r>
              <w:rPr>
                <w:noProof/>
              </w:rPr>
              <w:t>10 - 3.3. Améliorer la résilience, l'accessibilité et la durabilité des soins de santé - 16755_Investissements verts - Réforme du système de soins de santé primaires</w:t>
            </w:r>
          </w:p>
        </w:tc>
        <w:tc>
          <w:tcPr>
            <w:tcW w:w="969" w:type="dxa"/>
            <w:shd w:val="clear" w:color="auto" w:fill="C6EFCE"/>
            <w:noWrap/>
          </w:tcPr>
          <w:p w14:paraId="499FE746" w14:textId="77777777" w:rsidR="00A00259" w:rsidRDefault="00371282">
            <w:pPr>
              <w:pStyle w:val="P68B1DB1-Normal12"/>
              <w:spacing w:after="0" w:line="240" w:lineRule="auto"/>
              <w:rPr>
                <w:noProof/>
              </w:rPr>
            </w:pPr>
            <w:r>
              <w:rPr>
                <w:noProof/>
              </w:rPr>
              <w:t>Objectif</w:t>
            </w:r>
          </w:p>
        </w:tc>
        <w:tc>
          <w:tcPr>
            <w:tcW w:w="1293" w:type="dxa"/>
            <w:shd w:val="clear" w:color="auto" w:fill="C6EFCE"/>
            <w:noWrap/>
          </w:tcPr>
          <w:p w14:paraId="1678402C" w14:textId="77777777" w:rsidR="00A00259" w:rsidRDefault="00371282">
            <w:pPr>
              <w:pStyle w:val="P68B1DB1-Normal12"/>
              <w:spacing w:after="0" w:line="240" w:lineRule="auto"/>
              <w:rPr>
                <w:noProof/>
              </w:rPr>
            </w:pPr>
            <w:r>
              <w:rPr>
                <w:noProof/>
              </w:rPr>
              <w:t>SSP – unités de soins de santé primaires dotées d’infrastructures rénovées – étape 3</w:t>
            </w:r>
          </w:p>
        </w:tc>
        <w:tc>
          <w:tcPr>
            <w:tcW w:w="1707" w:type="dxa"/>
            <w:shd w:val="clear" w:color="auto" w:fill="C6EFCE"/>
            <w:noWrap/>
          </w:tcPr>
          <w:p w14:paraId="1E42A65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335" w:type="dxa"/>
            <w:shd w:val="clear" w:color="auto" w:fill="C6EFCE"/>
            <w:noWrap/>
          </w:tcPr>
          <w:p w14:paraId="7DF4F11C" w14:textId="77777777" w:rsidR="00A00259" w:rsidRDefault="00371282">
            <w:pPr>
              <w:pStyle w:val="P68B1DB1-Normal12"/>
              <w:spacing w:after="0" w:line="240" w:lineRule="auto"/>
              <w:rPr>
                <w:noProof/>
              </w:rPr>
            </w:pPr>
            <w:r>
              <w:rPr>
                <w:noProof/>
              </w:rPr>
              <w:t xml:space="preserve">Nombre d'unités de soins de santé primaires où l'infrastructure est rénovée </w:t>
            </w:r>
          </w:p>
        </w:tc>
        <w:tc>
          <w:tcPr>
            <w:tcW w:w="1050" w:type="dxa"/>
            <w:shd w:val="clear" w:color="auto" w:fill="C6EFCE"/>
            <w:noWrap/>
          </w:tcPr>
          <w:p w14:paraId="38D2A945" w14:textId="77777777" w:rsidR="00A00259" w:rsidRDefault="00371282">
            <w:pPr>
              <w:pStyle w:val="P68B1DB1-Normal12"/>
              <w:spacing w:after="0" w:line="240" w:lineRule="auto"/>
              <w:rPr>
                <w:noProof/>
              </w:rPr>
            </w:pPr>
            <w:r>
              <w:rPr>
                <w:noProof/>
              </w:rPr>
              <w:t>55</w:t>
            </w:r>
          </w:p>
        </w:tc>
        <w:tc>
          <w:tcPr>
            <w:tcW w:w="975" w:type="dxa"/>
            <w:shd w:val="clear" w:color="auto" w:fill="C6EFCE"/>
            <w:noWrap/>
          </w:tcPr>
          <w:p w14:paraId="04B49DB4" w14:textId="2A96EDE7" w:rsidR="00A00259" w:rsidRDefault="00371282">
            <w:pPr>
              <w:pStyle w:val="P68B1DB1-Normal12"/>
              <w:spacing w:after="0" w:line="240" w:lineRule="auto"/>
              <w:rPr>
                <w:noProof/>
              </w:rPr>
            </w:pPr>
            <w:r>
              <w:rPr>
                <w:noProof/>
              </w:rPr>
              <w:t>146</w:t>
            </w:r>
          </w:p>
        </w:tc>
        <w:tc>
          <w:tcPr>
            <w:tcW w:w="1076" w:type="dxa"/>
            <w:shd w:val="clear" w:color="auto" w:fill="C6EFCE"/>
            <w:noWrap/>
          </w:tcPr>
          <w:p w14:paraId="2012A981" w14:textId="77777777" w:rsidR="00A00259" w:rsidRDefault="00371282">
            <w:pPr>
              <w:pStyle w:val="P68B1DB1-Normal12"/>
              <w:spacing w:after="0" w:line="240" w:lineRule="auto"/>
              <w:rPr>
                <w:noProof/>
              </w:rPr>
            </w:pPr>
            <w:r>
              <w:rPr>
                <w:noProof/>
              </w:rPr>
              <w:t>T2</w:t>
            </w:r>
          </w:p>
        </w:tc>
        <w:tc>
          <w:tcPr>
            <w:tcW w:w="851" w:type="dxa"/>
            <w:shd w:val="clear" w:color="auto" w:fill="C6EFCE"/>
            <w:noWrap/>
          </w:tcPr>
          <w:p w14:paraId="06FD8CAA" w14:textId="77777777" w:rsidR="00A00259" w:rsidRDefault="00371282">
            <w:pPr>
              <w:pStyle w:val="P68B1DB1-Normal12"/>
              <w:spacing w:after="0" w:line="240" w:lineRule="auto"/>
              <w:rPr>
                <w:noProof/>
              </w:rPr>
            </w:pPr>
            <w:r>
              <w:rPr>
                <w:noProof/>
              </w:rPr>
              <w:t>2026</w:t>
            </w:r>
          </w:p>
        </w:tc>
        <w:tc>
          <w:tcPr>
            <w:tcW w:w="4230" w:type="dxa"/>
            <w:shd w:val="clear" w:color="auto" w:fill="C6EFCE"/>
            <w:noWrap/>
          </w:tcPr>
          <w:p w14:paraId="71C7E8B7" w14:textId="701078F5" w:rsidR="00A00259" w:rsidRDefault="00371282">
            <w:pPr>
              <w:pStyle w:val="P68B1DB1-Normal12"/>
              <w:rPr>
                <w:noProof/>
              </w:rPr>
            </w:pPr>
            <w:r>
              <w:rPr>
                <w:noProof/>
              </w:rPr>
              <w:t xml:space="preserve">Pour au moins 91 unités de soins de santé primaires supplémentaires, rénovations d’infrastructures pour l’efficacité énergétique. </w:t>
            </w:r>
          </w:p>
          <w:p w14:paraId="4809FE38" w14:textId="22F37A4B" w:rsidR="00A00259" w:rsidRDefault="00371282">
            <w:pPr>
              <w:pStyle w:val="P68B1DB1-Normal12"/>
              <w:rPr>
                <w:noProof/>
              </w:rPr>
            </w:pPr>
            <w:r>
              <w:rPr>
                <w:noProof/>
              </w:rPr>
              <w:t>Création d'une unité de gestion des maladies chroniques dans un nombre égal d'unités de soins de santé primaires.</w:t>
            </w:r>
          </w:p>
        </w:tc>
      </w:tr>
      <w:tr w:rsidR="00A00259" w14:paraId="44AC52DE" w14:textId="77777777" w:rsidTr="00CE3F9A">
        <w:trPr>
          <w:trHeight w:val="313"/>
          <w:jc w:val="center"/>
        </w:trPr>
        <w:tc>
          <w:tcPr>
            <w:tcW w:w="717" w:type="dxa"/>
            <w:shd w:val="clear" w:color="auto" w:fill="C6EFCE"/>
            <w:noWrap/>
          </w:tcPr>
          <w:p w14:paraId="0BDC4B0F" w14:textId="77777777" w:rsidR="00A00259" w:rsidRDefault="00371282">
            <w:pPr>
              <w:pStyle w:val="P68B1DB1-Normal12"/>
              <w:spacing w:after="0" w:line="240" w:lineRule="auto"/>
              <w:rPr>
                <w:noProof/>
              </w:rPr>
            </w:pPr>
            <w:r>
              <w:rPr>
                <w:noProof/>
              </w:rPr>
              <w:t>166c</w:t>
            </w:r>
          </w:p>
        </w:tc>
        <w:tc>
          <w:tcPr>
            <w:tcW w:w="2085" w:type="dxa"/>
            <w:shd w:val="clear" w:color="auto" w:fill="C6EFCE"/>
            <w:noWrap/>
          </w:tcPr>
          <w:p w14:paraId="1D383BF8" w14:textId="77777777" w:rsidR="00A00259" w:rsidRDefault="00371282">
            <w:pPr>
              <w:pStyle w:val="P68B1DB1-Normal12"/>
              <w:spacing w:after="0" w:line="240" w:lineRule="auto"/>
              <w:rPr>
                <w:noProof/>
              </w:rPr>
            </w:pPr>
            <w:r>
              <w:rPr>
                <w:noProof/>
              </w:rPr>
              <w:t>10 - 3.3. Améliorer la résilience, l'accessibilité et la durabilité des soins de santé - 16755_Investissements verts - Réforme du système de soins de santé primaires</w:t>
            </w:r>
          </w:p>
        </w:tc>
        <w:tc>
          <w:tcPr>
            <w:tcW w:w="969" w:type="dxa"/>
            <w:shd w:val="clear" w:color="auto" w:fill="C6EFCE"/>
            <w:noWrap/>
          </w:tcPr>
          <w:p w14:paraId="11615171" w14:textId="77777777" w:rsidR="00A00259" w:rsidRDefault="00371282">
            <w:pPr>
              <w:pStyle w:val="P68B1DB1-Normal12"/>
              <w:rPr>
                <w:noProof/>
              </w:rPr>
            </w:pPr>
            <w:r>
              <w:rPr>
                <w:noProof/>
              </w:rPr>
              <w:t>Étape</w:t>
            </w:r>
          </w:p>
        </w:tc>
        <w:tc>
          <w:tcPr>
            <w:tcW w:w="1293" w:type="dxa"/>
            <w:shd w:val="clear" w:color="auto" w:fill="C6EFCE"/>
            <w:noWrap/>
          </w:tcPr>
          <w:p w14:paraId="5D7E264E" w14:textId="77777777" w:rsidR="00A00259" w:rsidRDefault="00371282">
            <w:pPr>
              <w:pStyle w:val="P68B1DB1-Normal12"/>
              <w:spacing w:after="0" w:line="240" w:lineRule="auto"/>
              <w:rPr>
                <w:noProof/>
              </w:rPr>
            </w:pPr>
            <w:r>
              <w:rPr>
                <w:noProof/>
              </w:rPr>
              <w:t>PHC – matériel médical</w:t>
            </w:r>
          </w:p>
        </w:tc>
        <w:tc>
          <w:tcPr>
            <w:tcW w:w="1707" w:type="dxa"/>
            <w:shd w:val="clear" w:color="auto" w:fill="C6EFCE"/>
            <w:noWrap/>
          </w:tcPr>
          <w:p w14:paraId="4B905866" w14:textId="77777777" w:rsidR="00A00259" w:rsidRDefault="00371282">
            <w:pPr>
              <w:pStyle w:val="P68B1DB1-Normal23"/>
              <w:spacing w:after="0" w:line="240" w:lineRule="auto"/>
              <w:rPr>
                <w:noProof/>
              </w:rPr>
            </w:pPr>
            <w:r>
              <w:rPr>
                <w:noProof/>
              </w:rPr>
              <w:t xml:space="preserve">Livraison de matériel médical </w:t>
            </w:r>
          </w:p>
        </w:tc>
        <w:tc>
          <w:tcPr>
            <w:tcW w:w="1335" w:type="dxa"/>
            <w:shd w:val="clear" w:color="auto" w:fill="C6EFCE"/>
            <w:noWrap/>
          </w:tcPr>
          <w:p w14:paraId="7B9C27A1" w14:textId="77777777" w:rsidR="00A00259" w:rsidRDefault="00A00259">
            <w:pPr>
              <w:spacing w:after="0" w:line="240" w:lineRule="auto"/>
              <w:rPr>
                <w:rFonts w:ascii="Times New Roman" w:hAnsi="Times New Roman" w:cs="Times New Roman"/>
                <w:noProof/>
                <w:color w:val="006100"/>
                <w:sz w:val="18"/>
                <w:szCs w:val="18"/>
              </w:rPr>
            </w:pPr>
          </w:p>
        </w:tc>
        <w:tc>
          <w:tcPr>
            <w:tcW w:w="1050" w:type="dxa"/>
            <w:shd w:val="clear" w:color="auto" w:fill="C6EFCE"/>
            <w:noWrap/>
          </w:tcPr>
          <w:p w14:paraId="30A93EE1" w14:textId="77777777" w:rsidR="00A00259" w:rsidRDefault="00A00259">
            <w:pPr>
              <w:spacing w:after="0" w:line="240" w:lineRule="auto"/>
              <w:rPr>
                <w:rFonts w:ascii="Times New Roman" w:hAnsi="Times New Roman" w:cs="Times New Roman"/>
                <w:noProof/>
                <w:color w:val="006100"/>
                <w:sz w:val="18"/>
                <w:szCs w:val="18"/>
              </w:rPr>
            </w:pPr>
          </w:p>
        </w:tc>
        <w:tc>
          <w:tcPr>
            <w:tcW w:w="975" w:type="dxa"/>
            <w:shd w:val="clear" w:color="auto" w:fill="C6EFCE"/>
            <w:noWrap/>
          </w:tcPr>
          <w:p w14:paraId="67DE0D16" w14:textId="77777777" w:rsidR="00A00259" w:rsidRDefault="00A00259">
            <w:pPr>
              <w:spacing w:after="0" w:line="240" w:lineRule="auto"/>
              <w:rPr>
                <w:rFonts w:ascii="Times New Roman" w:hAnsi="Times New Roman" w:cs="Times New Roman"/>
                <w:noProof/>
                <w:color w:val="006100"/>
                <w:sz w:val="18"/>
                <w:szCs w:val="18"/>
              </w:rPr>
            </w:pPr>
          </w:p>
        </w:tc>
        <w:tc>
          <w:tcPr>
            <w:tcW w:w="1076" w:type="dxa"/>
            <w:shd w:val="clear" w:color="auto" w:fill="C6EFCE"/>
            <w:noWrap/>
          </w:tcPr>
          <w:p w14:paraId="4CA8EC8B" w14:textId="77777777" w:rsidR="00A00259" w:rsidRDefault="00371282">
            <w:pPr>
              <w:pStyle w:val="P68B1DB1-Normal12"/>
              <w:spacing w:after="0" w:line="240" w:lineRule="auto"/>
              <w:rPr>
                <w:noProof/>
              </w:rPr>
            </w:pPr>
            <w:r>
              <w:rPr>
                <w:noProof/>
              </w:rPr>
              <w:t>T2</w:t>
            </w:r>
          </w:p>
        </w:tc>
        <w:tc>
          <w:tcPr>
            <w:tcW w:w="851" w:type="dxa"/>
            <w:shd w:val="clear" w:color="auto" w:fill="C6EFCE"/>
            <w:noWrap/>
          </w:tcPr>
          <w:p w14:paraId="07876B63" w14:textId="77777777" w:rsidR="00A00259" w:rsidRDefault="00371282">
            <w:pPr>
              <w:pStyle w:val="P68B1DB1-Normal12"/>
              <w:spacing w:after="0" w:line="240" w:lineRule="auto"/>
              <w:rPr>
                <w:noProof/>
              </w:rPr>
            </w:pPr>
            <w:r>
              <w:rPr>
                <w:noProof/>
              </w:rPr>
              <w:t>2026</w:t>
            </w:r>
          </w:p>
        </w:tc>
        <w:tc>
          <w:tcPr>
            <w:tcW w:w="4230" w:type="dxa"/>
            <w:shd w:val="clear" w:color="auto" w:fill="C6EFCE"/>
            <w:noWrap/>
          </w:tcPr>
          <w:p w14:paraId="712F751A" w14:textId="77777777" w:rsidR="00A00259" w:rsidRDefault="00371282">
            <w:pPr>
              <w:pStyle w:val="P68B1DB1-Normal12"/>
              <w:spacing w:after="0" w:line="240" w:lineRule="auto"/>
              <w:rPr>
                <w:noProof/>
              </w:rPr>
            </w:pPr>
            <w:r>
              <w:rPr>
                <w:noProof/>
              </w:rPr>
              <w:t xml:space="preserve">Fourniture de matériel médical pour le système de soins de santé primaires dans sept régions sanitaires. </w:t>
            </w:r>
          </w:p>
        </w:tc>
      </w:tr>
      <w:tr w:rsidR="00A00259" w14:paraId="00B8B877" w14:textId="77777777" w:rsidTr="00CE3F9A">
        <w:trPr>
          <w:trHeight w:val="313"/>
          <w:jc w:val="center"/>
        </w:trPr>
        <w:tc>
          <w:tcPr>
            <w:tcW w:w="717" w:type="dxa"/>
            <w:shd w:val="clear" w:color="auto" w:fill="C6EFCE"/>
            <w:noWrap/>
          </w:tcPr>
          <w:p w14:paraId="21F3E232" w14:textId="77777777" w:rsidR="00A00259" w:rsidRDefault="00371282">
            <w:pPr>
              <w:pStyle w:val="P68B1DB1-Normal12"/>
              <w:spacing w:after="0" w:line="240" w:lineRule="auto"/>
              <w:rPr>
                <w:noProof/>
              </w:rPr>
            </w:pPr>
            <w:r>
              <w:rPr>
                <w:noProof/>
              </w:rPr>
              <w:t>166d</w:t>
            </w:r>
          </w:p>
        </w:tc>
        <w:tc>
          <w:tcPr>
            <w:tcW w:w="2085" w:type="dxa"/>
            <w:shd w:val="clear" w:color="auto" w:fill="C6EFCE"/>
            <w:noWrap/>
          </w:tcPr>
          <w:p w14:paraId="24395FF3" w14:textId="77777777" w:rsidR="00A00259" w:rsidRDefault="00371282">
            <w:pPr>
              <w:pStyle w:val="P68B1DB1-Normal12"/>
              <w:spacing w:after="0" w:line="240" w:lineRule="auto"/>
              <w:rPr>
                <w:noProof/>
              </w:rPr>
            </w:pPr>
            <w:r>
              <w:rPr>
                <w:noProof/>
              </w:rPr>
              <w:t>10 - 3.3. Améliorer la résilience, l'accessibilité et la durabilité des soins de santé - 16755_Investissements verts - Réforme du système de soins de santé primaires</w:t>
            </w:r>
          </w:p>
        </w:tc>
        <w:tc>
          <w:tcPr>
            <w:tcW w:w="969" w:type="dxa"/>
            <w:shd w:val="clear" w:color="auto" w:fill="C6EFCE"/>
            <w:noWrap/>
          </w:tcPr>
          <w:p w14:paraId="4822A134" w14:textId="77777777" w:rsidR="00A00259" w:rsidRDefault="00371282">
            <w:pPr>
              <w:pStyle w:val="P68B1DB1-Normal12"/>
              <w:spacing w:after="0" w:line="240" w:lineRule="auto"/>
              <w:rPr>
                <w:noProof/>
              </w:rPr>
            </w:pPr>
            <w:r>
              <w:rPr>
                <w:noProof/>
              </w:rPr>
              <w:t>Étape</w:t>
            </w:r>
          </w:p>
        </w:tc>
        <w:tc>
          <w:tcPr>
            <w:tcW w:w="1293" w:type="dxa"/>
            <w:shd w:val="clear" w:color="auto" w:fill="C6EFCE"/>
            <w:noWrap/>
          </w:tcPr>
          <w:p w14:paraId="738F1D02" w14:textId="77777777" w:rsidR="00A00259" w:rsidRDefault="00371282">
            <w:pPr>
              <w:pStyle w:val="P68B1DB1-Normal12"/>
              <w:spacing w:after="0" w:line="240" w:lineRule="auto"/>
              <w:rPr>
                <w:noProof/>
              </w:rPr>
            </w:pPr>
            <w:r>
              <w:rPr>
                <w:noProof/>
              </w:rPr>
              <w:t>SSP – Réforme et formation</w:t>
            </w:r>
          </w:p>
        </w:tc>
        <w:tc>
          <w:tcPr>
            <w:tcW w:w="1707" w:type="dxa"/>
            <w:shd w:val="clear" w:color="auto" w:fill="C6EFCE"/>
            <w:noWrap/>
          </w:tcPr>
          <w:p w14:paraId="5458BCC1" w14:textId="05ED0E33" w:rsidR="00A00259" w:rsidRDefault="00371282">
            <w:pPr>
              <w:pStyle w:val="P68B1DB1-Normal23"/>
              <w:spacing w:after="0" w:line="240" w:lineRule="auto"/>
              <w:rPr>
                <w:noProof/>
              </w:rPr>
            </w:pPr>
            <w:r>
              <w:rPr>
                <w:noProof/>
              </w:rPr>
              <w:t xml:space="preserve">Propositions de réforme des soins de santé primaires, mécanisme pilote d’orientation, plateformes numériques et formations </w:t>
            </w:r>
          </w:p>
        </w:tc>
        <w:tc>
          <w:tcPr>
            <w:tcW w:w="1335" w:type="dxa"/>
            <w:shd w:val="clear" w:color="auto" w:fill="C6EFCE"/>
            <w:noWrap/>
          </w:tcPr>
          <w:p w14:paraId="6B4E08A9" w14:textId="77777777" w:rsidR="00A00259" w:rsidRDefault="00A00259">
            <w:pPr>
              <w:spacing w:after="0" w:line="240" w:lineRule="auto"/>
              <w:rPr>
                <w:rFonts w:ascii="Times New Roman" w:hAnsi="Times New Roman" w:cs="Times New Roman"/>
                <w:noProof/>
                <w:color w:val="006100"/>
                <w:sz w:val="18"/>
                <w:szCs w:val="18"/>
              </w:rPr>
            </w:pPr>
          </w:p>
        </w:tc>
        <w:tc>
          <w:tcPr>
            <w:tcW w:w="1050" w:type="dxa"/>
            <w:shd w:val="clear" w:color="auto" w:fill="C6EFCE"/>
            <w:noWrap/>
          </w:tcPr>
          <w:p w14:paraId="2BAF1F5A" w14:textId="77777777" w:rsidR="00A00259" w:rsidRDefault="00A00259">
            <w:pPr>
              <w:spacing w:after="0" w:line="240" w:lineRule="auto"/>
              <w:rPr>
                <w:rFonts w:ascii="Times New Roman" w:hAnsi="Times New Roman" w:cs="Times New Roman"/>
                <w:noProof/>
                <w:color w:val="006100"/>
                <w:sz w:val="18"/>
                <w:szCs w:val="18"/>
              </w:rPr>
            </w:pPr>
          </w:p>
        </w:tc>
        <w:tc>
          <w:tcPr>
            <w:tcW w:w="975" w:type="dxa"/>
            <w:shd w:val="clear" w:color="auto" w:fill="C6EFCE"/>
            <w:noWrap/>
          </w:tcPr>
          <w:p w14:paraId="78527F28" w14:textId="77777777" w:rsidR="00A00259" w:rsidRDefault="00A00259">
            <w:pPr>
              <w:spacing w:after="0" w:line="240" w:lineRule="auto"/>
              <w:rPr>
                <w:rFonts w:ascii="Times New Roman" w:hAnsi="Times New Roman" w:cs="Times New Roman"/>
                <w:noProof/>
                <w:color w:val="006100"/>
                <w:sz w:val="18"/>
                <w:szCs w:val="18"/>
              </w:rPr>
            </w:pPr>
          </w:p>
        </w:tc>
        <w:tc>
          <w:tcPr>
            <w:tcW w:w="1076" w:type="dxa"/>
            <w:shd w:val="clear" w:color="auto" w:fill="C6EFCE"/>
            <w:noWrap/>
          </w:tcPr>
          <w:p w14:paraId="0FE51BF8" w14:textId="77777777" w:rsidR="00A00259" w:rsidRDefault="00371282">
            <w:pPr>
              <w:pStyle w:val="P68B1DB1-Normal12"/>
              <w:spacing w:after="0" w:line="240" w:lineRule="auto"/>
              <w:rPr>
                <w:noProof/>
              </w:rPr>
            </w:pPr>
            <w:r>
              <w:rPr>
                <w:noProof/>
              </w:rPr>
              <w:t>T2</w:t>
            </w:r>
          </w:p>
        </w:tc>
        <w:tc>
          <w:tcPr>
            <w:tcW w:w="851" w:type="dxa"/>
            <w:shd w:val="clear" w:color="auto" w:fill="C6EFCE"/>
            <w:noWrap/>
          </w:tcPr>
          <w:p w14:paraId="636EA513" w14:textId="77777777" w:rsidR="00A00259" w:rsidRDefault="00371282">
            <w:pPr>
              <w:pStyle w:val="P68B1DB1-Normal12"/>
              <w:spacing w:after="0" w:line="240" w:lineRule="auto"/>
              <w:rPr>
                <w:noProof/>
              </w:rPr>
            </w:pPr>
            <w:r>
              <w:rPr>
                <w:noProof/>
              </w:rPr>
              <w:t>2026</w:t>
            </w:r>
          </w:p>
        </w:tc>
        <w:tc>
          <w:tcPr>
            <w:tcW w:w="4230" w:type="dxa"/>
            <w:shd w:val="clear" w:color="auto" w:fill="C6EFCE"/>
            <w:noWrap/>
          </w:tcPr>
          <w:p w14:paraId="26BFBBA5" w14:textId="77777777" w:rsidR="00A00259" w:rsidRDefault="00371282">
            <w:pPr>
              <w:pStyle w:val="P68B1DB1-Normal12"/>
              <w:spacing w:after="0" w:line="240" w:lineRule="auto"/>
              <w:rPr>
                <w:noProof/>
              </w:rPr>
            </w:pPr>
            <w:r>
              <w:rPr>
                <w:noProof/>
              </w:rPr>
              <w:t xml:space="preserve">Présentation de: </w:t>
            </w:r>
          </w:p>
          <w:p w14:paraId="248E7871" w14:textId="77777777" w:rsidR="00A00259" w:rsidRDefault="00371282">
            <w:pPr>
              <w:pStyle w:val="P68B1DB1-ListParagraph34"/>
              <w:numPr>
                <w:ilvl w:val="0"/>
                <w:numId w:val="48"/>
              </w:numPr>
              <w:spacing w:after="0" w:line="240" w:lineRule="auto"/>
              <w:rPr>
                <w:noProof/>
              </w:rPr>
            </w:pPr>
            <w:r>
              <w:rPr>
                <w:noProof/>
              </w:rPr>
              <w:t xml:space="preserve">Propositions de réforme des soins de santé primaires, </w:t>
            </w:r>
          </w:p>
          <w:p w14:paraId="08AF562E" w14:textId="77777777" w:rsidR="00A00259" w:rsidRDefault="00371282">
            <w:pPr>
              <w:pStyle w:val="P68B1DB1-ListParagraph34"/>
              <w:numPr>
                <w:ilvl w:val="0"/>
                <w:numId w:val="48"/>
              </w:numPr>
              <w:spacing w:after="0" w:line="240" w:lineRule="auto"/>
              <w:rPr>
                <w:noProof/>
              </w:rPr>
            </w:pPr>
            <w:r>
              <w:rPr>
                <w:noProof/>
              </w:rPr>
              <w:t xml:space="preserve">Mécanisme pilote de saisine, </w:t>
            </w:r>
          </w:p>
          <w:p w14:paraId="4989CEFE" w14:textId="77777777" w:rsidR="00A00259" w:rsidRDefault="00371282">
            <w:pPr>
              <w:pStyle w:val="P68B1DB1-ListParagraph34"/>
              <w:numPr>
                <w:ilvl w:val="0"/>
                <w:numId w:val="48"/>
              </w:numPr>
              <w:spacing w:after="0" w:line="240" w:lineRule="auto"/>
              <w:rPr>
                <w:noProof/>
              </w:rPr>
            </w:pPr>
            <w:r>
              <w:rPr>
                <w:noProof/>
              </w:rPr>
              <w:t xml:space="preserve">la formation du personnel visant à améliorer les capacités de la main-d’œuvre dans le domaine des soins de santé primaires, </w:t>
            </w:r>
          </w:p>
          <w:p w14:paraId="46D6CD86" w14:textId="77777777" w:rsidR="00A00259" w:rsidRDefault="00371282">
            <w:pPr>
              <w:pStyle w:val="P68B1DB1-ListParagraph34"/>
              <w:numPr>
                <w:ilvl w:val="0"/>
                <w:numId w:val="48"/>
              </w:numPr>
              <w:spacing w:after="0" w:line="240" w:lineRule="auto"/>
              <w:rPr>
                <w:noProof/>
              </w:rPr>
            </w:pPr>
            <w:r>
              <w:rPr>
                <w:noProof/>
              </w:rPr>
              <w:t xml:space="preserve">Plateforme numérique pour la prise de décision fondée sur les données dans les soins de santé primaires. </w:t>
            </w:r>
          </w:p>
          <w:p w14:paraId="3997730F" w14:textId="77777777" w:rsidR="00A00259" w:rsidRDefault="00A00259">
            <w:pPr>
              <w:spacing w:after="0" w:line="240" w:lineRule="auto"/>
              <w:rPr>
                <w:rFonts w:ascii="Times New Roman" w:hAnsi="Times New Roman" w:cs="Times New Roman"/>
                <w:noProof/>
                <w:color w:val="006100"/>
                <w:sz w:val="18"/>
                <w:szCs w:val="18"/>
              </w:rPr>
            </w:pPr>
          </w:p>
          <w:p w14:paraId="0225D713" w14:textId="69959334" w:rsidR="00A00259" w:rsidRDefault="00371282">
            <w:pPr>
              <w:pStyle w:val="P68B1DB1-Normal12"/>
              <w:spacing w:after="0" w:line="240" w:lineRule="auto"/>
              <w:rPr>
                <w:noProof/>
              </w:rPr>
            </w:pPr>
            <w:r>
              <w:rPr>
                <w:noProof/>
              </w:rPr>
              <w:t>6 172 professionnels des soins de santé primaires ont commencé un programme de formation en soins de santé primaires.</w:t>
            </w:r>
          </w:p>
        </w:tc>
      </w:tr>
      <w:tr w:rsidR="00A00259" w14:paraId="0D870CD4" w14:textId="77777777" w:rsidTr="00CE3F9A">
        <w:trPr>
          <w:trHeight w:val="313"/>
          <w:jc w:val="center"/>
        </w:trPr>
        <w:tc>
          <w:tcPr>
            <w:tcW w:w="717" w:type="dxa"/>
            <w:shd w:val="clear" w:color="auto" w:fill="C6EFCE"/>
            <w:noWrap/>
          </w:tcPr>
          <w:p w14:paraId="4989686D" w14:textId="77777777" w:rsidR="00A00259" w:rsidRDefault="00371282">
            <w:pPr>
              <w:pStyle w:val="P68B1DB1-Normal12"/>
              <w:spacing w:after="0" w:line="240" w:lineRule="auto"/>
              <w:rPr>
                <w:rFonts w:eastAsia="Times New Roman"/>
                <w:noProof/>
              </w:rPr>
            </w:pPr>
            <w:r>
              <w:rPr>
                <w:noProof/>
              </w:rPr>
              <w:t>335</w:t>
            </w:r>
          </w:p>
        </w:tc>
        <w:tc>
          <w:tcPr>
            <w:tcW w:w="2085" w:type="dxa"/>
            <w:shd w:val="clear" w:color="auto" w:fill="C6EFCE"/>
            <w:noWrap/>
          </w:tcPr>
          <w:p w14:paraId="3777FB1A" w14:textId="77777777" w:rsidR="00A00259" w:rsidRDefault="00371282">
            <w:pPr>
              <w:pStyle w:val="P68B1DB1-Normal16"/>
              <w:spacing w:after="0" w:line="240" w:lineRule="auto"/>
              <w:rPr>
                <w:rFonts w:eastAsia="Times New Roman"/>
                <w:noProof/>
                <w:color w:val="006100"/>
              </w:rPr>
            </w:pPr>
            <w:r>
              <w:rPr>
                <w:noProof/>
                <w:color w:val="006100"/>
              </w:rPr>
              <w:t>10 - 3.3. Améliorer la résilience, l'accessibilité et la durabilité des soins de santé - 16984_ Réforme des médecins</w:t>
            </w:r>
            <w:r>
              <w:rPr>
                <w:noProof/>
              </w:rPr>
              <w:t xml:space="preserve"> personnels</w:t>
            </w:r>
          </w:p>
        </w:tc>
        <w:tc>
          <w:tcPr>
            <w:tcW w:w="969" w:type="dxa"/>
            <w:shd w:val="clear" w:color="auto" w:fill="C6EFCE"/>
            <w:noWrap/>
          </w:tcPr>
          <w:p w14:paraId="10E8F58E" w14:textId="77777777" w:rsidR="00A00259" w:rsidRDefault="00371282">
            <w:pPr>
              <w:pStyle w:val="P68B1DB1-Normal12"/>
              <w:spacing w:after="0" w:line="240" w:lineRule="auto"/>
              <w:rPr>
                <w:rFonts w:eastAsia="Times New Roman"/>
                <w:noProof/>
              </w:rPr>
            </w:pPr>
            <w:r>
              <w:rPr>
                <w:noProof/>
              </w:rPr>
              <w:t>Étape</w:t>
            </w:r>
          </w:p>
        </w:tc>
        <w:tc>
          <w:tcPr>
            <w:tcW w:w="1293" w:type="dxa"/>
            <w:shd w:val="clear" w:color="auto" w:fill="C6EFCE"/>
            <w:noWrap/>
          </w:tcPr>
          <w:p w14:paraId="54210BA5" w14:textId="77777777" w:rsidR="00A00259" w:rsidRDefault="00371282">
            <w:pPr>
              <w:pStyle w:val="P68B1DB1-Normal16"/>
              <w:spacing w:after="0" w:line="240" w:lineRule="auto"/>
              <w:rPr>
                <w:rFonts w:eastAsia="Times New Roman"/>
                <w:noProof/>
                <w:color w:val="006100"/>
              </w:rPr>
            </w:pPr>
            <w:r>
              <w:rPr>
                <w:noProof/>
                <w:color w:val="006100"/>
              </w:rPr>
              <w:t>Réforme du médecin personnel – entrée en vigueur de la législation</w:t>
            </w:r>
          </w:p>
        </w:tc>
        <w:tc>
          <w:tcPr>
            <w:tcW w:w="1707" w:type="dxa"/>
            <w:shd w:val="clear" w:color="auto" w:fill="C6EFCE"/>
            <w:noWrap/>
          </w:tcPr>
          <w:p w14:paraId="12C8A896" w14:textId="77777777" w:rsidR="00A00259" w:rsidRDefault="00371282">
            <w:pPr>
              <w:pStyle w:val="P68B1DB1-Normal16"/>
              <w:spacing w:after="0" w:line="240" w:lineRule="auto"/>
              <w:rPr>
                <w:rFonts w:eastAsia="Times New Roman"/>
                <w:noProof/>
                <w:color w:val="006100"/>
              </w:rPr>
            </w:pPr>
            <w:r>
              <w:rPr>
                <w:noProof/>
                <w:color w:val="006100"/>
              </w:rPr>
              <w:t>Entrée en vigueur d'une législation définissant les éléments clés de l'inscription des médecins ruraux au système des médecins personnels, de la création de nouveaux postes similaires dans les zones urbaines, suburbaines et rurales et du mécanisme d'incitation</w:t>
            </w:r>
          </w:p>
        </w:tc>
        <w:tc>
          <w:tcPr>
            <w:tcW w:w="1335" w:type="dxa"/>
            <w:shd w:val="clear" w:color="auto" w:fill="C6EFCE"/>
            <w:noWrap/>
          </w:tcPr>
          <w:p w14:paraId="36F84EB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50" w:type="dxa"/>
            <w:shd w:val="clear" w:color="auto" w:fill="C6EFCE"/>
            <w:noWrap/>
          </w:tcPr>
          <w:p w14:paraId="6EEFD21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75" w:type="dxa"/>
            <w:shd w:val="clear" w:color="auto" w:fill="C6EFCE"/>
            <w:noWrap/>
          </w:tcPr>
          <w:p w14:paraId="015B848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76" w:type="dxa"/>
            <w:shd w:val="clear" w:color="auto" w:fill="C6EFCE"/>
            <w:noWrap/>
          </w:tcPr>
          <w:p w14:paraId="2EF76C6F" w14:textId="77777777" w:rsidR="00A00259" w:rsidRDefault="00371282">
            <w:pPr>
              <w:pStyle w:val="P68B1DB1-Normal12"/>
              <w:spacing w:after="0" w:line="240" w:lineRule="auto"/>
              <w:rPr>
                <w:rFonts w:eastAsia="Times New Roman"/>
                <w:noProof/>
              </w:rPr>
            </w:pPr>
            <w:r>
              <w:rPr>
                <w:noProof/>
              </w:rPr>
              <w:t>T1</w:t>
            </w:r>
          </w:p>
        </w:tc>
        <w:tc>
          <w:tcPr>
            <w:tcW w:w="851" w:type="dxa"/>
            <w:shd w:val="clear" w:color="auto" w:fill="C6EFCE"/>
            <w:noWrap/>
          </w:tcPr>
          <w:p w14:paraId="6507A5CE" w14:textId="77777777" w:rsidR="00A00259" w:rsidRDefault="00371282">
            <w:pPr>
              <w:pStyle w:val="P68B1DB1-Normal12"/>
              <w:spacing w:after="0" w:line="240" w:lineRule="auto"/>
              <w:rPr>
                <w:rFonts w:eastAsia="Times New Roman"/>
                <w:noProof/>
              </w:rPr>
            </w:pPr>
            <w:r>
              <w:rPr>
                <w:noProof/>
              </w:rPr>
              <w:t>2024</w:t>
            </w:r>
          </w:p>
        </w:tc>
        <w:tc>
          <w:tcPr>
            <w:tcW w:w="4230" w:type="dxa"/>
            <w:shd w:val="clear" w:color="auto" w:fill="C6EFCE"/>
            <w:noWrap/>
          </w:tcPr>
          <w:p w14:paraId="7170C01D" w14:textId="77777777" w:rsidR="00A00259" w:rsidRDefault="00371282">
            <w:pPr>
              <w:pStyle w:val="P68B1DB1-Normal12"/>
              <w:spacing w:after="0" w:line="240" w:lineRule="auto"/>
              <w:rPr>
                <w:rFonts w:eastAsia="Times New Roman"/>
                <w:noProof/>
              </w:rPr>
            </w:pPr>
            <w:r>
              <w:rPr>
                <w:noProof/>
              </w:rPr>
              <w:t>La législation entrera en vigueur en définissant les éléments clés de l'inscription des médecins ruraux dans le système des médecins personnels, de la création de nouveaux postes similaires dans les zones urbaines, suburbaines et rurales, où il y a encore un manque de médecins personnels, et du mécanisme d'incitation pour les médecins à devenir résidents en médecine générale / familiale ou en médecine interne.</w:t>
            </w:r>
          </w:p>
        </w:tc>
      </w:tr>
      <w:tr w:rsidR="00A00259" w14:paraId="1B634A26" w14:textId="77777777" w:rsidTr="00CE3F9A">
        <w:trPr>
          <w:trHeight w:val="313"/>
          <w:jc w:val="center"/>
        </w:trPr>
        <w:tc>
          <w:tcPr>
            <w:tcW w:w="717" w:type="dxa"/>
            <w:shd w:val="clear" w:color="auto" w:fill="C6EFCE"/>
            <w:noWrap/>
          </w:tcPr>
          <w:p w14:paraId="1103D0E6" w14:textId="77777777" w:rsidR="00A00259" w:rsidRDefault="00371282">
            <w:pPr>
              <w:pStyle w:val="P68B1DB1-Normal12"/>
              <w:spacing w:after="0" w:line="240" w:lineRule="auto"/>
              <w:rPr>
                <w:rFonts w:eastAsia="Times New Roman"/>
                <w:noProof/>
              </w:rPr>
            </w:pPr>
            <w:r>
              <w:rPr>
                <w:noProof/>
              </w:rPr>
              <w:t>336</w:t>
            </w:r>
          </w:p>
        </w:tc>
        <w:tc>
          <w:tcPr>
            <w:tcW w:w="2085" w:type="dxa"/>
            <w:shd w:val="clear" w:color="auto" w:fill="C6EFCE"/>
            <w:noWrap/>
          </w:tcPr>
          <w:p w14:paraId="5A71BDA7" w14:textId="77777777" w:rsidR="00A00259" w:rsidRDefault="00371282">
            <w:pPr>
              <w:pStyle w:val="P68B1DB1-Normal16"/>
              <w:spacing w:after="0" w:line="240" w:lineRule="auto"/>
              <w:rPr>
                <w:rFonts w:eastAsia="Times New Roman"/>
                <w:noProof/>
                <w:color w:val="006100"/>
              </w:rPr>
            </w:pPr>
            <w:r>
              <w:rPr>
                <w:noProof/>
                <w:color w:val="006100"/>
              </w:rPr>
              <w:t>10 - 3.3. Améliorer la résilience, l'accessibilité et la durabilité des soins de santé - 16984_ Réforme des médecins</w:t>
            </w:r>
            <w:r>
              <w:rPr>
                <w:noProof/>
              </w:rPr>
              <w:t xml:space="preserve"> personnels</w:t>
            </w:r>
          </w:p>
        </w:tc>
        <w:tc>
          <w:tcPr>
            <w:tcW w:w="969" w:type="dxa"/>
            <w:shd w:val="clear" w:color="auto" w:fill="C6EFCE"/>
            <w:noWrap/>
          </w:tcPr>
          <w:p w14:paraId="58858F0D" w14:textId="77777777" w:rsidR="00A00259" w:rsidRDefault="00371282">
            <w:pPr>
              <w:pStyle w:val="P68B1DB1-Normal12"/>
              <w:spacing w:after="0" w:line="240" w:lineRule="auto"/>
              <w:rPr>
                <w:rFonts w:eastAsia="Times New Roman"/>
                <w:noProof/>
              </w:rPr>
            </w:pPr>
            <w:r>
              <w:rPr>
                <w:noProof/>
              </w:rPr>
              <w:t>Étape</w:t>
            </w:r>
          </w:p>
        </w:tc>
        <w:tc>
          <w:tcPr>
            <w:tcW w:w="1293" w:type="dxa"/>
            <w:shd w:val="clear" w:color="auto" w:fill="C6EFCE"/>
            <w:noWrap/>
          </w:tcPr>
          <w:p w14:paraId="16CDC855" w14:textId="77777777" w:rsidR="00A00259" w:rsidRDefault="00371282">
            <w:pPr>
              <w:pStyle w:val="P68B1DB1-Normal16"/>
              <w:spacing w:after="0" w:line="240" w:lineRule="auto"/>
              <w:rPr>
                <w:rFonts w:eastAsia="Times New Roman"/>
                <w:noProof/>
                <w:color w:val="006100"/>
              </w:rPr>
            </w:pPr>
            <w:r>
              <w:rPr>
                <w:noProof/>
                <w:color w:val="006100"/>
              </w:rPr>
              <w:t xml:space="preserve">Réforme du médecin personnel – enregistrement </w:t>
            </w:r>
          </w:p>
        </w:tc>
        <w:tc>
          <w:tcPr>
            <w:tcW w:w="1707" w:type="dxa"/>
            <w:shd w:val="clear" w:color="auto" w:fill="C6EFCE"/>
            <w:noWrap/>
          </w:tcPr>
          <w:p w14:paraId="6F8B19DA" w14:textId="77777777" w:rsidR="00A00259" w:rsidRDefault="00371282">
            <w:pPr>
              <w:pStyle w:val="P68B1DB1-Normal12"/>
              <w:spacing w:after="0" w:line="240" w:lineRule="auto"/>
              <w:rPr>
                <w:rFonts w:eastAsia="Times New Roman"/>
                <w:noProof/>
              </w:rPr>
            </w:pPr>
            <w:r>
              <w:rPr>
                <w:noProof/>
              </w:rPr>
              <w:t xml:space="preserve">Les plateformes d'inscription et de référence sont en ligne et accessibles </w:t>
            </w:r>
          </w:p>
        </w:tc>
        <w:tc>
          <w:tcPr>
            <w:tcW w:w="1335" w:type="dxa"/>
            <w:shd w:val="clear" w:color="auto" w:fill="C6EFCE"/>
            <w:noWrap/>
          </w:tcPr>
          <w:p w14:paraId="466BAA2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50" w:type="dxa"/>
            <w:shd w:val="clear" w:color="auto" w:fill="C6EFCE"/>
            <w:noWrap/>
          </w:tcPr>
          <w:p w14:paraId="2B6B214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75" w:type="dxa"/>
            <w:shd w:val="clear" w:color="auto" w:fill="C6EFCE"/>
            <w:noWrap/>
          </w:tcPr>
          <w:p w14:paraId="47E8D12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76" w:type="dxa"/>
            <w:shd w:val="clear" w:color="auto" w:fill="C6EFCE"/>
            <w:noWrap/>
          </w:tcPr>
          <w:p w14:paraId="49AD7527" w14:textId="77777777" w:rsidR="00A00259" w:rsidRDefault="00371282">
            <w:pPr>
              <w:pStyle w:val="P68B1DB1-Normal12"/>
              <w:spacing w:after="0" w:line="240" w:lineRule="auto"/>
              <w:rPr>
                <w:rFonts w:eastAsia="Times New Roman"/>
                <w:noProof/>
              </w:rPr>
            </w:pPr>
            <w:r>
              <w:rPr>
                <w:noProof/>
              </w:rPr>
              <w:t>T2</w:t>
            </w:r>
          </w:p>
        </w:tc>
        <w:tc>
          <w:tcPr>
            <w:tcW w:w="851" w:type="dxa"/>
            <w:shd w:val="clear" w:color="auto" w:fill="C6EFCE"/>
            <w:noWrap/>
          </w:tcPr>
          <w:p w14:paraId="1E742FCA" w14:textId="77777777" w:rsidR="00A00259" w:rsidRDefault="00371282">
            <w:pPr>
              <w:pStyle w:val="P68B1DB1-Normal12"/>
              <w:spacing w:after="0" w:line="240" w:lineRule="auto"/>
              <w:rPr>
                <w:rFonts w:eastAsia="Times New Roman"/>
                <w:noProof/>
              </w:rPr>
            </w:pPr>
            <w:r>
              <w:rPr>
                <w:noProof/>
              </w:rPr>
              <w:t>2025</w:t>
            </w:r>
          </w:p>
        </w:tc>
        <w:tc>
          <w:tcPr>
            <w:tcW w:w="4230" w:type="dxa"/>
            <w:shd w:val="clear" w:color="auto" w:fill="C6EFCE"/>
            <w:noWrap/>
          </w:tcPr>
          <w:p w14:paraId="6A5A0AF5" w14:textId="77777777" w:rsidR="00A00259" w:rsidRDefault="00371282">
            <w:pPr>
              <w:pStyle w:val="P68B1DB1-Normal12"/>
              <w:spacing w:after="0" w:line="240" w:lineRule="auto"/>
              <w:rPr>
                <w:rFonts w:eastAsia="Times New Roman"/>
                <w:noProof/>
              </w:rPr>
            </w:pPr>
            <w:r>
              <w:rPr>
                <w:noProof/>
              </w:rPr>
              <w:t xml:space="preserve">La plateforme d'inscription auprès d'un médecin personnel est en ligne et accessible. La plateforme d'aiguillage vers les soins spécialisés est en ligne et accessible. </w:t>
            </w:r>
          </w:p>
        </w:tc>
      </w:tr>
    </w:tbl>
    <w:p w14:paraId="4B2051EB" w14:textId="77777777" w:rsidR="00A00259" w:rsidRDefault="00A00259">
      <w:pPr>
        <w:keepNext/>
        <w:keepLines/>
        <w:spacing w:before="40" w:after="0" w:line="240" w:lineRule="auto"/>
        <w:jc w:val="both"/>
        <w:outlineLvl w:val="4"/>
        <w:rPr>
          <w:rFonts w:ascii="Cambria" w:hAnsi="Cambria"/>
          <w:noProof/>
          <w:color w:val="365F91" w:themeColor="accent1" w:themeShade="BF"/>
          <w:sz w:val="24"/>
        </w:rPr>
        <w:sectPr w:rsidR="00A00259">
          <w:headerReference w:type="even" r:id="rId216"/>
          <w:headerReference w:type="default" r:id="rId217"/>
          <w:footerReference w:type="even" r:id="rId218"/>
          <w:footerReference w:type="default" r:id="rId219"/>
          <w:headerReference w:type="first" r:id="rId220"/>
          <w:footerReference w:type="first" r:id="rId221"/>
          <w:pgSz w:w="16839" w:h="11907" w:orient="landscape"/>
          <w:pgMar w:top="1134" w:right="1134" w:bottom="1134" w:left="1134" w:header="567" w:footer="567" w:gutter="0"/>
          <w:cols w:space="720"/>
          <w:docGrid w:linePitch="360"/>
        </w:sectPr>
      </w:pPr>
    </w:p>
    <w:p w14:paraId="31F39477" w14:textId="77777777" w:rsidR="00A00259" w:rsidRDefault="00371282">
      <w:pPr>
        <w:pStyle w:val="P68B1DB1-Normal9"/>
        <w:keepNext/>
        <w:keepLines/>
        <w:spacing w:before="40" w:after="0" w:line="240" w:lineRule="auto"/>
        <w:outlineLvl w:val="4"/>
        <w:rPr>
          <w:rFonts w:eastAsia="Times New Roman"/>
          <w:noProof/>
          <w:szCs w:val="24"/>
        </w:rPr>
      </w:pPr>
      <w:r>
        <w:rPr>
          <w:noProof/>
        </w:rPr>
        <w:t xml:space="preserve">Groupe 14: Mesures infrastructurelles et numériques visant à moderniser et à moderniser le système de soins de santé </w:t>
      </w:r>
    </w:p>
    <w:p w14:paraId="689368E1" w14:textId="77777777" w:rsidR="00A00259" w:rsidRDefault="00371282">
      <w:pPr>
        <w:pStyle w:val="P68B1DB1-Normal5"/>
        <w:numPr>
          <w:ilvl w:val="0"/>
          <w:numId w:val="49"/>
        </w:numPr>
        <w:spacing w:before="120" w:after="0" w:line="240" w:lineRule="auto"/>
        <w:jc w:val="both"/>
        <w:rPr>
          <w:rFonts w:cs="Times New Roman"/>
          <w:noProof/>
        </w:rPr>
      </w:pPr>
      <w:r>
        <w:rPr>
          <w:noProof/>
        </w:rPr>
        <w:t>Transformation numérique de la santé (ID: 16752)</w:t>
      </w:r>
    </w:p>
    <w:p w14:paraId="7A2B5CCC" w14:textId="77777777" w:rsidR="00A00259" w:rsidRDefault="00371282">
      <w:pPr>
        <w:pStyle w:val="P68B1DB1-Normal5"/>
        <w:numPr>
          <w:ilvl w:val="0"/>
          <w:numId w:val="49"/>
        </w:numPr>
        <w:spacing w:before="120" w:after="0" w:line="240" w:lineRule="auto"/>
        <w:jc w:val="both"/>
        <w:rPr>
          <w:rFonts w:cs="Times New Roman"/>
          <w:noProof/>
        </w:rPr>
      </w:pPr>
      <w:r>
        <w:rPr>
          <w:noProof/>
          <w:szCs w:val="24"/>
        </w:rPr>
        <w:t>Infrastructures de santé</w:t>
      </w:r>
      <w:r>
        <w:rPr>
          <w:noProof/>
        </w:rPr>
        <w:t xml:space="preserve"> (ID: 16795)</w:t>
      </w:r>
    </w:p>
    <w:p w14:paraId="6C93EEE0" w14:textId="625C7F39" w:rsidR="00A00259" w:rsidRDefault="00371282">
      <w:pPr>
        <w:pStyle w:val="P68B1DB1-Normal5"/>
        <w:numPr>
          <w:ilvl w:val="0"/>
          <w:numId w:val="49"/>
        </w:numPr>
        <w:spacing w:before="120" w:after="0" w:line="240" w:lineRule="auto"/>
        <w:jc w:val="both"/>
        <w:rPr>
          <w:rFonts w:cs="Times New Roman"/>
          <w:noProof/>
        </w:rPr>
      </w:pPr>
      <w:r>
        <w:rPr>
          <w:noProof/>
        </w:rPr>
        <w:t>Centre de radiothérapie de l’hôpital des maladies thoraciques «Sotiria» d’Athènes (ID: 16757)</w:t>
      </w:r>
    </w:p>
    <w:p w14:paraId="023FEF74" w14:textId="77777777" w:rsidR="00A00259" w:rsidRDefault="00371282">
      <w:pPr>
        <w:pStyle w:val="P68B1DB1-Normal5"/>
        <w:numPr>
          <w:ilvl w:val="0"/>
          <w:numId w:val="49"/>
        </w:numPr>
        <w:spacing w:before="120" w:after="0" w:line="240" w:lineRule="auto"/>
        <w:jc w:val="both"/>
        <w:rPr>
          <w:rFonts w:cs="Times New Roman"/>
          <w:noProof/>
        </w:rPr>
      </w:pPr>
      <w:r>
        <w:rPr>
          <w:noProof/>
        </w:rPr>
        <w:t>Cell &amp; Gene Therapies Hematology Clinic Laboratories au sein de l’hôpital général de Thessalonique «Papanikolaou» (ID: 16793)</w:t>
      </w:r>
    </w:p>
    <w:p w14:paraId="69D1F427" w14:textId="77777777" w:rsidR="00A00259" w:rsidRDefault="00371282">
      <w:pPr>
        <w:pStyle w:val="P68B1DB1-Normal5"/>
        <w:numPr>
          <w:ilvl w:val="0"/>
          <w:numId w:val="49"/>
        </w:numPr>
        <w:spacing w:before="120" w:after="120" w:line="240" w:lineRule="auto"/>
        <w:jc w:val="both"/>
        <w:rPr>
          <w:rFonts w:cs="Times New Roman"/>
          <w:noProof/>
        </w:rPr>
      </w:pPr>
      <w:r>
        <w:rPr>
          <w:noProof/>
        </w:rPr>
        <w:t>Établissement de systèmes de soins de santé à domicile &amp; Hospital at Home (ID: 16753)</w:t>
      </w:r>
    </w:p>
    <w:tbl>
      <w:tblPr>
        <w:tblW w:w="158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2040"/>
        <w:gridCol w:w="1144"/>
        <w:gridCol w:w="1877"/>
        <w:gridCol w:w="1553"/>
        <w:gridCol w:w="1390"/>
        <w:gridCol w:w="1134"/>
        <w:gridCol w:w="981"/>
        <w:gridCol w:w="578"/>
        <w:gridCol w:w="709"/>
        <w:gridCol w:w="3880"/>
      </w:tblGrid>
      <w:tr w:rsidR="00A00259" w14:paraId="350A1A6E" w14:textId="77777777" w:rsidTr="0007083E">
        <w:trPr>
          <w:trHeight w:val="853"/>
          <w:tblHeader/>
          <w:jc w:val="center"/>
        </w:trPr>
        <w:tc>
          <w:tcPr>
            <w:tcW w:w="607" w:type="dxa"/>
            <w:vMerge w:val="restart"/>
            <w:shd w:val="clear" w:color="auto" w:fill="BDD7EE"/>
            <w:vAlign w:val="center"/>
            <w:hideMark/>
          </w:tcPr>
          <w:p w14:paraId="36907328"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Seq. </w:t>
            </w:r>
            <w:r>
              <w:rPr>
                <w:noProof/>
              </w:rPr>
              <w:br/>
              <w:t>Non.</w:t>
            </w:r>
          </w:p>
        </w:tc>
        <w:tc>
          <w:tcPr>
            <w:tcW w:w="2040" w:type="dxa"/>
            <w:vMerge w:val="restart"/>
            <w:shd w:val="clear" w:color="auto" w:fill="BDD7EE"/>
            <w:vAlign w:val="center"/>
            <w:hideMark/>
          </w:tcPr>
          <w:p w14:paraId="5E9EA118" w14:textId="77777777" w:rsidR="00A00259" w:rsidRDefault="00371282">
            <w:pPr>
              <w:pStyle w:val="P68B1DB1-Normal15"/>
              <w:spacing w:after="0" w:line="240" w:lineRule="auto"/>
              <w:jc w:val="center"/>
              <w:rPr>
                <w:rFonts w:eastAsia="Times New Roman"/>
                <w:bCs/>
                <w:noProof/>
              </w:rPr>
            </w:pPr>
            <w:r>
              <w:rPr>
                <w:noProof/>
              </w:rPr>
              <w:t>Mesure connexe (réforme ou investissement)</w:t>
            </w:r>
          </w:p>
        </w:tc>
        <w:tc>
          <w:tcPr>
            <w:tcW w:w="1144" w:type="dxa"/>
            <w:vMerge w:val="restart"/>
            <w:shd w:val="clear" w:color="auto" w:fill="BDD7EE"/>
            <w:vAlign w:val="center"/>
            <w:hideMark/>
          </w:tcPr>
          <w:p w14:paraId="0696EE37" w14:textId="77777777" w:rsidR="00A00259" w:rsidRDefault="00371282">
            <w:pPr>
              <w:pStyle w:val="P68B1DB1-Normal15"/>
              <w:spacing w:after="0" w:line="240" w:lineRule="auto"/>
              <w:jc w:val="center"/>
              <w:rPr>
                <w:rFonts w:eastAsia="Times New Roman"/>
                <w:bCs/>
                <w:noProof/>
              </w:rPr>
            </w:pPr>
            <w:r>
              <w:rPr>
                <w:noProof/>
              </w:rPr>
              <w:t>Étape/cible</w:t>
            </w:r>
          </w:p>
        </w:tc>
        <w:tc>
          <w:tcPr>
            <w:tcW w:w="1877" w:type="dxa"/>
            <w:vMerge w:val="restart"/>
            <w:shd w:val="clear" w:color="auto" w:fill="BDD7EE"/>
            <w:vAlign w:val="center"/>
            <w:hideMark/>
          </w:tcPr>
          <w:p w14:paraId="673D54F2" w14:textId="77777777" w:rsidR="00A00259" w:rsidRDefault="00371282">
            <w:pPr>
              <w:pStyle w:val="P68B1DB1-Normal15"/>
              <w:spacing w:after="0" w:line="240" w:lineRule="auto"/>
              <w:jc w:val="center"/>
              <w:rPr>
                <w:rFonts w:eastAsia="Times New Roman"/>
                <w:bCs/>
                <w:noProof/>
              </w:rPr>
            </w:pPr>
            <w:r>
              <w:rPr>
                <w:noProof/>
              </w:rPr>
              <w:t>Nom</w:t>
            </w:r>
          </w:p>
        </w:tc>
        <w:tc>
          <w:tcPr>
            <w:tcW w:w="1553" w:type="dxa"/>
            <w:vMerge w:val="restart"/>
            <w:shd w:val="clear" w:color="auto" w:fill="BDD7EE"/>
            <w:vAlign w:val="center"/>
            <w:hideMark/>
          </w:tcPr>
          <w:p w14:paraId="36F0C51F" w14:textId="77777777" w:rsidR="00A00259" w:rsidRDefault="00371282">
            <w:pPr>
              <w:pStyle w:val="P68B1DB1-Normal15"/>
              <w:spacing w:after="0" w:line="240" w:lineRule="auto"/>
              <w:jc w:val="center"/>
              <w:rPr>
                <w:rFonts w:eastAsia="Times New Roman"/>
                <w:bCs/>
                <w:noProof/>
              </w:rPr>
            </w:pPr>
            <w:r>
              <w:rPr>
                <w:noProof/>
              </w:rPr>
              <w:t>Indicateurs qualitatifs (pour les jalons)</w:t>
            </w:r>
          </w:p>
        </w:tc>
        <w:tc>
          <w:tcPr>
            <w:tcW w:w="3505" w:type="dxa"/>
            <w:gridSpan w:val="3"/>
            <w:shd w:val="clear" w:color="auto" w:fill="BDD7EE"/>
            <w:vAlign w:val="center"/>
            <w:hideMark/>
          </w:tcPr>
          <w:p w14:paraId="4DC6FDBE" w14:textId="77777777" w:rsidR="00A00259" w:rsidRDefault="00371282">
            <w:pPr>
              <w:pStyle w:val="P68B1DB1-Normal15"/>
              <w:spacing w:after="0" w:line="240" w:lineRule="auto"/>
              <w:jc w:val="center"/>
              <w:rPr>
                <w:rFonts w:eastAsia="Times New Roman"/>
                <w:bCs/>
                <w:noProof/>
              </w:rPr>
            </w:pPr>
            <w:r>
              <w:rPr>
                <w:noProof/>
              </w:rPr>
              <w:t>Indicateurs quantitatifs (pour les objectifs)</w:t>
            </w:r>
          </w:p>
        </w:tc>
        <w:tc>
          <w:tcPr>
            <w:tcW w:w="1287" w:type="dxa"/>
            <w:gridSpan w:val="2"/>
            <w:shd w:val="clear" w:color="auto" w:fill="BDD7EE"/>
            <w:vAlign w:val="center"/>
            <w:hideMark/>
          </w:tcPr>
          <w:p w14:paraId="660146CD" w14:textId="77777777" w:rsidR="00A00259" w:rsidRDefault="00371282">
            <w:pPr>
              <w:pStyle w:val="P68B1DB1-Normal15"/>
              <w:spacing w:after="0" w:line="240" w:lineRule="auto"/>
              <w:jc w:val="center"/>
              <w:rPr>
                <w:rFonts w:eastAsia="Times New Roman"/>
                <w:bCs/>
                <w:noProof/>
              </w:rPr>
            </w:pPr>
            <w:r>
              <w:rPr>
                <w:noProof/>
              </w:rPr>
              <w:t xml:space="preserve">Calendrier indicatif d'achèvement </w:t>
            </w:r>
          </w:p>
        </w:tc>
        <w:tc>
          <w:tcPr>
            <w:tcW w:w="3880" w:type="dxa"/>
            <w:vMerge w:val="restart"/>
            <w:shd w:val="clear" w:color="auto" w:fill="BDD7EE"/>
            <w:vAlign w:val="center"/>
            <w:hideMark/>
          </w:tcPr>
          <w:p w14:paraId="5A060C13" w14:textId="77777777" w:rsidR="00A00259" w:rsidRDefault="00371282">
            <w:pPr>
              <w:pStyle w:val="P68B1DB1-Normal15"/>
              <w:spacing w:after="0" w:line="240" w:lineRule="auto"/>
              <w:jc w:val="center"/>
              <w:rPr>
                <w:rFonts w:eastAsia="Times New Roman"/>
                <w:bCs/>
                <w:noProof/>
              </w:rPr>
            </w:pPr>
            <w:r>
              <w:rPr>
                <w:noProof/>
              </w:rPr>
              <w:t>Description de chaque jalon et cible</w:t>
            </w:r>
          </w:p>
        </w:tc>
      </w:tr>
      <w:tr w:rsidR="00A00259" w14:paraId="35B3DDF8" w14:textId="77777777" w:rsidTr="0007083E">
        <w:trPr>
          <w:trHeight w:val="432"/>
          <w:tblHeader/>
          <w:jc w:val="center"/>
        </w:trPr>
        <w:tc>
          <w:tcPr>
            <w:tcW w:w="607" w:type="dxa"/>
            <w:vMerge/>
            <w:vAlign w:val="center"/>
            <w:hideMark/>
          </w:tcPr>
          <w:p w14:paraId="5FA4CC85" w14:textId="77777777" w:rsidR="00A00259" w:rsidRDefault="00A00259">
            <w:pPr>
              <w:spacing w:after="0" w:line="240" w:lineRule="auto"/>
              <w:rPr>
                <w:rFonts w:ascii="Times New Roman" w:eastAsia="Times New Roman" w:hAnsi="Times New Roman" w:cs="Times New Roman"/>
                <w:b/>
                <w:bCs/>
                <w:noProof/>
                <w:sz w:val="18"/>
                <w:szCs w:val="18"/>
              </w:rPr>
            </w:pPr>
          </w:p>
        </w:tc>
        <w:tc>
          <w:tcPr>
            <w:tcW w:w="2040" w:type="dxa"/>
            <w:vMerge/>
            <w:vAlign w:val="center"/>
            <w:hideMark/>
          </w:tcPr>
          <w:p w14:paraId="5046ECFF" w14:textId="77777777" w:rsidR="00A00259" w:rsidRDefault="00A00259">
            <w:pPr>
              <w:spacing w:after="0" w:line="240" w:lineRule="auto"/>
              <w:rPr>
                <w:rFonts w:ascii="Times New Roman" w:eastAsia="Times New Roman" w:hAnsi="Times New Roman" w:cs="Times New Roman"/>
                <w:b/>
                <w:bCs/>
                <w:noProof/>
                <w:sz w:val="18"/>
                <w:szCs w:val="18"/>
              </w:rPr>
            </w:pPr>
          </w:p>
        </w:tc>
        <w:tc>
          <w:tcPr>
            <w:tcW w:w="1144" w:type="dxa"/>
            <w:vMerge/>
            <w:vAlign w:val="center"/>
            <w:hideMark/>
          </w:tcPr>
          <w:p w14:paraId="4BFED4F1" w14:textId="77777777" w:rsidR="00A00259" w:rsidRDefault="00A00259">
            <w:pPr>
              <w:spacing w:after="0" w:line="240" w:lineRule="auto"/>
              <w:rPr>
                <w:rFonts w:ascii="Times New Roman" w:eastAsia="Times New Roman" w:hAnsi="Times New Roman" w:cs="Times New Roman"/>
                <w:b/>
                <w:bCs/>
                <w:noProof/>
                <w:sz w:val="18"/>
                <w:szCs w:val="18"/>
              </w:rPr>
            </w:pPr>
          </w:p>
        </w:tc>
        <w:tc>
          <w:tcPr>
            <w:tcW w:w="1877" w:type="dxa"/>
            <w:vMerge/>
            <w:vAlign w:val="center"/>
            <w:hideMark/>
          </w:tcPr>
          <w:p w14:paraId="0A3C0762" w14:textId="77777777" w:rsidR="00A00259" w:rsidRDefault="00A00259">
            <w:pPr>
              <w:spacing w:after="0" w:line="240" w:lineRule="auto"/>
              <w:rPr>
                <w:rFonts w:ascii="Times New Roman" w:eastAsia="Times New Roman" w:hAnsi="Times New Roman" w:cs="Times New Roman"/>
                <w:b/>
                <w:bCs/>
                <w:noProof/>
                <w:sz w:val="18"/>
                <w:szCs w:val="18"/>
              </w:rPr>
            </w:pPr>
          </w:p>
        </w:tc>
        <w:tc>
          <w:tcPr>
            <w:tcW w:w="1553" w:type="dxa"/>
            <w:vMerge/>
            <w:vAlign w:val="center"/>
            <w:hideMark/>
          </w:tcPr>
          <w:p w14:paraId="3BF3E84F" w14:textId="77777777" w:rsidR="00A00259" w:rsidRDefault="00A00259">
            <w:pPr>
              <w:spacing w:after="0" w:line="240" w:lineRule="auto"/>
              <w:rPr>
                <w:rFonts w:ascii="Times New Roman" w:eastAsia="Times New Roman" w:hAnsi="Times New Roman" w:cs="Times New Roman"/>
                <w:b/>
                <w:bCs/>
                <w:noProof/>
                <w:sz w:val="18"/>
                <w:szCs w:val="18"/>
              </w:rPr>
            </w:pPr>
          </w:p>
        </w:tc>
        <w:tc>
          <w:tcPr>
            <w:tcW w:w="1390" w:type="dxa"/>
            <w:shd w:val="clear" w:color="auto" w:fill="BDD7EE"/>
            <w:vAlign w:val="center"/>
            <w:hideMark/>
          </w:tcPr>
          <w:p w14:paraId="1723F0E6" w14:textId="77777777" w:rsidR="00A00259" w:rsidRDefault="00371282">
            <w:pPr>
              <w:pStyle w:val="P68B1DB1-Normal15"/>
              <w:spacing w:after="0" w:line="240" w:lineRule="auto"/>
              <w:jc w:val="center"/>
              <w:rPr>
                <w:rFonts w:eastAsia="Times New Roman"/>
                <w:bCs/>
                <w:noProof/>
              </w:rPr>
            </w:pPr>
            <w:r>
              <w:rPr>
                <w:noProof/>
              </w:rPr>
              <w:t>Unité de mesure</w:t>
            </w:r>
          </w:p>
        </w:tc>
        <w:tc>
          <w:tcPr>
            <w:tcW w:w="1134" w:type="dxa"/>
            <w:shd w:val="clear" w:color="auto" w:fill="BDD7EE"/>
            <w:vAlign w:val="center"/>
            <w:hideMark/>
          </w:tcPr>
          <w:p w14:paraId="58DD64FF" w14:textId="77777777" w:rsidR="00A00259" w:rsidRDefault="00371282">
            <w:pPr>
              <w:pStyle w:val="P68B1DB1-Normal15"/>
              <w:spacing w:after="0" w:line="240" w:lineRule="auto"/>
              <w:jc w:val="center"/>
              <w:rPr>
                <w:rFonts w:eastAsia="Times New Roman"/>
                <w:bCs/>
                <w:noProof/>
              </w:rPr>
            </w:pPr>
            <w:r>
              <w:rPr>
                <w:noProof/>
              </w:rPr>
              <w:t xml:space="preserve">Données de référence </w:t>
            </w:r>
          </w:p>
        </w:tc>
        <w:tc>
          <w:tcPr>
            <w:tcW w:w="981" w:type="dxa"/>
            <w:shd w:val="clear" w:color="auto" w:fill="BDD7EE"/>
            <w:vAlign w:val="center"/>
            <w:hideMark/>
          </w:tcPr>
          <w:p w14:paraId="40786261" w14:textId="77777777" w:rsidR="00A00259" w:rsidRDefault="00371282">
            <w:pPr>
              <w:pStyle w:val="P68B1DB1-Normal15"/>
              <w:spacing w:after="0" w:line="240" w:lineRule="auto"/>
              <w:jc w:val="center"/>
              <w:rPr>
                <w:rFonts w:eastAsia="Times New Roman"/>
                <w:bCs/>
                <w:noProof/>
              </w:rPr>
            </w:pPr>
            <w:r>
              <w:rPr>
                <w:noProof/>
              </w:rPr>
              <w:t xml:space="preserve">Objectif </w:t>
            </w:r>
          </w:p>
        </w:tc>
        <w:tc>
          <w:tcPr>
            <w:tcW w:w="578" w:type="dxa"/>
            <w:shd w:val="clear" w:color="auto" w:fill="BDD7EE"/>
            <w:vAlign w:val="center"/>
            <w:hideMark/>
          </w:tcPr>
          <w:p w14:paraId="6562F19C" w14:textId="77777777" w:rsidR="00A00259" w:rsidRDefault="00371282">
            <w:pPr>
              <w:pStyle w:val="P68B1DB1-Normal15"/>
              <w:spacing w:after="0" w:line="240" w:lineRule="auto"/>
              <w:jc w:val="center"/>
              <w:rPr>
                <w:rFonts w:eastAsia="Times New Roman"/>
                <w:bCs/>
                <w:noProof/>
              </w:rPr>
            </w:pPr>
            <w:r>
              <w:rPr>
                <w:noProof/>
              </w:rPr>
              <w:t>Trimestre</w:t>
            </w:r>
          </w:p>
        </w:tc>
        <w:tc>
          <w:tcPr>
            <w:tcW w:w="709" w:type="dxa"/>
            <w:shd w:val="clear" w:color="auto" w:fill="BDD7EE"/>
            <w:vAlign w:val="center"/>
            <w:hideMark/>
          </w:tcPr>
          <w:p w14:paraId="1FDBEDBA" w14:textId="77777777" w:rsidR="00A00259" w:rsidRDefault="00371282">
            <w:pPr>
              <w:pStyle w:val="P68B1DB1-Normal15"/>
              <w:spacing w:after="0" w:line="240" w:lineRule="auto"/>
              <w:jc w:val="center"/>
              <w:rPr>
                <w:rFonts w:eastAsia="Times New Roman"/>
                <w:bCs/>
                <w:noProof/>
              </w:rPr>
            </w:pPr>
            <w:r>
              <w:rPr>
                <w:noProof/>
              </w:rPr>
              <w:t>Année</w:t>
            </w:r>
          </w:p>
        </w:tc>
        <w:tc>
          <w:tcPr>
            <w:tcW w:w="3880" w:type="dxa"/>
            <w:vMerge/>
            <w:vAlign w:val="center"/>
            <w:hideMark/>
          </w:tcPr>
          <w:p w14:paraId="533BBC4E"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7DCA5D1E" w14:textId="77777777" w:rsidTr="0007083E">
        <w:trPr>
          <w:trHeight w:val="313"/>
          <w:jc w:val="center"/>
        </w:trPr>
        <w:tc>
          <w:tcPr>
            <w:tcW w:w="607" w:type="dxa"/>
            <w:shd w:val="clear" w:color="auto" w:fill="C6EFCE"/>
            <w:noWrap/>
          </w:tcPr>
          <w:p w14:paraId="50574092" w14:textId="77777777" w:rsidR="00A00259" w:rsidRDefault="00371282">
            <w:pPr>
              <w:pStyle w:val="P68B1DB1-Normal12"/>
              <w:spacing w:after="0" w:line="240" w:lineRule="auto"/>
              <w:rPr>
                <w:rFonts w:eastAsia="Times New Roman"/>
                <w:noProof/>
              </w:rPr>
            </w:pPr>
            <w:r>
              <w:rPr>
                <w:noProof/>
              </w:rPr>
              <w:t>167</w:t>
            </w:r>
          </w:p>
          <w:p w14:paraId="3E54F3D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2040" w:type="dxa"/>
            <w:shd w:val="clear" w:color="auto" w:fill="C6EFCE"/>
            <w:noWrap/>
          </w:tcPr>
          <w:p w14:paraId="5C1B2791" w14:textId="77777777"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- 16752_Transformation numérique de la santé (DigHealth)</w:t>
            </w:r>
          </w:p>
        </w:tc>
        <w:tc>
          <w:tcPr>
            <w:tcW w:w="1144" w:type="dxa"/>
            <w:shd w:val="clear" w:color="auto" w:fill="C6EFCE"/>
            <w:noWrap/>
          </w:tcPr>
          <w:p w14:paraId="18C9C2D0" w14:textId="77777777" w:rsidR="00A00259" w:rsidRDefault="00371282">
            <w:pPr>
              <w:pStyle w:val="P68B1DB1-Normal12"/>
              <w:spacing w:after="0" w:line="240" w:lineRule="auto"/>
              <w:rPr>
                <w:rFonts w:eastAsia="Times New Roman"/>
                <w:noProof/>
              </w:rPr>
            </w:pPr>
            <w:r>
              <w:rPr>
                <w:noProof/>
              </w:rPr>
              <w:t>Étape</w:t>
            </w:r>
          </w:p>
        </w:tc>
        <w:tc>
          <w:tcPr>
            <w:tcW w:w="1877" w:type="dxa"/>
            <w:shd w:val="clear" w:color="auto" w:fill="C6EFCE"/>
            <w:noWrap/>
          </w:tcPr>
          <w:p w14:paraId="0F4376F0" w14:textId="77777777" w:rsidR="00A00259" w:rsidRDefault="00371282">
            <w:pPr>
              <w:pStyle w:val="P68B1DB1-Normal12"/>
              <w:spacing w:after="0" w:line="240" w:lineRule="auto"/>
              <w:rPr>
                <w:rFonts w:eastAsia="Times New Roman"/>
                <w:noProof/>
              </w:rPr>
            </w:pPr>
            <w:r>
              <w:rPr>
                <w:noProof/>
              </w:rPr>
              <w:t>Transformation numérique des soins de santé - Dossier de santé numérique national (sous-projet 1)</w:t>
            </w:r>
          </w:p>
        </w:tc>
        <w:tc>
          <w:tcPr>
            <w:tcW w:w="1553" w:type="dxa"/>
            <w:shd w:val="clear" w:color="auto" w:fill="C6EFCE"/>
            <w:noWrap/>
          </w:tcPr>
          <w:p w14:paraId="2A3692B5" w14:textId="77777777" w:rsidR="00A00259" w:rsidRDefault="00371282">
            <w:pPr>
              <w:pStyle w:val="P68B1DB1-Normal12"/>
              <w:spacing w:after="0" w:line="240" w:lineRule="auto"/>
              <w:rPr>
                <w:rFonts w:eastAsia="Times New Roman"/>
                <w:noProof/>
              </w:rPr>
            </w:pPr>
            <w:r>
              <w:rPr>
                <w:noProof/>
              </w:rPr>
              <w:t>Rapport attestant de l'achèvement de tous les principaux éléments du sous-projet 1 (Dossier de santé numérique - voir Description)</w:t>
            </w:r>
          </w:p>
        </w:tc>
        <w:tc>
          <w:tcPr>
            <w:tcW w:w="1390" w:type="dxa"/>
            <w:shd w:val="clear" w:color="auto" w:fill="C6EFCE"/>
            <w:noWrap/>
          </w:tcPr>
          <w:p w14:paraId="0AA6E21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3F3CC9B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81" w:type="dxa"/>
            <w:shd w:val="clear" w:color="auto" w:fill="C6EFCE"/>
            <w:noWrap/>
          </w:tcPr>
          <w:p w14:paraId="1A12B21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78" w:type="dxa"/>
            <w:shd w:val="clear" w:color="auto" w:fill="C6EFCE"/>
            <w:noWrap/>
          </w:tcPr>
          <w:p w14:paraId="5A4702EE" w14:textId="77777777" w:rsidR="00A00259" w:rsidRDefault="00371282">
            <w:pPr>
              <w:pStyle w:val="P68B1DB1-Normal12"/>
              <w:spacing w:after="0" w:line="240" w:lineRule="auto"/>
              <w:rPr>
                <w:rFonts w:eastAsia="Times New Roman"/>
                <w:noProof/>
              </w:rPr>
            </w:pPr>
            <w:r>
              <w:rPr>
                <w:noProof/>
              </w:rPr>
              <w:t>T2</w:t>
            </w:r>
          </w:p>
        </w:tc>
        <w:tc>
          <w:tcPr>
            <w:tcW w:w="709" w:type="dxa"/>
            <w:shd w:val="clear" w:color="auto" w:fill="C6EFCE"/>
            <w:noWrap/>
          </w:tcPr>
          <w:p w14:paraId="714857D9" w14:textId="77777777" w:rsidR="00A00259" w:rsidRDefault="00371282">
            <w:pPr>
              <w:pStyle w:val="P68B1DB1-Normal12"/>
              <w:spacing w:after="0" w:line="240" w:lineRule="auto"/>
              <w:rPr>
                <w:rFonts w:eastAsia="Times New Roman"/>
                <w:noProof/>
              </w:rPr>
            </w:pPr>
            <w:r>
              <w:rPr>
                <w:noProof/>
              </w:rPr>
              <w:t>2024</w:t>
            </w:r>
          </w:p>
        </w:tc>
        <w:tc>
          <w:tcPr>
            <w:tcW w:w="3880" w:type="dxa"/>
            <w:shd w:val="clear" w:color="auto" w:fill="C6EFCE"/>
            <w:noWrap/>
          </w:tcPr>
          <w:p w14:paraId="7F5F158A" w14:textId="77777777" w:rsidR="00A00259" w:rsidRDefault="00371282">
            <w:pPr>
              <w:pStyle w:val="P68B1DB1-Normal12"/>
              <w:spacing w:after="0" w:line="240" w:lineRule="auto"/>
              <w:rPr>
                <w:rFonts w:eastAsia="Times New Roman"/>
                <w:noProof/>
              </w:rPr>
            </w:pPr>
            <w:r>
              <w:rPr>
                <w:noProof/>
              </w:rPr>
              <w:t>Finalisation et mise en œuvre d’au moins tous les éléments suivants du sous-projet 1 à l’appui de la transformation numérique du système de soins de santé rendant opérationnel le dossier de santé numérique national: 1) les documents cliniques, 2) les services terminologiques, 3) le cadre national d'interopérabilité en matière de santé en ligne, 4) la collecte de tous les résultats de laboratoire dans le dossier de santé en ligne, 5) la collecte des lettres de décharge.</w:t>
            </w:r>
          </w:p>
        </w:tc>
      </w:tr>
      <w:tr w:rsidR="00A00259" w14:paraId="7D74AA00" w14:textId="77777777" w:rsidTr="0007083E">
        <w:trPr>
          <w:trHeight w:val="313"/>
          <w:jc w:val="center"/>
        </w:trPr>
        <w:tc>
          <w:tcPr>
            <w:tcW w:w="607" w:type="dxa"/>
            <w:shd w:val="clear" w:color="auto" w:fill="C6EFCE"/>
            <w:noWrap/>
          </w:tcPr>
          <w:p w14:paraId="57635031" w14:textId="77777777" w:rsidR="00A00259" w:rsidRDefault="00371282">
            <w:pPr>
              <w:pStyle w:val="P68B1DB1-Normal12"/>
              <w:spacing w:after="0" w:line="240" w:lineRule="auto"/>
              <w:rPr>
                <w:rFonts w:eastAsia="Times New Roman"/>
                <w:noProof/>
              </w:rPr>
            </w:pPr>
            <w:r>
              <w:rPr>
                <w:noProof/>
              </w:rPr>
              <w:t>168</w:t>
            </w:r>
          </w:p>
        </w:tc>
        <w:tc>
          <w:tcPr>
            <w:tcW w:w="2040" w:type="dxa"/>
            <w:shd w:val="clear" w:color="auto" w:fill="C6EFCE"/>
            <w:noWrap/>
          </w:tcPr>
          <w:p w14:paraId="1808513A" w14:textId="77777777"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- 16752_Transformation numérique de la santé (DigHealth)</w:t>
            </w:r>
          </w:p>
        </w:tc>
        <w:tc>
          <w:tcPr>
            <w:tcW w:w="1144" w:type="dxa"/>
            <w:shd w:val="clear" w:color="auto" w:fill="C6EFCE"/>
            <w:noWrap/>
          </w:tcPr>
          <w:p w14:paraId="1220E75A" w14:textId="77777777" w:rsidR="00A00259" w:rsidRDefault="00371282">
            <w:pPr>
              <w:pStyle w:val="P68B1DB1-Normal12"/>
              <w:spacing w:after="0" w:line="240" w:lineRule="auto"/>
              <w:rPr>
                <w:rFonts w:eastAsia="Times New Roman"/>
                <w:noProof/>
              </w:rPr>
            </w:pPr>
            <w:r>
              <w:rPr>
                <w:noProof/>
              </w:rPr>
              <w:t>Étape</w:t>
            </w:r>
          </w:p>
        </w:tc>
        <w:tc>
          <w:tcPr>
            <w:tcW w:w="1877" w:type="dxa"/>
            <w:shd w:val="clear" w:color="auto" w:fill="C6EFCE"/>
            <w:noWrap/>
          </w:tcPr>
          <w:p w14:paraId="135833E7" w14:textId="77777777" w:rsidR="00A00259" w:rsidRDefault="00371282">
            <w:pPr>
              <w:pStyle w:val="P68B1DB1-Normal12"/>
              <w:spacing w:after="0" w:line="240" w:lineRule="auto"/>
              <w:rPr>
                <w:noProof/>
              </w:rPr>
            </w:pPr>
            <w:r>
              <w:rPr>
                <w:noProof/>
              </w:rPr>
              <w:t>Transformation numérique – Extension du système de création et de gestion des rendez-vous dans le cadre du programme national de vaccination contre la COVID-19, mise à niveau de l’infrastructure du système de prescription électronique</w:t>
            </w:r>
          </w:p>
        </w:tc>
        <w:tc>
          <w:tcPr>
            <w:tcW w:w="1553" w:type="dxa"/>
            <w:shd w:val="clear" w:color="auto" w:fill="C6EFCE"/>
            <w:noWrap/>
          </w:tcPr>
          <w:p w14:paraId="39CBCDFB" w14:textId="77777777" w:rsidR="00A00259" w:rsidRDefault="00371282">
            <w:pPr>
              <w:pStyle w:val="P68B1DB1-Normal27"/>
              <w:spacing w:after="0" w:line="240" w:lineRule="auto"/>
              <w:rPr>
                <w:noProof/>
              </w:rPr>
            </w:pPr>
            <w:r>
              <w:rPr>
                <w:noProof/>
              </w:rPr>
              <w:t>1. Élargissement du système de création et de gestion des rendez-vous dans le cadre du Programme national de vaccination contre la COVID-19</w:t>
            </w:r>
          </w:p>
          <w:p w14:paraId="5AA9DE57" w14:textId="77777777" w:rsidR="00A00259" w:rsidRDefault="00371282">
            <w:pPr>
              <w:pStyle w:val="P68B1DB1-Normal27"/>
              <w:spacing w:after="0" w:line="240" w:lineRule="auto"/>
              <w:rPr>
                <w:rFonts w:eastAsia="Times New Roman"/>
                <w:noProof/>
              </w:rPr>
            </w:pPr>
            <w:r>
              <w:rPr>
                <w:noProof/>
              </w:rPr>
              <w:t xml:space="preserve">2. Mise à niveau de l'infrastructure du système électronique de prescription </w:t>
            </w:r>
          </w:p>
        </w:tc>
        <w:tc>
          <w:tcPr>
            <w:tcW w:w="1390" w:type="dxa"/>
            <w:shd w:val="clear" w:color="auto" w:fill="C6EFCE"/>
            <w:noWrap/>
          </w:tcPr>
          <w:p w14:paraId="41C3865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0506D16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81" w:type="dxa"/>
            <w:shd w:val="clear" w:color="auto" w:fill="C6EFCE"/>
            <w:noWrap/>
          </w:tcPr>
          <w:p w14:paraId="719BABD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78" w:type="dxa"/>
            <w:shd w:val="clear" w:color="auto" w:fill="C6EFCE"/>
            <w:noWrap/>
          </w:tcPr>
          <w:p w14:paraId="7C1D2283" w14:textId="77777777" w:rsidR="00A00259" w:rsidRDefault="00371282">
            <w:pPr>
              <w:pStyle w:val="P68B1DB1-Normal12"/>
              <w:spacing w:after="0" w:line="240" w:lineRule="auto"/>
              <w:rPr>
                <w:rFonts w:eastAsia="Times New Roman"/>
                <w:noProof/>
              </w:rPr>
            </w:pPr>
            <w:r>
              <w:rPr>
                <w:noProof/>
              </w:rPr>
              <w:t>T2</w:t>
            </w:r>
          </w:p>
        </w:tc>
        <w:tc>
          <w:tcPr>
            <w:tcW w:w="709" w:type="dxa"/>
            <w:shd w:val="clear" w:color="auto" w:fill="C6EFCE"/>
            <w:noWrap/>
          </w:tcPr>
          <w:p w14:paraId="04C1E4B8" w14:textId="77777777" w:rsidR="00A00259" w:rsidRDefault="00371282">
            <w:pPr>
              <w:pStyle w:val="P68B1DB1-Normal12"/>
              <w:spacing w:after="0" w:line="240" w:lineRule="auto"/>
              <w:rPr>
                <w:rFonts w:eastAsia="Times New Roman"/>
                <w:noProof/>
              </w:rPr>
            </w:pPr>
            <w:r>
              <w:rPr>
                <w:noProof/>
              </w:rPr>
              <w:t>2025</w:t>
            </w:r>
          </w:p>
        </w:tc>
        <w:tc>
          <w:tcPr>
            <w:tcW w:w="3880" w:type="dxa"/>
            <w:shd w:val="clear" w:color="auto" w:fill="C6EFCE"/>
            <w:noWrap/>
          </w:tcPr>
          <w:p w14:paraId="1D701454" w14:textId="77777777" w:rsidR="00A00259" w:rsidRDefault="00371282">
            <w:pPr>
              <w:pStyle w:val="P68B1DB1-Normal27"/>
              <w:spacing w:after="0" w:line="240" w:lineRule="auto"/>
              <w:rPr>
                <w:noProof/>
              </w:rPr>
            </w:pPr>
            <w:r>
              <w:rPr>
                <w:noProof/>
              </w:rPr>
              <w:t>1. Élargissement du système de création et de gestion des rendez-vous dans le cadre du Programme national de vaccination contre la COVID-19</w:t>
            </w:r>
          </w:p>
          <w:p w14:paraId="6FC897CE" w14:textId="77777777" w:rsidR="00A00259" w:rsidRDefault="00371282">
            <w:pPr>
              <w:pStyle w:val="P68B1DB1-Normal27"/>
              <w:spacing w:after="0" w:line="240" w:lineRule="auto"/>
              <w:rPr>
                <w:noProof/>
              </w:rPr>
            </w:pPr>
            <w:r>
              <w:rPr>
                <w:noProof/>
              </w:rPr>
              <w:t xml:space="preserve">2. Mise à niveau de l'infrastructure du système électronique de prescription </w:t>
            </w:r>
          </w:p>
        </w:tc>
      </w:tr>
      <w:tr w:rsidR="00A00259" w14:paraId="05881745" w14:textId="77777777" w:rsidTr="0007083E">
        <w:trPr>
          <w:trHeight w:val="313"/>
          <w:jc w:val="center"/>
        </w:trPr>
        <w:tc>
          <w:tcPr>
            <w:tcW w:w="607" w:type="dxa"/>
            <w:shd w:val="clear" w:color="auto" w:fill="C6EFCE"/>
            <w:noWrap/>
          </w:tcPr>
          <w:p w14:paraId="7FAABF0D" w14:textId="77777777" w:rsidR="00A00259" w:rsidRDefault="00371282">
            <w:pPr>
              <w:pStyle w:val="P68B1DB1-Normal12"/>
              <w:spacing w:after="0" w:line="240" w:lineRule="auto"/>
              <w:rPr>
                <w:rFonts w:eastAsia="Times New Roman"/>
                <w:noProof/>
              </w:rPr>
            </w:pPr>
            <w:r>
              <w:rPr>
                <w:noProof/>
              </w:rPr>
              <w:t>169</w:t>
            </w:r>
          </w:p>
        </w:tc>
        <w:tc>
          <w:tcPr>
            <w:tcW w:w="2040" w:type="dxa"/>
            <w:shd w:val="clear" w:color="auto" w:fill="C6EFCE"/>
            <w:noWrap/>
          </w:tcPr>
          <w:p w14:paraId="54705C11" w14:textId="77777777"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- 16753_Établissement de systèmes de soins de santé à domicile &amp; Hospital at Home</w:t>
            </w:r>
          </w:p>
        </w:tc>
        <w:tc>
          <w:tcPr>
            <w:tcW w:w="1144" w:type="dxa"/>
            <w:shd w:val="clear" w:color="auto" w:fill="C6EFCE"/>
            <w:noWrap/>
          </w:tcPr>
          <w:p w14:paraId="7588EC3D" w14:textId="77777777" w:rsidR="00A00259" w:rsidRDefault="00371282">
            <w:pPr>
              <w:pStyle w:val="P68B1DB1-Normal12"/>
              <w:spacing w:after="0" w:line="240" w:lineRule="auto"/>
              <w:rPr>
                <w:rFonts w:eastAsia="Times New Roman"/>
                <w:noProof/>
              </w:rPr>
            </w:pPr>
            <w:r>
              <w:rPr>
                <w:noProof/>
              </w:rPr>
              <w:t>Étape</w:t>
            </w:r>
          </w:p>
        </w:tc>
        <w:tc>
          <w:tcPr>
            <w:tcW w:w="1877" w:type="dxa"/>
            <w:shd w:val="clear" w:color="auto" w:fill="C6EFCE"/>
            <w:noWrap/>
          </w:tcPr>
          <w:p w14:paraId="20DBC7DD" w14:textId="289B025B" w:rsidR="00A00259" w:rsidRDefault="00371282">
            <w:pPr>
              <w:pStyle w:val="P68B1DB1-Normal12"/>
              <w:spacing w:after="0" w:line="240" w:lineRule="auto"/>
              <w:rPr>
                <w:noProof/>
              </w:rPr>
            </w:pPr>
            <w:r>
              <w:rPr>
                <w:noProof/>
              </w:rPr>
              <w:t>Centres de référence pour les soins à domicile</w:t>
            </w:r>
          </w:p>
        </w:tc>
        <w:tc>
          <w:tcPr>
            <w:tcW w:w="1553" w:type="dxa"/>
            <w:shd w:val="clear" w:color="auto" w:fill="C6EFCE"/>
            <w:noWrap/>
          </w:tcPr>
          <w:p w14:paraId="2A8F2BC0" w14:textId="2A256F57" w:rsidR="00A00259" w:rsidRDefault="00371282">
            <w:pPr>
              <w:pStyle w:val="P68B1DB1-Normal12"/>
              <w:spacing w:after="0" w:line="240" w:lineRule="auto"/>
              <w:rPr>
                <w:noProof/>
              </w:rPr>
            </w:pPr>
            <w:r>
              <w:rPr>
                <w:noProof/>
              </w:rPr>
              <w:t>Huit centres de référence en soins à domicile ont obtenu une participation</w:t>
            </w:r>
          </w:p>
        </w:tc>
        <w:tc>
          <w:tcPr>
            <w:tcW w:w="1390" w:type="dxa"/>
            <w:shd w:val="clear" w:color="auto" w:fill="C6EFCE"/>
            <w:noWrap/>
          </w:tcPr>
          <w:p w14:paraId="518E1CA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53EDD31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81" w:type="dxa"/>
            <w:shd w:val="clear" w:color="auto" w:fill="C6EFCE"/>
            <w:noWrap/>
          </w:tcPr>
          <w:p w14:paraId="65C8CBF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78" w:type="dxa"/>
            <w:shd w:val="clear" w:color="auto" w:fill="C6EFCE"/>
            <w:noWrap/>
          </w:tcPr>
          <w:p w14:paraId="634580B2" w14:textId="77777777" w:rsidR="00A00259" w:rsidRDefault="00371282">
            <w:pPr>
              <w:pStyle w:val="P68B1DB1-Normal12"/>
              <w:spacing w:after="0" w:line="240" w:lineRule="auto"/>
              <w:rPr>
                <w:rFonts w:eastAsia="Times New Roman"/>
                <w:noProof/>
              </w:rPr>
            </w:pPr>
            <w:r>
              <w:rPr>
                <w:noProof/>
              </w:rPr>
              <w:t>T2</w:t>
            </w:r>
          </w:p>
        </w:tc>
        <w:tc>
          <w:tcPr>
            <w:tcW w:w="709" w:type="dxa"/>
            <w:shd w:val="clear" w:color="auto" w:fill="C6EFCE"/>
            <w:noWrap/>
          </w:tcPr>
          <w:p w14:paraId="7C670ED1" w14:textId="77777777" w:rsidR="00A00259" w:rsidRDefault="00371282">
            <w:pPr>
              <w:pStyle w:val="P68B1DB1-Normal12"/>
              <w:spacing w:after="0" w:line="240" w:lineRule="auto"/>
              <w:rPr>
                <w:rFonts w:eastAsia="Times New Roman"/>
                <w:noProof/>
              </w:rPr>
            </w:pPr>
            <w:r>
              <w:rPr>
                <w:noProof/>
              </w:rPr>
              <w:t>2025</w:t>
            </w:r>
          </w:p>
        </w:tc>
        <w:tc>
          <w:tcPr>
            <w:tcW w:w="3880" w:type="dxa"/>
            <w:shd w:val="clear" w:color="auto" w:fill="C6EFCE"/>
            <w:noWrap/>
          </w:tcPr>
          <w:p w14:paraId="18B0662F" w14:textId="432EA911" w:rsidR="00A00259" w:rsidRDefault="00371282">
            <w:pPr>
              <w:pStyle w:val="P68B1DB1-Normal12"/>
              <w:spacing w:after="0" w:line="240" w:lineRule="auto"/>
              <w:rPr>
                <w:noProof/>
              </w:rPr>
            </w:pPr>
            <w:r>
              <w:rPr>
                <w:noProof/>
              </w:rPr>
              <w:t xml:space="preserve">Huit centres de référence pour les soins à domicile ont reçu des certificats d’agrément de l’autorité régionale de la santé accordant la participation au système de soins à domicile et sont dotés en personnel (2 à Athènes, 1 à Thessalonique, 1 à Alexandroupolis, 1 à Patra, 1 à Ioannina, 1 à Iraklion et 1 à Larisa). </w:t>
            </w:r>
          </w:p>
          <w:p w14:paraId="424CCF19" w14:textId="77777777" w:rsidR="00A00259" w:rsidRDefault="00A00259">
            <w:pPr>
              <w:spacing w:after="0" w:line="240" w:lineRule="auto"/>
              <w:rPr>
                <w:rFonts w:ascii="Times New Roman" w:hAnsi="Times New Roman" w:cs="Times New Roman"/>
                <w:noProof/>
                <w:color w:val="006100"/>
                <w:sz w:val="18"/>
                <w:szCs w:val="18"/>
              </w:rPr>
            </w:pPr>
          </w:p>
          <w:p w14:paraId="17B1CA80" w14:textId="77777777" w:rsidR="00A00259" w:rsidRDefault="00371282">
            <w:pPr>
              <w:pStyle w:val="P68B1DB1-Normal12"/>
              <w:spacing w:after="0" w:line="240" w:lineRule="auto"/>
              <w:rPr>
                <w:noProof/>
              </w:rPr>
            </w:pPr>
            <w:r>
              <w:rPr>
                <w:noProof/>
              </w:rPr>
              <w:t>Fourniture d'applications et d'équipements de télémédecine, y compris la formation.</w:t>
            </w:r>
          </w:p>
          <w:p w14:paraId="1AB250DE" w14:textId="77777777" w:rsidR="00A00259" w:rsidRDefault="00A00259">
            <w:pPr>
              <w:spacing w:after="0" w:line="240" w:lineRule="auto"/>
              <w:rPr>
                <w:rFonts w:ascii="Times New Roman" w:hAnsi="Times New Roman" w:cs="Times New Roman"/>
                <w:noProof/>
                <w:color w:val="006100"/>
                <w:sz w:val="18"/>
                <w:szCs w:val="18"/>
              </w:rPr>
            </w:pPr>
          </w:p>
          <w:p w14:paraId="45D50940" w14:textId="77777777" w:rsidR="00A00259" w:rsidRDefault="00371282">
            <w:pPr>
              <w:pStyle w:val="P68B1DB1-Normal12"/>
              <w:spacing w:after="0" w:line="240" w:lineRule="auto"/>
              <w:rPr>
                <w:noProof/>
              </w:rPr>
            </w:pPr>
            <w:r>
              <w:rPr>
                <w:noProof/>
              </w:rPr>
              <w:t xml:space="preserve">Le registre national des patients traités par des soins à domicile est en ligne et accessible. </w:t>
            </w:r>
          </w:p>
          <w:p w14:paraId="18D0A35C" w14:textId="77777777" w:rsidR="00A00259" w:rsidRDefault="00A00259">
            <w:pPr>
              <w:spacing w:after="0" w:line="240" w:lineRule="auto"/>
              <w:rPr>
                <w:rFonts w:ascii="Times New Roman" w:hAnsi="Times New Roman" w:cs="Times New Roman"/>
                <w:noProof/>
                <w:color w:val="006100"/>
                <w:sz w:val="18"/>
                <w:szCs w:val="18"/>
              </w:rPr>
            </w:pPr>
          </w:p>
          <w:p w14:paraId="1717C25D" w14:textId="0D4DFECF" w:rsidR="00A00259" w:rsidRDefault="00371282">
            <w:pPr>
              <w:pStyle w:val="P68B1DB1-Normal12"/>
              <w:spacing w:after="0" w:line="240" w:lineRule="auto"/>
              <w:rPr>
                <w:rFonts w:eastAsia="Times New Roman"/>
                <w:noProof/>
              </w:rPr>
            </w:pPr>
            <w:r>
              <w:rPr>
                <w:noProof/>
              </w:rPr>
              <w:t>Établissement de protocoles et de normes de qualité pour les « soins hospitaliers à domicile ».</w:t>
            </w:r>
          </w:p>
        </w:tc>
      </w:tr>
      <w:tr w:rsidR="00A00259" w14:paraId="2919C4CB" w14:textId="77777777" w:rsidTr="0007083E">
        <w:trPr>
          <w:trHeight w:val="313"/>
          <w:jc w:val="center"/>
        </w:trPr>
        <w:tc>
          <w:tcPr>
            <w:tcW w:w="607" w:type="dxa"/>
            <w:shd w:val="clear" w:color="auto" w:fill="C6EFCE"/>
            <w:noWrap/>
          </w:tcPr>
          <w:p w14:paraId="50F16F5B" w14:textId="77777777" w:rsidR="00A00259" w:rsidRDefault="00371282">
            <w:pPr>
              <w:pStyle w:val="P68B1DB1-Normal12"/>
              <w:spacing w:after="0" w:line="240" w:lineRule="auto"/>
              <w:rPr>
                <w:rFonts w:eastAsia="Times New Roman"/>
                <w:noProof/>
              </w:rPr>
            </w:pPr>
            <w:r>
              <w:rPr>
                <w:noProof/>
              </w:rPr>
              <w:t>170</w:t>
            </w:r>
          </w:p>
        </w:tc>
        <w:tc>
          <w:tcPr>
            <w:tcW w:w="2040" w:type="dxa"/>
            <w:shd w:val="clear" w:color="auto" w:fill="C6EFCE"/>
            <w:noWrap/>
          </w:tcPr>
          <w:p w14:paraId="5949E63A" w14:textId="77777777"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- 16795_ Infrastructures de santé</w:t>
            </w:r>
          </w:p>
        </w:tc>
        <w:tc>
          <w:tcPr>
            <w:tcW w:w="1144" w:type="dxa"/>
            <w:shd w:val="clear" w:color="auto" w:fill="C6EFCE"/>
            <w:noWrap/>
          </w:tcPr>
          <w:p w14:paraId="031215B1" w14:textId="77777777" w:rsidR="00A00259" w:rsidRDefault="00371282">
            <w:pPr>
              <w:pStyle w:val="P68B1DB1-Normal12"/>
              <w:spacing w:after="0" w:line="240" w:lineRule="auto"/>
              <w:rPr>
                <w:rFonts w:eastAsia="Times New Roman"/>
                <w:noProof/>
              </w:rPr>
            </w:pPr>
            <w:r>
              <w:rPr>
                <w:noProof/>
              </w:rPr>
              <w:t>Objectif</w:t>
            </w:r>
          </w:p>
        </w:tc>
        <w:tc>
          <w:tcPr>
            <w:tcW w:w="1877" w:type="dxa"/>
            <w:shd w:val="clear" w:color="auto" w:fill="C6EFCE"/>
            <w:noWrap/>
          </w:tcPr>
          <w:p w14:paraId="67D6D9E0" w14:textId="77777777" w:rsidR="00A00259" w:rsidRDefault="00371282">
            <w:pPr>
              <w:pStyle w:val="P68B1DB1-Normal12"/>
              <w:spacing w:after="0" w:line="240" w:lineRule="auto"/>
              <w:rPr>
                <w:rFonts w:eastAsia="Times New Roman"/>
                <w:noProof/>
              </w:rPr>
            </w:pPr>
            <w:r>
              <w:rPr>
                <w:noProof/>
              </w:rPr>
              <w:t>Mise à niveau de l’infrastructure du NHS – étape 1</w:t>
            </w:r>
          </w:p>
        </w:tc>
        <w:tc>
          <w:tcPr>
            <w:tcW w:w="1553" w:type="dxa"/>
            <w:shd w:val="clear" w:color="auto" w:fill="C6EFCE"/>
            <w:noWrap/>
          </w:tcPr>
          <w:p w14:paraId="3871578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390" w:type="dxa"/>
            <w:shd w:val="clear" w:color="auto" w:fill="C6EFCE"/>
            <w:noWrap/>
          </w:tcPr>
          <w:p w14:paraId="6F375E6F" w14:textId="77777777" w:rsidR="00A00259" w:rsidRDefault="00371282">
            <w:pPr>
              <w:pStyle w:val="P68B1DB1-Normal23"/>
              <w:spacing w:after="0" w:line="240" w:lineRule="auto"/>
              <w:rPr>
                <w:noProof/>
              </w:rPr>
            </w:pPr>
            <w:r>
              <w:rPr>
                <w:noProof/>
              </w:rPr>
              <w:t>Hôpitaux rénovés</w:t>
            </w:r>
          </w:p>
        </w:tc>
        <w:tc>
          <w:tcPr>
            <w:tcW w:w="1134" w:type="dxa"/>
            <w:shd w:val="clear" w:color="auto" w:fill="C6EFCE"/>
            <w:noWrap/>
          </w:tcPr>
          <w:p w14:paraId="3A2EAF5A" w14:textId="77777777" w:rsidR="00A00259" w:rsidRDefault="00371282">
            <w:pPr>
              <w:pStyle w:val="P68B1DB1-Normal23"/>
              <w:spacing w:after="0" w:line="240" w:lineRule="auto"/>
              <w:rPr>
                <w:noProof/>
              </w:rPr>
            </w:pPr>
            <w:r>
              <w:rPr>
                <w:noProof/>
              </w:rPr>
              <w:t>0</w:t>
            </w:r>
          </w:p>
        </w:tc>
        <w:tc>
          <w:tcPr>
            <w:tcW w:w="981" w:type="dxa"/>
            <w:shd w:val="clear" w:color="auto" w:fill="C6EFCE"/>
            <w:noWrap/>
          </w:tcPr>
          <w:p w14:paraId="2C09E03F" w14:textId="77777777" w:rsidR="00A00259" w:rsidRDefault="00371282">
            <w:pPr>
              <w:pStyle w:val="P68B1DB1-Normal23"/>
              <w:spacing w:after="0" w:line="240" w:lineRule="auto"/>
              <w:rPr>
                <w:noProof/>
              </w:rPr>
            </w:pPr>
            <w:r>
              <w:rPr>
                <w:noProof/>
              </w:rPr>
              <w:t>9</w:t>
            </w:r>
          </w:p>
        </w:tc>
        <w:tc>
          <w:tcPr>
            <w:tcW w:w="578" w:type="dxa"/>
            <w:shd w:val="clear" w:color="auto" w:fill="C6EFCE"/>
            <w:noWrap/>
          </w:tcPr>
          <w:p w14:paraId="11EC8E7B"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3B22C400" w14:textId="77777777" w:rsidR="00A00259" w:rsidRDefault="00371282">
            <w:pPr>
              <w:pStyle w:val="P68B1DB1-Normal12"/>
              <w:spacing w:after="0" w:line="240" w:lineRule="auto"/>
              <w:rPr>
                <w:rFonts w:eastAsia="Times New Roman"/>
                <w:noProof/>
              </w:rPr>
            </w:pPr>
            <w:r>
              <w:rPr>
                <w:noProof/>
              </w:rPr>
              <w:t>2025</w:t>
            </w:r>
          </w:p>
        </w:tc>
        <w:tc>
          <w:tcPr>
            <w:tcW w:w="3880" w:type="dxa"/>
            <w:shd w:val="clear" w:color="auto" w:fill="C6EFCE"/>
            <w:noWrap/>
          </w:tcPr>
          <w:p w14:paraId="3FC5FA22" w14:textId="77777777" w:rsidR="00A00259" w:rsidRDefault="00371282">
            <w:pPr>
              <w:pStyle w:val="P68B1DB1-Normal12"/>
              <w:spacing w:after="0" w:line="240" w:lineRule="auto"/>
              <w:rPr>
                <w:rFonts w:eastAsia="Times New Roman"/>
                <w:noProof/>
              </w:rPr>
            </w:pPr>
            <w:r>
              <w:rPr>
                <w:noProof/>
              </w:rPr>
              <w:t>Travaux de rénovation et/ou de construction pour un total de neuf hôpitaux. </w:t>
            </w:r>
          </w:p>
        </w:tc>
      </w:tr>
      <w:tr w:rsidR="00A00259" w14:paraId="7949D6DC" w14:textId="77777777" w:rsidTr="0007083E">
        <w:trPr>
          <w:trHeight w:val="313"/>
          <w:jc w:val="center"/>
        </w:trPr>
        <w:tc>
          <w:tcPr>
            <w:tcW w:w="607" w:type="dxa"/>
            <w:shd w:val="clear" w:color="auto" w:fill="C6EFCE"/>
            <w:noWrap/>
          </w:tcPr>
          <w:p w14:paraId="5C9F5C70" w14:textId="77777777" w:rsidR="00A00259" w:rsidRDefault="00371282">
            <w:pPr>
              <w:pStyle w:val="P68B1DB1-Normal12"/>
              <w:spacing w:after="0" w:line="240" w:lineRule="auto"/>
              <w:rPr>
                <w:noProof/>
              </w:rPr>
            </w:pPr>
            <w:r>
              <w:rPr>
                <w:noProof/>
              </w:rPr>
              <w:t>170a</w:t>
            </w:r>
          </w:p>
        </w:tc>
        <w:tc>
          <w:tcPr>
            <w:tcW w:w="2040" w:type="dxa"/>
            <w:shd w:val="clear" w:color="auto" w:fill="C6EFCE"/>
            <w:noWrap/>
          </w:tcPr>
          <w:p w14:paraId="68AA1378" w14:textId="77777777" w:rsidR="00A00259" w:rsidRDefault="00371282">
            <w:pPr>
              <w:pStyle w:val="P68B1DB1-Normal12"/>
              <w:spacing w:after="0" w:line="240" w:lineRule="auto"/>
              <w:rPr>
                <w:noProof/>
              </w:rPr>
            </w:pPr>
            <w:r>
              <w:rPr>
                <w:noProof/>
              </w:rPr>
              <w:t>10 - 3.3. Améliorer la résilience, l'accessibilité et la durabilité des soins de santé - 16795_ Infrastructures de santé</w:t>
            </w:r>
          </w:p>
        </w:tc>
        <w:tc>
          <w:tcPr>
            <w:tcW w:w="1144" w:type="dxa"/>
            <w:shd w:val="clear" w:color="auto" w:fill="C6EFCE"/>
            <w:noWrap/>
          </w:tcPr>
          <w:p w14:paraId="5FB9DA2D" w14:textId="77777777" w:rsidR="00A00259" w:rsidRDefault="00371282">
            <w:pPr>
              <w:pStyle w:val="P68B1DB1-Normal12"/>
              <w:spacing w:after="0" w:line="240" w:lineRule="auto"/>
              <w:rPr>
                <w:noProof/>
              </w:rPr>
            </w:pPr>
            <w:r>
              <w:rPr>
                <w:noProof/>
              </w:rPr>
              <w:t>Objectif</w:t>
            </w:r>
          </w:p>
        </w:tc>
        <w:tc>
          <w:tcPr>
            <w:tcW w:w="1877" w:type="dxa"/>
            <w:shd w:val="clear" w:color="auto" w:fill="C6EFCE"/>
            <w:noWrap/>
          </w:tcPr>
          <w:p w14:paraId="77F3ECA7" w14:textId="77777777" w:rsidR="00A00259" w:rsidRDefault="00371282">
            <w:pPr>
              <w:pStyle w:val="P68B1DB1-Normal12"/>
              <w:spacing w:after="0" w:line="240" w:lineRule="auto"/>
              <w:rPr>
                <w:noProof/>
              </w:rPr>
            </w:pPr>
            <w:r>
              <w:rPr>
                <w:noProof/>
              </w:rPr>
              <w:t>Mise à niveau de l’infrastructure du NHS – étape 2</w:t>
            </w:r>
          </w:p>
        </w:tc>
        <w:tc>
          <w:tcPr>
            <w:tcW w:w="1553" w:type="dxa"/>
            <w:shd w:val="clear" w:color="auto" w:fill="C6EFCE"/>
            <w:noWrap/>
          </w:tcPr>
          <w:p w14:paraId="63CAA99E" w14:textId="77777777" w:rsidR="00A00259" w:rsidRDefault="00A00259">
            <w:pPr>
              <w:spacing w:after="0" w:line="240" w:lineRule="auto"/>
              <w:rPr>
                <w:rFonts w:ascii="Times New Roman" w:hAnsi="Times New Roman" w:cs="Times New Roman"/>
                <w:noProof/>
                <w:color w:val="006100"/>
                <w:sz w:val="18"/>
                <w:szCs w:val="18"/>
              </w:rPr>
            </w:pPr>
          </w:p>
        </w:tc>
        <w:tc>
          <w:tcPr>
            <w:tcW w:w="1390" w:type="dxa"/>
            <w:shd w:val="clear" w:color="auto" w:fill="C6EFCE"/>
            <w:noWrap/>
          </w:tcPr>
          <w:p w14:paraId="70DA026A" w14:textId="77777777" w:rsidR="00A00259" w:rsidRDefault="00371282">
            <w:pPr>
              <w:pStyle w:val="P68B1DB1-Normal23"/>
              <w:spacing w:after="0" w:line="240" w:lineRule="auto"/>
              <w:rPr>
                <w:noProof/>
              </w:rPr>
            </w:pPr>
            <w:r>
              <w:rPr>
                <w:noProof/>
              </w:rPr>
              <w:t>Hôpitaux rénovés</w:t>
            </w:r>
          </w:p>
        </w:tc>
        <w:tc>
          <w:tcPr>
            <w:tcW w:w="1134" w:type="dxa"/>
            <w:shd w:val="clear" w:color="auto" w:fill="C6EFCE"/>
            <w:noWrap/>
          </w:tcPr>
          <w:p w14:paraId="769B8B8C" w14:textId="77777777" w:rsidR="00A00259" w:rsidRDefault="00371282">
            <w:pPr>
              <w:pStyle w:val="P68B1DB1-Normal23"/>
              <w:spacing w:after="0" w:line="240" w:lineRule="auto"/>
              <w:rPr>
                <w:noProof/>
              </w:rPr>
            </w:pPr>
            <w:r>
              <w:rPr>
                <w:noProof/>
              </w:rPr>
              <w:t>0</w:t>
            </w:r>
          </w:p>
        </w:tc>
        <w:tc>
          <w:tcPr>
            <w:tcW w:w="981" w:type="dxa"/>
            <w:shd w:val="clear" w:color="auto" w:fill="C6EFCE"/>
            <w:noWrap/>
          </w:tcPr>
          <w:p w14:paraId="4845818E" w14:textId="77777777" w:rsidR="00A00259" w:rsidRDefault="00371282">
            <w:pPr>
              <w:pStyle w:val="P68B1DB1-Normal23"/>
              <w:spacing w:after="0" w:line="240" w:lineRule="auto"/>
              <w:rPr>
                <w:noProof/>
              </w:rPr>
            </w:pPr>
            <w:r>
              <w:rPr>
                <w:noProof/>
              </w:rPr>
              <w:t>10</w:t>
            </w:r>
          </w:p>
        </w:tc>
        <w:tc>
          <w:tcPr>
            <w:tcW w:w="578" w:type="dxa"/>
            <w:shd w:val="clear" w:color="auto" w:fill="C6EFCE"/>
            <w:noWrap/>
          </w:tcPr>
          <w:p w14:paraId="2D87FCA1" w14:textId="77777777" w:rsidR="00A00259" w:rsidRDefault="00371282">
            <w:pPr>
              <w:pStyle w:val="P68B1DB1-Normal12"/>
              <w:spacing w:after="0" w:line="240" w:lineRule="auto"/>
              <w:rPr>
                <w:noProof/>
              </w:rPr>
            </w:pPr>
            <w:r>
              <w:rPr>
                <w:noProof/>
              </w:rPr>
              <w:t>T1</w:t>
            </w:r>
          </w:p>
        </w:tc>
        <w:tc>
          <w:tcPr>
            <w:tcW w:w="709" w:type="dxa"/>
            <w:shd w:val="clear" w:color="auto" w:fill="C6EFCE"/>
            <w:noWrap/>
          </w:tcPr>
          <w:p w14:paraId="54F3705F" w14:textId="77777777" w:rsidR="00A00259" w:rsidRDefault="00371282">
            <w:pPr>
              <w:pStyle w:val="P68B1DB1-Normal12"/>
              <w:spacing w:after="0" w:line="240" w:lineRule="auto"/>
              <w:rPr>
                <w:noProof/>
              </w:rPr>
            </w:pPr>
            <w:r>
              <w:rPr>
                <w:noProof/>
              </w:rPr>
              <w:t>2026</w:t>
            </w:r>
          </w:p>
        </w:tc>
        <w:tc>
          <w:tcPr>
            <w:tcW w:w="3880" w:type="dxa"/>
            <w:shd w:val="clear" w:color="auto" w:fill="C6EFCE"/>
            <w:noWrap/>
          </w:tcPr>
          <w:p w14:paraId="1A2ADC15" w14:textId="77777777" w:rsidR="00A00259" w:rsidRDefault="00371282">
            <w:pPr>
              <w:pStyle w:val="P68B1DB1-Normal12"/>
              <w:spacing w:after="0" w:line="240" w:lineRule="auto"/>
              <w:rPr>
                <w:noProof/>
              </w:rPr>
            </w:pPr>
            <w:r>
              <w:rPr>
                <w:noProof/>
              </w:rPr>
              <w:t>Travaux de rénovation et/ou de construction pour un total de 10 hôpitaux dans les 1re et 2e régions sanitaires. </w:t>
            </w:r>
          </w:p>
        </w:tc>
      </w:tr>
      <w:tr w:rsidR="00A00259" w14:paraId="1ACB3BCC" w14:textId="77777777" w:rsidTr="0007083E">
        <w:trPr>
          <w:trHeight w:val="313"/>
          <w:jc w:val="center"/>
        </w:trPr>
        <w:tc>
          <w:tcPr>
            <w:tcW w:w="607" w:type="dxa"/>
            <w:shd w:val="clear" w:color="auto" w:fill="C6EFCE"/>
            <w:noWrap/>
          </w:tcPr>
          <w:p w14:paraId="20C4AFD5" w14:textId="77777777" w:rsidR="00A00259" w:rsidRDefault="00371282">
            <w:pPr>
              <w:pStyle w:val="P68B1DB1-Normal12"/>
              <w:spacing w:after="0" w:line="240" w:lineRule="auto"/>
              <w:rPr>
                <w:noProof/>
              </w:rPr>
            </w:pPr>
            <w:r>
              <w:rPr>
                <w:noProof/>
              </w:rPr>
              <w:t>170b</w:t>
            </w:r>
          </w:p>
        </w:tc>
        <w:tc>
          <w:tcPr>
            <w:tcW w:w="2040" w:type="dxa"/>
            <w:shd w:val="clear" w:color="auto" w:fill="C6EFCE"/>
            <w:noWrap/>
          </w:tcPr>
          <w:p w14:paraId="349A463C" w14:textId="77777777" w:rsidR="00A00259" w:rsidRDefault="00371282">
            <w:pPr>
              <w:pStyle w:val="P68B1DB1-Normal12"/>
              <w:spacing w:after="0" w:line="240" w:lineRule="auto"/>
              <w:rPr>
                <w:noProof/>
              </w:rPr>
            </w:pPr>
            <w:r>
              <w:rPr>
                <w:noProof/>
              </w:rPr>
              <w:t>10 - 3.3. Améliorer la résilience, l'accessibilité et la durabilité des soins de santé - 16795_ Infrastructures de santé</w:t>
            </w:r>
          </w:p>
        </w:tc>
        <w:tc>
          <w:tcPr>
            <w:tcW w:w="1144" w:type="dxa"/>
            <w:shd w:val="clear" w:color="auto" w:fill="C6EFCE"/>
            <w:noWrap/>
          </w:tcPr>
          <w:p w14:paraId="1D854D0E" w14:textId="77777777" w:rsidR="00A00259" w:rsidRDefault="00371282">
            <w:pPr>
              <w:pStyle w:val="P68B1DB1-Normal12"/>
              <w:spacing w:after="0" w:line="240" w:lineRule="auto"/>
              <w:rPr>
                <w:noProof/>
              </w:rPr>
            </w:pPr>
            <w:r>
              <w:rPr>
                <w:noProof/>
              </w:rPr>
              <w:t>Objectif</w:t>
            </w:r>
          </w:p>
        </w:tc>
        <w:tc>
          <w:tcPr>
            <w:tcW w:w="1877" w:type="dxa"/>
            <w:shd w:val="clear" w:color="auto" w:fill="C6EFCE"/>
            <w:noWrap/>
          </w:tcPr>
          <w:p w14:paraId="1DE9E316" w14:textId="77777777" w:rsidR="00A00259" w:rsidRDefault="00371282">
            <w:pPr>
              <w:pStyle w:val="P68B1DB1-Normal12"/>
              <w:spacing w:after="0" w:line="240" w:lineRule="auto"/>
              <w:rPr>
                <w:noProof/>
              </w:rPr>
            </w:pPr>
            <w:r>
              <w:rPr>
                <w:noProof/>
              </w:rPr>
              <w:t>Mise à niveau de l’infrastructure du NHS – étape 3</w:t>
            </w:r>
          </w:p>
        </w:tc>
        <w:tc>
          <w:tcPr>
            <w:tcW w:w="1553" w:type="dxa"/>
            <w:shd w:val="clear" w:color="auto" w:fill="C6EFCE"/>
            <w:noWrap/>
          </w:tcPr>
          <w:p w14:paraId="30B98408" w14:textId="77777777" w:rsidR="00A00259" w:rsidRDefault="00A00259">
            <w:pPr>
              <w:spacing w:after="0" w:line="240" w:lineRule="auto"/>
              <w:rPr>
                <w:rFonts w:ascii="Times New Roman" w:hAnsi="Times New Roman" w:cs="Times New Roman"/>
                <w:noProof/>
                <w:color w:val="006100"/>
                <w:sz w:val="18"/>
                <w:szCs w:val="18"/>
              </w:rPr>
            </w:pPr>
          </w:p>
        </w:tc>
        <w:tc>
          <w:tcPr>
            <w:tcW w:w="1390" w:type="dxa"/>
            <w:shd w:val="clear" w:color="auto" w:fill="C6EFCE"/>
            <w:noWrap/>
          </w:tcPr>
          <w:p w14:paraId="580AF3DB" w14:textId="77777777" w:rsidR="00A00259" w:rsidRDefault="00371282">
            <w:pPr>
              <w:pStyle w:val="P68B1DB1-Normal23"/>
              <w:spacing w:after="0" w:line="240" w:lineRule="auto"/>
              <w:rPr>
                <w:noProof/>
              </w:rPr>
            </w:pPr>
            <w:r>
              <w:rPr>
                <w:noProof/>
              </w:rPr>
              <w:t>Hôpitaux rénovés</w:t>
            </w:r>
          </w:p>
        </w:tc>
        <w:tc>
          <w:tcPr>
            <w:tcW w:w="1134" w:type="dxa"/>
            <w:shd w:val="clear" w:color="auto" w:fill="C6EFCE"/>
            <w:noWrap/>
          </w:tcPr>
          <w:p w14:paraId="373A074E" w14:textId="77777777" w:rsidR="00A00259" w:rsidRDefault="00371282">
            <w:pPr>
              <w:pStyle w:val="P68B1DB1-Normal23"/>
              <w:spacing w:after="0" w:line="240" w:lineRule="auto"/>
              <w:rPr>
                <w:noProof/>
              </w:rPr>
            </w:pPr>
            <w:r>
              <w:rPr>
                <w:noProof/>
              </w:rPr>
              <w:t>0</w:t>
            </w:r>
          </w:p>
        </w:tc>
        <w:tc>
          <w:tcPr>
            <w:tcW w:w="981" w:type="dxa"/>
            <w:shd w:val="clear" w:color="auto" w:fill="C6EFCE"/>
            <w:noWrap/>
          </w:tcPr>
          <w:p w14:paraId="483700A5" w14:textId="77777777" w:rsidR="00A00259" w:rsidRDefault="00371282">
            <w:pPr>
              <w:pStyle w:val="P68B1DB1-Normal23"/>
              <w:spacing w:after="0" w:line="240" w:lineRule="auto"/>
              <w:rPr>
                <w:noProof/>
              </w:rPr>
            </w:pPr>
            <w:r>
              <w:rPr>
                <w:noProof/>
              </w:rPr>
              <w:t>9</w:t>
            </w:r>
          </w:p>
        </w:tc>
        <w:tc>
          <w:tcPr>
            <w:tcW w:w="578" w:type="dxa"/>
            <w:shd w:val="clear" w:color="auto" w:fill="C6EFCE"/>
            <w:noWrap/>
          </w:tcPr>
          <w:p w14:paraId="01209475" w14:textId="77777777" w:rsidR="00A00259" w:rsidRDefault="00371282">
            <w:pPr>
              <w:pStyle w:val="P68B1DB1-Normal12"/>
              <w:spacing w:after="0" w:line="240" w:lineRule="auto"/>
              <w:rPr>
                <w:noProof/>
              </w:rPr>
            </w:pPr>
            <w:r>
              <w:rPr>
                <w:noProof/>
              </w:rPr>
              <w:t>T1</w:t>
            </w:r>
          </w:p>
        </w:tc>
        <w:tc>
          <w:tcPr>
            <w:tcW w:w="709" w:type="dxa"/>
            <w:shd w:val="clear" w:color="auto" w:fill="C6EFCE"/>
            <w:noWrap/>
          </w:tcPr>
          <w:p w14:paraId="59EC102A" w14:textId="77777777" w:rsidR="00A00259" w:rsidRDefault="00371282">
            <w:pPr>
              <w:pStyle w:val="P68B1DB1-Normal12"/>
              <w:spacing w:after="0" w:line="240" w:lineRule="auto"/>
              <w:rPr>
                <w:noProof/>
              </w:rPr>
            </w:pPr>
            <w:r>
              <w:rPr>
                <w:noProof/>
              </w:rPr>
              <w:t>2026</w:t>
            </w:r>
          </w:p>
        </w:tc>
        <w:tc>
          <w:tcPr>
            <w:tcW w:w="3880" w:type="dxa"/>
            <w:shd w:val="clear" w:color="auto" w:fill="C6EFCE"/>
            <w:noWrap/>
          </w:tcPr>
          <w:p w14:paraId="5034F5EC" w14:textId="77777777" w:rsidR="00A00259" w:rsidRDefault="00371282">
            <w:pPr>
              <w:pStyle w:val="P68B1DB1-Normal12"/>
              <w:spacing w:after="0" w:line="240" w:lineRule="auto"/>
              <w:rPr>
                <w:noProof/>
              </w:rPr>
            </w:pPr>
            <w:r>
              <w:rPr>
                <w:noProof/>
              </w:rPr>
              <w:t>Travaux de rénovation et/ou de construction pour un total de 9 hôpitaux dans les régions sanitaires autres que 1 et 2.</w:t>
            </w:r>
          </w:p>
        </w:tc>
      </w:tr>
      <w:tr w:rsidR="00A00259" w14:paraId="0A8D1736" w14:textId="77777777" w:rsidTr="0007083E">
        <w:trPr>
          <w:trHeight w:val="313"/>
          <w:jc w:val="center"/>
        </w:trPr>
        <w:tc>
          <w:tcPr>
            <w:tcW w:w="607" w:type="dxa"/>
            <w:shd w:val="clear" w:color="auto" w:fill="C6EFCE"/>
            <w:noWrap/>
          </w:tcPr>
          <w:p w14:paraId="01C1CB84" w14:textId="77777777" w:rsidR="00A00259" w:rsidRDefault="00371282">
            <w:pPr>
              <w:pStyle w:val="P68B1DB1-Normal12"/>
              <w:spacing w:after="0" w:line="240" w:lineRule="auto"/>
              <w:rPr>
                <w:noProof/>
              </w:rPr>
            </w:pPr>
            <w:r>
              <w:rPr>
                <w:noProof/>
              </w:rPr>
              <w:t>170c</w:t>
            </w:r>
          </w:p>
        </w:tc>
        <w:tc>
          <w:tcPr>
            <w:tcW w:w="2040" w:type="dxa"/>
            <w:shd w:val="clear" w:color="auto" w:fill="C6EFCE"/>
            <w:noWrap/>
          </w:tcPr>
          <w:p w14:paraId="02A94898" w14:textId="77777777" w:rsidR="00A00259" w:rsidRDefault="00371282">
            <w:pPr>
              <w:pStyle w:val="P68B1DB1-Normal12"/>
              <w:spacing w:after="0" w:line="240" w:lineRule="auto"/>
              <w:rPr>
                <w:noProof/>
              </w:rPr>
            </w:pPr>
            <w:r>
              <w:rPr>
                <w:noProof/>
              </w:rPr>
              <w:t>10 - 3.3. Améliorer la résilience, l'accessibilité et la durabilité des soins de santé - 16795_ Infrastructures de santé</w:t>
            </w:r>
          </w:p>
        </w:tc>
        <w:tc>
          <w:tcPr>
            <w:tcW w:w="1144" w:type="dxa"/>
            <w:shd w:val="clear" w:color="auto" w:fill="C6EFCE"/>
            <w:noWrap/>
          </w:tcPr>
          <w:p w14:paraId="3352A732" w14:textId="77777777" w:rsidR="00A00259" w:rsidRDefault="00371282">
            <w:pPr>
              <w:pStyle w:val="P68B1DB1-Normal12"/>
              <w:spacing w:after="0" w:line="240" w:lineRule="auto"/>
              <w:rPr>
                <w:noProof/>
              </w:rPr>
            </w:pPr>
            <w:r>
              <w:rPr>
                <w:noProof/>
              </w:rPr>
              <w:t>Objectif</w:t>
            </w:r>
          </w:p>
        </w:tc>
        <w:tc>
          <w:tcPr>
            <w:tcW w:w="1877" w:type="dxa"/>
            <w:shd w:val="clear" w:color="auto" w:fill="C6EFCE"/>
            <w:noWrap/>
          </w:tcPr>
          <w:p w14:paraId="04E4E794" w14:textId="77777777" w:rsidR="00A00259" w:rsidRDefault="00371282">
            <w:pPr>
              <w:pStyle w:val="P68B1DB1-Normal12"/>
              <w:spacing w:after="0" w:line="240" w:lineRule="auto"/>
              <w:rPr>
                <w:noProof/>
              </w:rPr>
            </w:pPr>
            <w:r>
              <w:rPr>
                <w:noProof/>
              </w:rPr>
              <w:t>Mise à niveau de l’infrastructure du NHS – étape 4</w:t>
            </w:r>
          </w:p>
        </w:tc>
        <w:tc>
          <w:tcPr>
            <w:tcW w:w="1553" w:type="dxa"/>
            <w:shd w:val="clear" w:color="auto" w:fill="C6EFCE"/>
            <w:noWrap/>
          </w:tcPr>
          <w:p w14:paraId="5C94D05C" w14:textId="77777777" w:rsidR="00A00259" w:rsidRDefault="00A00259">
            <w:pPr>
              <w:spacing w:after="0" w:line="240" w:lineRule="auto"/>
              <w:rPr>
                <w:rFonts w:ascii="Times New Roman" w:hAnsi="Times New Roman" w:cs="Times New Roman"/>
                <w:noProof/>
                <w:color w:val="006100"/>
                <w:sz w:val="18"/>
                <w:szCs w:val="18"/>
              </w:rPr>
            </w:pPr>
          </w:p>
        </w:tc>
        <w:tc>
          <w:tcPr>
            <w:tcW w:w="1390" w:type="dxa"/>
            <w:shd w:val="clear" w:color="auto" w:fill="C6EFCE"/>
            <w:noWrap/>
          </w:tcPr>
          <w:p w14:paraId="540A5115" w14:textId="77777777" w:rsidR="00A00259" w:rsidRDefault="00371282">
            <w:pPr>
              <w:pStyle w:val="P68B1DB1-Normal23"/>
              <w:spacing w:after="0" w:line="240" w:lineRule="auto"/>
              <w:rPr>
                <w:noProof/>
              </w:rPr>
            </w:pPr>
            <w:r>
              <w:rPr>
                <w:noProof/>
              </w:rPr>
              <w:t>Hôpitaux rénovés</w:t>
            </w:r>
          </w:p>
        </w:tc>
        <w:tc>
          <w:tcPr>
            <w:tcW w:w="1134" w:type="dxa"/>
            <w:shd w:val="clear" w:color="auto" w:fill="C6EFCE"/>
            <w:noWrap/>
          </w:tcPr>
          <w:p w14:paraId="2AD56F8B" w14:textId="77777777" w:rsidR="00A00259" w:rsidRDefault="00371282">
            <w:pPr>
              <w:pStyle w:val="P68B1DB1-Normal23"/>
              <w:spacing w:after="0" w:line="240" w:lineRule="auto"/>
              <w:rPr>
                <w:noProof/>
              </w:rPr>
            </w:pPr>
            <w:r>
              <w:rPr>
                <w:noProof/>
              </w:rPr>
              <w:t>10</w:t>
            </w:r>
          </w:p>
        </w:tc>
        <w:tc>
          <w:tcPr>
            <w:tcW w:w="981" w:type="dxa"/>
            <w:shd w:val="clear" w:color="auto" w:fill="C6EFCE"/>
            <w:noWrap/>
          </w:tcPr>
          <w:p w14:paraId="5924E3F6" w14:textId="77777777" w:rsidR="00A00259" w:rsidRDefault="00371282">
            <w:pPr>
              <w:pStyle w:val="P68B1DB1-Normal23"/>
              <w:spacing w:after="0" w:line="240" w:lineRule="auto"/>
              <w:rPr>
                <w:noProof/>
              </w:rPr>
            </w:pPr>
            <w:r>
              <w:rPr>
                <w:noProof/>
              </w:rPr>
              <w:t>23</w:t>
            </w:r>
          </w:p>
        </w:tc>
        <w:tc>
          <w:tcPr>
            <w:tcW w:w="578" w:type="dxa"/>
            <w:shd w:val="clear" w:color="auto" w:fill="C6EFCE"/>
            <w:noWrap/>
          </w:tcPr>
          <w:p w14:paraId="774A449B" w14:textId="77777777" w:rsidR="00A00259" w:rsidRDefault="00371282">
            <w:pPr>
              <w:pStyle w:val="P68B1DB1-Normal12"/>
              <w:spacing w:after="0" w:line="240" w:lineRule="auto"/>
              <w:rPr>
                <w:noProof/>
              </w:rPr>
            </w:pPr>
            <w:r>
              <w:rPr>
                <w:noProof/>
              </w:rPr>
              <w:t>T2</w:t>
            </w:r>
          </w:p>
        </w:tc>
        <w:tc>
          <w:tcPr>
            <w:tcW w:w="709" w:type="dxa"/>
            <w:shd w:val="clear" w:color="auto" w:fill="C6EFCE"/>
            <w:noWrap/>
          </w:tcPr>
          <w:p w14:paraId="7736F241" w14:textId="77777777" w:rsidR="00A00259" w:rsidRDefault="00371282">
            <w:pPr>
              <w:pStyle w:val="P68B1DB1-Normal12"/>
              <w:spacing w:after="0" w:line="240" w:lineRule="auto"/>
              <w:rPr>
                <w:noProof/>
              </w:rPr>
            </w:pPr>
            <w:r>
              <w:rPr>
                <w:noProof/>
              </w:rPr>
              <w:t>2026</w:t>
            </w:r>
          </w:p>
        </w:tc>
        <w:tc>
          <w:tcPr>
            <w:tcW w:w="3880" w:type="dxa"/>
            <w:shd w:val="clear" w:color="auto" w:fill="C6EFCE"/>
            <w:noWrap/>
          </w:tcPr>
          <w:p w14:paraId="11F8A2E0" w14:textId="77777777" w:rsidR="00A00259" w:rsidRDefault="00371282">
            <w:pPr>
              <w:pStyle w:val="P68B1DB1-Normal12"/>
              <w:spacing w:after="0" w:line="240" w:lineRule="auto"/>
              <w:rPr>
                <w:noProof/>
              </w:rPr>
            </w:pPr>
            <w:r>
              <w:rPr>
                <w:noProof/>
              </w:rPr>
              <w:t>Travaux de rénovation et/ou de construction de 13 hôpitaux supplémentaires dans les 1re et 2e régions sanitaires.</w:t>
            </w:r>
          </w:p>
        </w:tc>
      </w:tr>
      <w:tr w:rsidR="00A00259" w14:paraId="2C7F1C05" w14:textId="77777777" w:rsidTr="0007083E">
        <w:trPr>
          <w:trHeight w:val="313"/>
          <w:jc w:val="center"/>
        </w:trPr>
        <w:tc>
          <w:tcPr>
            <w:tcW w:w="607" w:type="dxa"/>
            <w:shd w:val="clear" w:color="auto" w:fill="C6EFCE"/>
            <w:noWrap/>
          </w:tcPr>
          <w:p w14:paraId="61C0300F" w14:textId="77777777" w:rsidR="00A00259" w:rsidRDefault="00371282">
            <w:pPr>
              <w:pStyle w:val="P68B1DB1-Normal12"/>
              <w:spacing w:after="0" w:line="240" w:lineRule="auto"/>
              <w:rPr>
                <w:noProof/>
              </w:rPr>
            </w:pPr>
            <w:r>
              <w:rPr>
                <w:noProof/>
              </w:rPr>
              <w:t>170d</w:t>
            </w:r>
          </w:p>
        </w:tc>
        <w:tc>
          <w:tcPr>
            <w:tcW w:w="2040" w:type="dxa"/>
            <w:shd w:val="clear" w:color="auto" w:fill="C6EFCE"/>
            <w:noWrap/>
          </w:tcPr>
          <w:p w14:paraId="25008731" w14:textId="77777777" w:rsidR="00A00259" w:rsidRDefault="00371282">
            <w:pPr>
              <w:pStyle w:val="P68B1DB1-Normal12"/>
              <w:spacing w:after="0" w:line="240" w:lineRule="auto"/>
              <w:rPr>
                <w:noProof/>
              </w:rPr>
            </w:pPr>
            <w:r>
              <w:rPr>
                <w:noProof/>
              </w:rPr>
              <w:t>10 - 3.3. Améliorer la résilience, l'accessibilité et la durabilité des soins de santé - 16795_ Infrastructures de santé</w:t>
            </w:r>
          </w:p>
        </w:tc>
        <w:tc>
          <w:tcPr>
            <w:tcW w:w="1144" w:type="dxa"/>
            <w:shd w:val="clear" w:color="auto" w:fill="C6EFCE"/>
            <w:noWrap/>
          </w:tcPr>
          <w:p w14:paraId="204F312E" w14:textId="77777777" w:rsidR="00A00259" w:rsidRDefault="00371282">
            <w:pPr>
              <w:pStyle w:val="P68B1DB1-Normal12"/>
              <w:spacing w:after="0" w:line="240" w:lineRule="auto"/>
              <w:rPr>
                <w:noProof/>
              </w:rPr>
            </w:pPr>
            <w:r>
              <w:rPr>
                <w:noProof/>
              </w:rPr>
              <w:t>Objectif</w:t>
            </w:r>
          </w:p>
        </w:tc>
        <w:tc>
          <w:tcPr>
            <w:tcW w:w="1877" w:type="dxa"/>
            <w:shd w:val="clear" w:color="auto" w:fill="C6EFCE"/>
            <w:noWrap/>
          </w:tcPr>
          <w:p w14:paraId="191E650A" w14:textId="77777777" w:rsidR="00A00259" w:rsidRDefault="00371282">
            <w:pPr>
              <w:pStyle w:val="P68B1DB1-Normal12"/>
              <w:spacing w:after="0" w:line="240" w:lineRule="auto"/>
              <w:rPr>
                <w:noProof/>
              </w:rPr>
            </w:pPr>
            <w:r>
              <w:rPr>
                <w:noProof/>
              </w:rPr>
              <w:t>Mise à niveau de l’infrastructure du NHS – étape 5</w:t>
            </w:r>
          </w:p>
        </w:tc>
        <w:tc>
          <w:tcPr>
            <w:tcW w:w="1553" w:type="dxa"/>
            <w:shd w:val="clear" w:color="auto" w:fill="C6EFCE"/>
            <w:noWrap/>
          </w:tcPr>
          <w:p w14:paraId="3E16F45E" w14:textId="77777777" w:rsidR="00A00259" w:rsidRDefault="00A00259">
            <w:pPr>
              <w:spacing w:after="0" w:line="240" w:lineRule="auto"/>
              <w:rPr>
                <w:rFonts w:ascii="Times New Roman" w:hAnsi="Times New Roman" w:cs="Times New Roman"/>
                <w:noProof/>
                <w:color w:val="006100"/>
                <w:sz w:val="18"/>
                <w:szCs w:val="18"/>
              </w:rPr>
            </w:pPr>
          </w:p>
        </w:tc>
        <w:tc>
          <w:tcPr>
            <w:tcW w:w="1390" w:type="dxa"/>
            <w:shd w:val="clear" w:color="auto" w:fill="C6EFCE"/>
            <w:noWrap/>
          </w:tcPr>
          <w:p w14:paraId="11A99BC8" w14:textId="77777777" w:rsidR="00A00259" w:rsidRDefault="00371282">
            <w:pPr>
              <w:pStyle w:val="P68B1DB1-Normal23"/>
              <w:spacing w:after="0" w:line="240" w:lineRule="auto"/>
              <w:rPr>
                <w:noProof/>
              </w:rPr>
            </w:pPr>
            <w:r>
              <w:rPr>
                <w:noProof/>
              </w:rPr>
              <w:t>Hôpitaux rénovés</w:t>
            </w:r>
          </w:p>
        </w:tc>
        <w:tc>
          <w:tcPr>
            <w:tcW w:w="1134" w:type="dxa"/>
            <w:shd w:val="clear" w:color="auto" w:fill="C6EFCE"/>
            <w:noWrap/>
          </w:tcPr>
          <w:p w14:paraId="32CA1522" w14:textId="77777777" w:rsidR="00A00259" w:rsidRDefault="00371282">
            <w:pPr>
              <w:pStyle w:val="P68B1DB1-Normal23"/>
              <w:spacing w:after="0" w:line="240" w:lineRule="auto"/>
              <w:rPr>
                <w:noProof/>
              </w:rPr>
            </w:pPr>
            <w:r>
              <w:rPr>
                <w:noProof/>
              </w:rPr>
              <w:t>9</w:t>
            </w:r>
          </w:p>
        </w:tc>
        <w:tc>
          <w:tcPr>
            <w:tcW w:w="981" w:type="dxa"/>
            <w:shd w:val="clear" w:color="auto" w:fill="C6EFCE"/>
            <w:noWrap/>
          </w:tcPr>
          <w:p w14:paraId="0D998C27" w14:textId="77777777" w:rsidR="00A00259" w:rsidRDefault="00371282">
            <w:pPr>
              <w:pStyle w:val="P68B1DB1-Normal23"/>
              <w:spacing w:after="0" w:line="240" w:lineRule="auto"/>
              <w:rPr>
                <w:noProof/>
              </w:rPr>
            </w:pPr>
            <w:r>
              <w:rPr>
                <w:noProof/>
              </w:rPr>
              <w:t>48</w:t>
            </w:r>
          </w:p>
        </w:tc>
        <w:tc>
          <w:tcPr>
            <w:tcW w:w="578" w:type="dxa"/>
            <w:shd w:val="clear" w:color="auto" w:fill="C6EFCE"/>
            <w:noWrap/>
          </w:tcPr>
          <w:p w14:paraId="56A25CA1" w14:textId="77777777" w:rsidR="00A00259" w:rsidRDefault="00371282">
            <w:pPr>
              <w:pStyle w:val="P68B1DB1-Normal12"/>
              <w:spacing w:after="0" w:line="240" w:lineRule="auto"/>
              <w:rPr>
                <w:noProof/>
              </w:rPr>
            </w:pPr>
            <w:r>
              <w:rPr>
                <w:noProof/>
              </w:rPr>
              <w:t>T2</w:t>
            </w:r>
          </w:p>
        </w:tc>
        <w:tc>
          <w:tcPr>
            <w:tcW w:w="709" w:type="dxa"/>
            <w:shd w:val="clear" w:color="auto" w:fill="C6EFCE"/>
            <w:noWrap/>
          </w:tcPr>
          <w:p w14:paraId="2DC869A0" w14:textId="77777777" w:rsidR="00A00259" w:rsidRDefault="00371282">
            <w:pPr>
              <w:pStyle w:val="P68B1DB1-Normal12"/>
              <w:spacing w:after="0" w:line="240" w:lineRule="auto"/>
              <w:rPr>
                <w:noProof/>
              </w:rPr>
            </w:pPr>
            <w:r>
              <w:rPr>
                <w:noProof/>
              </w:rPr>
              <w:t>2026</w:t>
            </w:r>
          </w:p>
        </w:tc>
        <w:tc>
          <w:tcPr>
            <w:tcW w:w="3880" w:type="dxa"/>
            <w:shd w:val="clear" w:color="auto" w:fill="C6EFCE"/>
            <w:noWrap/>
          </w:tcPr>
          <w:p w14:paraId="7C88F07E" w14:textId="77777777" w:rsidR="00A00259" w:rsidRDefault="00371282">
            <w:pPr>
              <w:pStyle w:val="P68B1DB1-Normal12"/>
              <w:spacing w:after="0" w:line="240" w:lineRule="auto"/>
              <w:rPr>
                <w:noProof/>
              </w:rPr>
            </w:pPr>
            <w:r>
              <w:rPr>
                <w:noProof/>
              </w:rPr>
              <w:t>Travaux de rénovation et/ou de construction pour 39 hôpitaux supplémentaires dans les régions sanitaires autres que 1 et 2.</w:t>
            </w:r>
          </w:p>
        </w:tc>
      </w:tr>
      <w:tr w:rsidR="00A00259" w14:paraId="6A32C325" w14:textId="77777777" w:rsidTr="0007083E">
        <w:trPr>
          <w:trHeight w:val="313"/>
          <w:jc w:val="center"/>
        </w:trPr>
        <w:tc>
          <w:tcPr>
            <w:tcW w:w="607" w:type="dxa"/>
            <w:shd w:val="clear" w:color="auto" w:fill="C6EFCE"/>
            <w:noWrap/>
          </w:tcPr>
          <w:p w14:paraId="56F0D41D" w14:textId="77777777" w:rsidR="00A00259" w:rsidRDefault="00371282">
            <w:pPr>
              <w:pStyle w:val="P68B1DB1-Normal12"/>
              <w:spacing w:after="0" w:line="240" w:lineRule="auto"/>
              <w:rPr>
                <w:rFonts w:eastAsia="Times New Roman"/>
                <w:noProof/>
              </w:rPr>
            </w:pPr>
            <w:r>
              <w:rPr>
                <w:noProof/>
              </w:rPr>
              <w:t>171</w:t>
            </w:r>
          </w:p>
        </w:tc>
        <w:tc>
          <w:tcPr>
            <w:tcW w:w="2040" w:type="dxa"/>
            <w:shd w:val="clear" w:color="auto" w:fill="C6EFCE"/>
            <w:noWrap/>
          </w:tcPr>
          <w:p w14:paraId="70063E77" w14:textId="07EB90BC"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- 16757_ Radiotherapy Centre at the «Sotiria» Thoracic Diseases Hospital of Athens</w:t>
            </w:r>
          </w:p>
        </w:tc>
        <w:tc>
          <w:tcPr>
            <w:tcW w:w="1144" w:type="dxa"/>
            <w:shd w:val="clear" w:color="auto" w:fill="C6EFCE"/>
            <w:noWrap/>
          </w:tcPr>
          <w:p w14:paraId="3A974495" w14:textId="77777777" w:rsidR="00A00259" w:rsidRDefault="00371282">
            <w:pPr>
              <w:pStyle w:val="P68B1DB1-Normal12"/>
              <w:spacing w:after="0" w:line="240" w:lineRule="auto"/>
              <w:rPr>
                <w:rFonts w:eastAsia="Times New Roman"/>
                <w:noProof/>
              </w:rPr>
            </w:pPr>
            <w:r>
              <w:rPr>
                <w:noProof/>
              </w:rPr>
              <w:t>Étape</w:t>
            </w:r>
          </w:p>
        </w:tc>
        <w:tc>
          <w:tcPr>
            <w:tcW w:w="1877" w:type="dxa"/>
            <w:shd w:val="clear" w:color="auto" w:fill="C6EFCE"/>
            <w:noWrap/>
          </w:tcPr>
          <w:p w14:paraId="582ECA97" w14:textId="77777777" w:rsidR="00A00259" w:rsidRDefault="00371282">
            <w:pPr>
              <w:pStyle w:val="P68B1DB1-Normal12"/>
              <w:spacing w:after="0" w:line="240" w:lineRule="auto"/>
              <w:rPr>
                <w:rFonts w:eastAsia="Times New Roman"/>
                <w:noProof/>
              </w:rPr>
            </w:pPr>
            <w:r>
              <w:rPr>
                <w:noProof/>
              </w:rPr>
              <w:t>Centre de radiothérapie Sotiria</w:t>
            </w:r>
          </w:p>
          <w:p w14:paraId="161EE11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553" w:type="dxa"/>
            <w:shd w:val="clear" w:color="auto" w:fill="C6EFCE"/>
            <w:noWrap/>
          </w:tcPr>
          <w:p w14:paraId="39AF02B5" w14:textId="6973F513" w:rsidR="00A00259" w:rsidRDefault="00371282">
            <w:pPr>
              <w:pStyle w:val="P68B1DB1-Normal12"/>
              <w:spacing w:after="0" w:line="240" w:lineRule="auto"/>
              <w:rPr>
                <w:rFonts w:eastAsia="Times New Roman"/>
                <w:noProof/>
              </w:rPr>
            </w:pPr>
            <w:r>
              <w:rPr>
                <w:noProof/>
              </w:rPr>
              <w:t>Construction et intégration dans la structure organisationnelle de l’hôpital de Sortiria du nouveau centre de radiothérapie</w:t>
            </w:r>
          </w:p>
        </w:tc>
        <w:tc>
          <w:tcPr>
            <w:tcW w:w="1390" w:type="dxa"/>
            <w:shd w:val="clear" w:color="auto" w:fill="C6EFCE"/>
            <w:noWrap/>
          </w:tcPr>
          <w:p w14:paraId="0A07A62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627F170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81" w:type="dxa"/>
            <w:shd w:val="clear" w:color="auto" w:fill="C6EFCE"/>
            <w:noWrap/>
          </w:tcPr>
          <w:p w14:paraId="40A3BCC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78" w:type="dxa"/>
            <w:shd w:val="clear" w:color="auto" w:fill="C6EFCE"/>
            <w:noWrap/>
          </w:tcPr>
          <w:p w14:paraId="648E6946" w14:textId="77777777" w:rsidR="00A00259" w:rsidRDefault="00371282">
            <w:pPr>
              <w:pStyle w:val="P68B1DB1-Normal12"/>
              <w:spacing w:after="0" w:line="240" w:lineRule="auto"/>
              <w:rPr>
                <w:rFonts w:eastAsia="Times New Roman"/>
                <w:noProof/>
              </w:rPr>
            </w:pPr>
            <w:r>
              <w:rPr>
                <w:noProof/>
              </w:rPr>
              <w:t>T2</w:t>
            </w:r>
          </w:p>
        </w:tc>
        <w:tc>
          <w:tcPr>
            <w:tcW w:w="709" w:type="dxa"/>
            <w:shd w:val="clear" w:color="auto" w:fill="C6EFCE"/>
            <w:noWrap/>
          </w:tcPr>
          <w:p w14:paraId="46697EBE" w14:textId="77777777" w:rsidR="00A00259" w:rsidRDefault="00371282">
            <w:pPr>
              <w:pStyle w:val="P68B1DB1-Normal12"/>
              <w:spacing w:after="0" w:line="240" w:lineRule="auto"/>
              <w:rPr>
                <w:rFonts w:eastAsia="Times New Roman"/>
                <w:noProof/>
              </w:rPr>
            </w:pPr>
            <w:r>
              <w:rPr>
                <w:noProof/>
              </w:rPr>
              <w:t>2025</w:t>
            </w:r>
          </w:p>
        </w:tc>
        <w:tc>
          <w:tcPr>
            <w:tcW w:w="3880" w:type="dxa"/>
            <w:shd w:val="clear" w:color="auto" w:fill="C6EFCE"/>
            <w:noWrap/>
          </w:tcPr>
          <w:p w14:paraId="58301078" w14:textId="77777777" w:rsidR="00A00259" w:rsidRDefault="00371282">
            <w:pPr>
              <w:pStyle w:val="P68B1DB1-Normal27"/>
              <w:spacing w:after="0" w:line="240" w:lineRule="auto"/>
              <w:rPr>
                <w:noProof/>
              </w:rPr>
            </w:pPr>
            <w:r>
              <w:rPr>
                <w:noProof/>
              </w:rPr>
              <w:t>Construction d'un bâtiment à l'hôpital Sotiria pour abriter des unités de radiothérapie et de chimiothérapie, des cliniques ambulatoires et de nouveaux services de laboratoire.</w:t>
            </w:r>
          </w:p>
          <w:p w14:paraId="3507E7A4" w14:textId="016BF701" w:rsidR="00A00259" w:rsidRDefault="00371282">
            <w:pPr>
              <w:pStyle w:val="P68B1DB1-Normal27"/>
              <w:spacing w:after="0" w:line="240" w:lineRule="auto"/>
              <w:rPr>
                <w:noProof/>
              </w:rPr>
            </w:pPr>
            <w:r>
              <w:rPr>
                <w:noProof/>
              </w:rPr>
              <w:t>Le nouveau centre de radiothérapie de l’hôpital Sotiria a été intégré dans la nouvelle structure organisationnelle de l’hôpital approuvée par KESYPE.</w:t>
            </w:r>
          </w:p>
          <w:p w14:paraId="0B4E4936" w14:textId="77777777" w:rsidR="00A00259" w:rsidRDefault="00A00259">
            <w:pPr>
              <w:spacing w:after="0" w:line="240" w:lineRule="auto"/>
              <w:rPr>
                <w:rFonts w:ascii="Times New Roman" w:eastAsiaTheme="minorEastAsia" w:hAnsi="Times New Roman" w:cs="Times New Roman"/>
                <w:noProof/>
                <w:color w:val="006100"/>
                <w:sz w:val="18"/>
                <w:szCs w:val="18"/>
              </w:rPr>
            </w:pPr>
          </w:p>
          <w:p w14:paraId="555B4CCC" w14:textId="77777777" w:rsidR="00A00259" w:rsidRDefault="00371282">
            <w:pPr>
              <w:pStyle w:val="P68B1DB1-Normal27"/>
              <w:spacing w:after="0" w:line="240" w:lineRule="auto"/>
              <w:rPr>
                <w:noProof/>
              </w:rPr>
            </w:pPr>
            <w:r>
              <w:rPr>
                <w:noProof/>
              </w:rPr>
              <w:t xml:space="preserve">Rénovation du bâtiment « 300 Andron Men », y compris des cliniques. </w:t>
            </w:r>
          </w:p>
          <w:p w14:paraId="2A9E0015" w14:textId="77777777" w:rsidR="00A00259" w:rsidRDefault="00A00259">
            <w:pPr>
              <w:spacing w:after="0" w:line="240" w:lineRule="auto"/>
              <w:rPr>
                <w:rFonts w:ascii="Times New Roman" w:eastAsiaTheme="minorEastAsia" w:hAnsi="Times New Roman" w:cs="Times New Roman"/>
                <w:noProof/>
                <w:color w:val="006100"/>
                <w:sz w:val="18"/>
                <w:szCs w:val="18"/>
              </w:rPr>
            </w:pPr>
          </w:p>
          <w:p w14:paraId="0A75F488" w14:textId="77777777" w:rsidR="00A00259" w:rsidRDefault="00371282">
            <w:pPr>
              <w:pStyle w:val="P68B1DB1-Normal27"/>
              <w:spacing w:after="0" w:line="240" w:lineRule="auto"/>
              <w:rPr>
                <w:noProof/>
              </w:rPr>
            </w:pPr>
            <w:r>
              <w:rPr>
                <w:noProof/>
              </w:rPr>
              <w:t xml:space="preserve">Construction d’un pont reliant le bâtiment «300 Andron Men» et le réseau de ponts existant de l’hôpital. </w:t>
            </w:r>
          </w:p>
        </w:tc>
      </w:tr>
      <w:tr w:rsidR="00A00259" w14:paraId="4CEE4B9D" w14:textId="77777777" w:rsidTr="0007083E">
        <w:trPr>
          <w:trHeight w:val="313"/>
          <w:jc w:val="center"/>
        </w:trPr>
        <w:tc>
          <w:tcPr>
            <w:tcW w:w="607" w:type="dxa"/>
            <w:shd w:val="clear" w:color="auto" w:fill="C6EFCE"/>
            <w:noWrap/>
          </w:tcPr>
          <w:p w14:paraId="3875560E" w14:textId="77777777" w:rsidR="00A00259" w:rsidRDefault="00371282">
            <w:pPr>
              <w:pStyle w:val="P68B1DB1-Normal12"/>
              <w:spacing w:after="0" w:line="240" w:lineRule="auto"/>
              <w:rPr>
                <w:rFonts w:eastAsia="Times New Roman"/>
                <w:noProof/>
              </w:rPr>
            </w:pPr>
            <w:r>
              <w:rPr>
                <w:noProof/>
              </w:rPr>
              <w:t>172</w:t>
            </w:r>
          </w:p>
        </w:tc>
        <w:tc>
          <w:tcPr>
            <w:tcW w:w="2040" w:type="dxa"/>
            <w:shd w:val="clear" w:color="auto" w:fill="C6EFCE"/>
            <w:noWrap/>
          </w:tcPr>
          <w:p w14:paraId="08733B58" w14:textId="77777777"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- 16793_ Cell &amp; Gene Therapies and Hematology Clinic Laboratories in the General Hospital of Thessaloniki “Papanikolaou”</w:t>
            </w:r>
          </w:p>
        </w:tc>
        <w:tc>
          <w:tcPr>
            <w:tcW w:w="1144" w:type="dxa"/>
            <w:shd w:val="clear" w:color="auto" w:fill="C6EFCE"/>
            <w:noWrap/>
          </w:tcPr>
          <w:p w14:paraId="47B853CB" w14:textId="77777777" w:rsidR="00A00259" w:rsidRDefault="00371282">
            <w:pPr>
              <w:pStyle w:val="P68B1DB1-Normal12"/>
              <w:spacing w:after="0" w:line="240" w:lineRule="auto"/>
              <w:rPr>
                <w:rFonts w:eastAsia="Times New Roman"/>
                <w:noProof/>
              </w:rPr>
            </w:pPr>
            <w:r>
              <w:rPr>
                <w:noProof/>
              </w:rPr>
              <w:t>Étape</w:t>
            </w:r>
          </w:p>
        </w:tc>
        <w:tc>
          <w:tcPr>
            <w:tcW w:w="1877" w:type="dxa"/>
            <w:shd w:val="clear" w:color="auto" w:fill="C6EFCE"/>
            <w:noWrap/>
          </w:tcPr>
          <w:p w14:paraId="05736EC3" w14:textId="77777777" w:rsidR="00A00259" w:rsidRDefault="00371282">
            <w:pPr>
              <w:pStyle w:val="P68B1DB1-Normal12"/>
              <w:spacing w:after="0" w:line="240" w:lineRule="auto"/>
              <w:rPr>
                <w:rFonts w:eastAsia="Times New Roman"/>
                <w:noProof/>
              </w:rPr>
            </w:pPr>
            <w:r>
              <w:rPr>
                <w:noProof/>
              </w:rPr>
              <w:t xml:space="preserve">Hôpital de Papanikolaou </w:t>
            </w:r>
          </w:p>
        </w:tc>
        <w:tc>
          <w:tcPr>
            <w:tcW w:w="1553" w:type="dxa"/>
            <w:shd w:val="clear" w:color="auto" w:fill="C6EFCE"/>
            <w:noWrap/>
          </w:tcPr>
          <w:p w14:paraId="386CE46A" w14:textId="77777777" w:rsidR="00A00259" w:rsidRDefault="00371282">
            <w:pPr>
              <w:pStyle w:val="P68B1DB1-Normal12"/>
              <w:spacing w:after="0" w:line="240" w:lineRule="auto"/>
              <w:rPr>
                <w:rFonts w:eastAsia="Times New Roman"/>
                <w:noProof/>
              </w:rPr>
            </w:pPr>
            <w:r>
              <w:rPr>
                <w:noProof/>
              </w:rPr>
              <w:t xml:space="preserve">Construction d'un bâtiment pour abriter la clinique de thérapie génique et d'hématologie Cell &amp; </w:t>
            </w:r>
          </w:p>
        </w:tc>
        <w:tc>
          <w:tcPr>
            <w:tcW w:w="1390" w:type="dxa"/>
            <w:shd w:val="clear" w:color="auto" w:fill="C6EFCE"/>
            <w:noWrap/>
          </w:tcPr>
          <w:p w14:paraId="44838B7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058AA06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81" w:type="dxa"/>
            <w:shd w:val="clear" w:color="auto" w:fill="C6EFCE"/>
            <w:noWrap/>
          </w:tcPr>
          <w:p w14:paraId="3238B4D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78" w:type="dxa"/>
            <w:shd w:val="clear" w:color="auto" w:fill="C6EFCE"/>
            <w:noWrap/>
          </w:tcPr>
          <w:p w14:paraId="447F3829"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5F9A475F" w14:textId="77777777" w:rsidR="00A00259" w:rsidRDefault="00371282">
            <w:pPr>
              <w:pStyle w:val="P68B1DB1-Normal12"/>
              <w:spacing w:after="0" w:line="240" w:lineRule="auto"/>
              <w:rPr>
                <w:rFonts w:eastAsia="Times New Roman"/>
                <w:noProof/>
              </w:rPr>
            </w:pPr>
            <w:r>
              <w:rPr>
                <w:noProof/>
              </w:rPr>
              <w:t>2025</w:t>
            </w:r>
          </w:p>
        </w:tc>
        <w:tc>
          <w:tcPr>
            <w:tcW w:w="3880" w:type="dxa"/>
            <w:shd w:val="clear" w:color="auto" w:fill="C6EFCE"/>
            <w:noWrap/>
          </w:tcPr>
          <w:p w14:paraId="3CB0F67B" w14:textId="77777777" w:rsidR="00A00259" w:rsidRDefault="00371282">
            <w:pPr>
              <w:pStyle w:val="P68B1DB1-Normal12"/>
              <w:spacing w:after="0" w:line="240" w:lineRule="auto"/>
              <w:rPr>
                <w:noProof/>
              </w:rPr>
            </w:pPr>
            <w:r>
              <w:rPr>
                <w:noProof/>
              </w:rPr>
              <w:t xml:space="preserve">Construction d'un bâtiment pour abriter 1) des laboratoires spécialisés de la Cellule &amp; Clinique de thérapie génique et d'hématologie et 2) une unité infirmière spéciale. </w:t>
            </w:r>
          </w:p>
          <w:p w14:paraId="6BECA6E5" w14:textId="77777777" w:rsidR="00A00259" w:rsidRDefault="00A00259">
            <w:pPr>
              <w:spacing w:after="0" w:line="240" w:lineRule="auto"/>
              <w:rPr>
                <w:rFonts w:ascii="Times New Roman" w:hAnsi="Times New Roman" w:cs="Times New Roman"/>
                <w:noProof/>
                <w:color w:val="006100"/>
                <w:sz w:val="18"/>
                <w:szCs w:val="18"/>
              </w:rPr>
            </w:pPr>
          </w:p>
          <w:p w14:paraId="70CB93B4" w14:textId="77777777" w:rsidR="00A00259" w:rsidRDefault="00371282">
            <w:pPr>
              <w:pStyle w:val="P68B1DB1-Normal12"/>
              <w:spacing w:after="0" w:line="240" w:lineRule="auto"/>
              <w:rPr>
                <w:rFonts w:eastAsia="Times New Roman"/>
                <w:noProof/>
              </w:rPr>
            </w:pPr>
            <w:r>
              <w:rPr>
                <w:noProof/>
              </w:rPr>
              <w:t>Le nouveau bâtiment doit atteindre une demande d’énergie primaire (DEP) inférieure d’au moins 20 % à l’exigence relative aux bâtiments à consommation d’énergie quasi nulle.</w:t>
            </w:r>
          </w:p>
        </w:tc>
      </w:tr>
      <w:tr w:rsidR="00A00259" w14:paraId="4B4035FB" w14:textId="77777777" w:rsidTr="0007083E">
        <w:trPr>
          <w:trHeight w:val="313"/>
          <w:jc w:val="center"/>
        </w:trPr>
        <w:tc>
          <w:tcPr>
            <w:tcW w:w="607" w:type="dxa"/>
            <w:shd w:val="clear" w:color="auto" w:fill="C6EFCE"/>
            <w:noWrap/>
          </w:tcPr>
          <w:p w14:paraId="6CD79D2D" w14:textId="77777777" w:rsidR="00A00259" w:rsidRDefault="00371282">
            <w:pPr>
              <w:pStyle w:val="P68B1DB1-Normal12"/>
              <w:spacing w:after="0" w:line="240" w:lineRule="auto"/>
              <w:rPr>
                <w:rFonts w:eastAsia="Times New Roman"/>
                <w:noProof/>
              </w:rPr>
            </w:pPr>
            <w:r>
              <w:rPr>
                <w:noProof/>
              </w:rPr>
              <w:t>173</w:t>
            </w:r>
          </w:p>
        </w:tc>
        <w:tc>
          <w:tcPr>
            <w:tcW w:w="2040" w:type="dxa"/>
            <w:shd w:val="clear" w:color="auto" w:fill="C6EFCE"/>
            <w:noWrap/>
          </w:tcPr>
          <w:p w14:paraId="26B5AAB4" w14:textId="77777777"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- 16752_Transformation numérique de la santé (DigHealth)</w:t>
            </w:r>
          </w:p>
          <w:p w14:paraId="22628FD6" w14:textId="77777777" w:rsidR="00A00259" w:rsidRDefault="00A00259">
            <w:pPr>
              <w:spacing w:before="120" w:after="120" w:line="240" w:lineRule="auto"/>
              <w:jc w:val="center"/>
              <w:rPr>
                <w:rFonts w:ascii="Times New Roman" w:eastAsia="Times New Roman" w:hAnsi="Times New Roman" w:cs="Times New Roman"/>
                <w:noProof/>
                <w:sz w:val="18"/>
                <w:szCs w:val="18"/>
              </w:rPr>
            </w:pPr>
          </w:p>
        </w:tc>
        <w:tc>
          <w:tcPr>
            <w:tcW w:w="1144" w:type="dxa"/>
            <w:shd w:val="clear" w:color="auto" w:fill="C6EFCE"/>
            <w:noWrap/>
          </w:tcPr>
          <w:p w14:paraId="3A34D36B" w14:textId="77777777" w:rsidR="00A00259" w:rsidRDefault="00371282">
            <w:pPr>
              <w:pStyle w:val="P68B1DB1-Normal12"/>
              <w:spacing w:after="0" w:line="240" w:lineRule="auto"/>
              <w:rPr>
                <w:rFonts w:eastAsia="Times New Roman"/>
                <w:noProof/>
              </w:rPr>
            </w:pPr>
            <w:r>
              <w:rPr>
                <w:noProof/>
              </w:rPr>
              <w:t>Étape</w:t>
            </w:r>
          </w:p>
        </w:tc>
        <w:tc>
          <w:tcPr>
            <w:tcW w:w="1877" w:type="dxa"/>
            <w:shd w:val="clear" w:color="auto" w:fill="C6EFCE"/>
            <w:noWrap/>
          </w:tcPr>
          <w:p w14:paraId="179F7F13" w14:textId="77777777" w:rsidR="00A00259" w:rsidRDefault="00371282">
            <w:pPr>
              <w:pStyle w:val="P68B1DB1-Normal12"/>
              <w:spacing w:after="0" w:line="240" w:lineRule="auto"/>
              <w:rPr>
                <w:rFonts w:eastAsia="Times New Roman"/>
                <w:noProof/>
              </w:rPr>
            </w:pPr>
            <w:r>
              <w:rPr>
                <w:noProof/>
              </w:rPr>
              <w:t>Transformation numérique – tous les sous-projets livrés, étape 1</w:t>
            </w:r>
          </w:p>
        </w:tc>
        <w:tc>
          <w:tcPr>
            <w:tcW w:w="1553" w:type="dxa"/>
            <w:shd w:val="clear" w:color="auto" w:fill="C6EFCE"/>
            <w:noWrap/>
          </w:tcPr>
          <w:p w14:paraId="5CDAAF27" w14:textId="77777777" w:rsidR="00A00259" w:rsidRDefault="00371282">
            <w:pPr>
              <w:pStyle w:val="P68B1DB1-Normal12"/>
              <w:spacing w:after="0" w:line="240" w:lineRule="auto"/>
              <w:rPr>
                <w:noProof/>
              </w:rPr>
            </w:pPr>
            <w:r>
              <w:rPr>
                <w:noProof/>
              </w:rPr>
              <w:t>Le dossier médical numérique national du patient est délivré et la capacité du Réseau national de télémédecine est élargie</w:t>
            </w:r>
          </w:p>
        </w:tc>
        <w:tc>
          <w:tcPr>
            <w:tcW w:w="1390" w:type="dxa"/>
            <w:shd w:val="clear" w:color="auto" w:fill="C6EFCE"/>
            <w:noWrap/>
          </w:tcPr>
          <w:p w14:paraId="4C7E4E4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248E9F5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81" w:type="dxa"/>
            <w:shd w:val="clear" w:color="auto" w:fill="C6EFCE"/>
            <w:noWrap/>
          </w:tcPr>
          <w:p w14:paraId="0E847FE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78" w:type="dxa"/>
            <w:shd w:val="clear" w:color="auto" w:fill="C6EFCE"/>
            <w:noWrap/>
          </w:tcPr>
          <w:p w14:paraId="0C2AFDC9" w14:textId="77777777" w:rsidR="00A00259" w:rsidRDefault="00371282">
            <w:pPr>
              <w:pStyle w:val="P68B1DB1-Normal12"/>
              <w:spacing w:after="0" w:line="240" w:lineRule="auto"/>
              <w:rPr>
                <w:rFonts w:eastAsia="Times New Roman"/>
                <w:noProof/>
              </w:rPr>
            </w:pPr>
            <w:r>
              <w:rPr>
                <w:noProof/>
              </w:rPr>
              <w:t>T4</w:t>
            </w:r>
          </w:p>
        </w:tc>
        <w:tc>
          <w:tcPr>
            <w:tcW w:w="709" w:type="dxa"/>
            <w:shd w:val="clear" w:color="auto" w:fill="C6EFCE"/>
            <w:noWrap/>
          </w:tcPr>
          <w:p w14:paraId="6856C515" w14:textId="77777777" w:rsidR="00A00259" w:rsidRDefault="00371282">
            <w:pPr>
              <w:pStyle w:val="P68B1DB1-Normal12"/>
              <w:spacing w:after="0" w:line="240" w:lineRule="auto"/>
              <w:rPr>
                <w:rFonts w:eastAsia="Times New Roman"/>
                <w:noProof/>
              </w:rPr>
            </w:pPr>
            <w:r>
              <w:rPr>
                <w:noProof/>
              </w:rPr>
              <w:t>2025</w:t>
            </w:r>
          </w:p>
        </w:tc>
        <w:tc>
          <w:tcPr>
            <w:tcW w:w="3880" w:type="dxa"/>
            <w:shd w:val="clear" w:color="auto" w:fill="C6EFCE"/>
            <w:noWrap/>
          </w:tcPr>
          <w:p w14:paraId="4C507898" w14:textId="77777777" w:rsidR="00A00259" w:rsidRDefault="00371282">
            <w:pPr>
              <w:pStyle w:val="P68B1DB1-Normal12"/>
              <w:spacing w:after="0" w:line="240" w:lineRule="auto"/>
              <w:rPr>
                <w:noProof/>
              </w:rPr>
            </w:pPr>
            <w:r>
              <w:rPr>
                <w:noProof/>
              </w:rPr>
              <w:t>Pour que le jalon soit atteint, il faut:</w:t>
            </w:r>
          </w:p>
          <w:p w14:paraId="462F3709" w14:textId="1D72CE5F" w:rsidR="00A00259" w:rsidRDefault="00371282">
            <w:pPr>
              <w:pStyle w:val="P68B1DB1-Normal12"/>
              <w:spacing w:after="0" w:line="240" w:lineRule="auto"/>
              <w:rPr>
                <w:noProof/>
              </w:rPr>
            </w:pPr>
            <w:r>
              <w:rPr>
                <w:noProof/>
              </w:rPr>
              <w:t>a) la fourniture du dossier de santé numérique national, y compris les technologies de communication vocale utilisant l’intelligence artificielle (IA), l’inclusion des examens radiologiques effectués dans le secteur privé, l’inclusion du processus de diagnostic à distance dans le répertoire d’images radiologiques;</w:t>
            </w:r>
          </w:p>
          <w:p w14:paraId="1C5F299E" w14:textId="77777777" w:rsidR="00A00259" w:rsidRDefault="00A00259">
            <w:pPr>
              <w:spacing w:after="0" w:line="240" w:lineRule="auto"/>
              <w:rPr>
                <w:rFonts w:ascii="Times New Roman" w:hAnsi="Times New Roman" w:cs="Times New Roman"/>
                <w:noProof/>
                <w:color w:val="006100"/>
                <w:sz w:val="18"/>
                <w:szCs w:val="18"/>
              </w:rPr>
            </w:pPr>
          </w:p>
          <w:p w14:paraId="7BFD9B6A" w14:textId="210BAFFF" w:rsidR="00A00259" w:rsidRDefault="00371282">
            <w:pPr>
              <w:pStyle w:val="P68B1DB1-Normal12"/>
              <w:spacing w:after="0" w:line="240" w:lineRule="auto"/>
              <w:rPr>
                <w:noProof/>
              </w:rPr>
            </w:pPr>
            <w:r>
              <w:rPr>
                <w:noProof/>
              </w:rPr>
              <w:t>b) l'expansion de la capacité du Réseau national de télémédecine, y compris de nouvelles stations de télémédecine</w:t>
            </w:r>
          </w:p>
        </w:tc>
      </w:tr>
      <w:tr w:rsidR="00A00259" w14:paraId="435EC786" w14:textId="77777777" w:rsidTr="0007083E">
        <w:trPr>
          <w:trHeight w:val="313"/>
          <w:jc w:val="center"/>
        </w:trPr>
        <w:tc>
          <w:tcPr>
            <w:tcW w:w="607" w:type="dxa"/>
            <w:shd w:val="clear" w:color="auto" w:fill="C6EFCE"/>
            <w:noWrap/>
          </w:tcPr>
          <w:p w14:paraId="7963BD6A" w14:textId="77777777" w:rsidR="00A00259" w:rsidRDefault="00371282">
            <w:pPr>
              <w:pStyle w:val="P68B1DB1-Normal12"/>
              <w:spacing w:after="0" w:line="240" w:lineRule="auto"/>
              <w:rPr>
                <w:noProof/>
              </w:rPr>
            </w:pPr>
            <w:r>
              <w:rPr>
                <w:noProof/>
              </w:rPr>
              <w:t>173 bis</w:t>
            </w:r>
          </w:p>
        </w:tc>
        <w:tc>
          <w:tcPr>
            <w:tcW w:w="2040" w:type="dxa"/>
            <w:shd w:val="clear" w:color="auto" w:fill="C6EFCE"/>
            <w:noWrap/>
          </w:tcPr>
          <w:p w14:paraId="32443FDD" w14:textId="586B9E61" w:rsidR="00A00259" w:rsidRDefault="00371282">
            <w:pPr>
              <w:pStyle w:val="P68B1DB1-Normal12"/>
              <w:spacing w:after="0" w:line="240" w:lineRule="auto"/>
              <w:rPr>
                <w:noProof/>
              </w:rPr>
            </w:pPr>
            <w:r>
              <w:rPr>
                <w:noProof/>
              </w:rPr>
              <w:t>10 - 3.3. Améliorer la résilience, l'accessibilité et la durabilité des soins de santé - 16752_Transformation numérique de la santé (DigHealth)</w:t>
            </w:r>
          </w:p>
        </w:tc>
        <w:tc>
          <w:tcPr>
            <w:tcW w:w="1144" w:type="dxa"/>
            <w:shd w:val="clear" w:color="auto" w:fill="C6EFCE"/>
            <w:noWrap/>
          </w:tcPr>
          <w:p w14:paraId="7F52D20F" w14:textId="77777777" w:rsidR="00A00259" w:rsidRDefault="00371282">
            <w:pPr>
              <w:pStyle w:val="P68B1DB1-Normal12"/>
              <w:spacing w:after="0" w:line="240" w:lineRule="auto"/>
              <w:rPr>
                <w:noProof/>
              </w:rPr>
            </w:pPr>
            <w:r>
              <w:rPr>
                <w:noProof/>
              </w:rPr>
              <w:t>Étape</w:t>
            </w:r>
          </w:p>
        </w:tc>
        <w:tc>
          <w:tcPr>
            <w:tcW w:w="1877" w:type="dxa"/>
            <w:shd w:val="clear" w:color="auto" w:fill="C6EFCE"/>
            <w:noWrap/>
          </w:tcPr>
          <w:p w14:paraId="275172F3" w14:textId="77777777" w:rsidR="00A00259" w:rsidRDefault="00371282">
            <w:pPr>
              <w:pStyle w:val="P68B1DB1-Normal12"/>
              <w:spacing w:after="0" w:line="240" w:lineRule="auto"/>
              <w:rPr>
                <w:noProof/>
              </w:rPr>
            </w:pPr>
            <w:r>
              <w:rPr>
                <w:noProof/>
              </w:rPr>
              <w:t>Transformation numérique – tous les sous-projets livrés, étape 2</w:t>
            </w:r>
          </w:p>
        </w:tc>
        <w:tc>
          <w:tcPr>
            <w:tcW w:w="1553" w:type="dxa"/>
            <w:shd w:val="clear" w:color="auto" w:fill="C6EFCE"/>
            <w:noWrap/>
          </w:tcPr>
          <w:p w14:paraId="7AB3A486" w14:textId="31595132" w:rsidR="00A00259" w:rsidRDefault="00371282">
            <w:pPr>
              <w:pStyle w:val="P68B1DB1-Normal12"/>
              <w:spacing w:after="0" w:line="240" w:lineRule="auto"/>
              <w:rPr>
                <w:noProof/>
              </w:rPr>
            </w:pPr>
            <w:r>
              <w:rPr>
                <w:noProof/>
              </w:rPr>
              <w:t>Le système de gestion de l'équipement médical et les éléments de l'état de préparation numérique de l'hôpital sont livrés</w:t>
            </w:r>
          </w:p>
        </w:tc>
        <w:tc>
          <w:tcPr>
            <w:tcW w:w="1390" w:type="dxa"/>
            <w:shd w:val="clear" w:color="auto" w:fill="C6EFCE"/>
            <w:noWrap/>
          </w:tcPr>
          <w:p w14:paraId="58BB971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2FA1769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81" w:type="dxa"/>
            <w:shd w:val="clear" w:color="auto" w:fill="C6EFCE"/>
            <w:noWrap/>
          </w:tcPr>
          <w:p w14:paraId="604EB7F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78" w:type="dxa"/>
            <w:shd w:val="clear" w:color="auto" w:fill="C6EFCE"/>
            <w:noWrap/>
          </w:tcPr>
          <w:p w14:paraId="46F4ABBD" w14:textId="77777777" w:rsidR="00A00259" w:rsidRDefault="00371282">
            <w:pPr>
              <w:pStyle w:val="P68B1DB1-Normal12"/>
              <w:spacing w:after="0" w:line="240" w:lineRule="auto"/>
              <w:rPr>
                <w:noProof/>
              </w:rPr>
            </w:pPr>
            <w:r>
              <w:rPr>
                <w:noProof/>
              </w:rPr>
              <w:t>T4</w:t>
            </w:r>
          </w:p>
        </w:tc>
        <w:tc>
          <w:tcPr>
            <w:tcW w:w="709" w:type="dxa"/>
            <w:shd w:val="clear" w:color="auto" w:fill="C6EFCE"/>
            <w:noWrap/>
          </w:tcPr>
          <w:p w14:paraId="336D5B29" w14:textId="77777777" w:rsidR="00A00259" w:rsidRDefault="00371282">
            <w:pPr>
              <w:pStyle w:val="P68B1DB1-Normal12"/>
              <w:spacing w:after="0" w:line="240" w:lineRule="auto"/>
              <w:rPr>
                <w:noProof/>
              </w:rPr>
            </w:pPr>
            <w:r>
              <w:rPr>
                <w:noProof/>
              </w:rPr>
              <w:t>2025</w:t>
            </w:r>
          </w:p>
        </w:tc>
        <w:tc>
          <w:tcPr>
            <w:tcW w:w="3880" w:type="dxa"/>
            <w:shd w:val="clear" w:color="auto" w:fill="C6EFCE"/>
            <w:noWrap/>
          </w:tcPr>
          <w:p w14:paraId="7959A784" w14:textId="724F91E0" w:rsidR="00A00259" w:rsidRDefault="00371282">
            <w:pPr>
              <w:pStyle w:val="P68B1DB1-Normal12"/>
              <w:spacing w:after="0" w:line="240" w:lineRule="auto"/>
              <w:rPr>
                <w:noProof/>
              </w:rPr>
            </w:pPr>
            <w:r>
              <w:rPr>
                <w:noProof/>
              </w:rPr>
              <w:t xml:space="preserve">La livraison de: </w:t>
            </w:r>
          </w:p>
          <w:p w14:paraId="5B2C5931" w14:textId="7C794466" w:rsidR="00A00259" w:rsidRDefault="00371282">
            <w:pPr>
              <w:pStyle w:val="P68B1DB1-ListParagraph34"/>
              <w:numPr>
                <w:ilvl w:val="0"/>
                <w:numId w:val="98"/>
              </w:numPr>
              <w:spacing w:after="0" w:line="240" w:lineRule="auto"/>
              <w:rPr>
                <w:noProof/>
              </w:rPr>
            </w:pPr>
            <w:r>
              <w:rPr>
                <w:noProof/>
              </w:rPr>
              <w:t>le système de gestion des équipements médicaux</w:t>
            </w:r>
          </w:p>
          <w:p w14:paraId="054F0426" w14:textId="79B51106" w:rsidR="00A00259" w:rsidRDefault="00371282">
            <w:pPr>
              <w:pStyle w:val="P68B1DB1-ListParagraph34"/>
              <w:numPr>
                <w:ilvl w:val="0"/>
                <w:numId w:val="98"/>
              </w:numPr>
              <w:spacing w:after="0" w:line="240" w:lineRule="auto"/>
              <w:rPr>
                <w:noProof/>
              </w:rPr>
            </w:pPr>
            <w:r>
              <w:rPr>
                <w:noProof/>
              </w:rPr>
              <w:t>Interopérabilité des GRD, commandes électroniques, systèmes d’information clinique nouveaux et/ou améliorés dans les hôpitaux, dans le cadre du projet «Préparation numérique des hôpitaux»</w:t>
            </w:r>
          </w:p>
        </w:tc>
      </w:tr>
      <w:tr w:rsidR="00A00259" w14:paraId="001483C1" w14:textId="77777777" w:rsidTr="0007083E">
        <w:trPr>
          <w:trHeight w:val="313"/>
          <w:jc w:val="center"/>
        </w:trPr>
        <w:tc>
          <w:tcPr>
            <w:tcW w:w="607" w:type="dxa"/>
            <w:shd w:val="clear" w:color="auto" w:fill="C6EFCE"/>
            <w:noWrap/>
          </w:tcPr>
          <w:p w14:paraId="26192F7B" w14:textId="77777777" w:rsidR="00A00259" w:rsidRDefault="00371282">
            <w:pPr>
              <w:pStyle w:val="P68B1DB1-Normal12"/>
              <w:spacing w:after="0" w:line="240" w:lineRule="auto"/>
              <w:rPr>
                <w:noProof/>
              </w:rPr>
            </w:pPr>
            <w:r>
              <w:rPr>
                <w:noProof/>
              </w:rPr>
              <w:t>173b</w:t>
            </w:r>
          </w:p>
        </w:tc>
        <w:tc>
          <w:tcPr>
            <w:tcW w:w="2040" w:type="dxa"/>
            <w:shd w:val="clear" w:color="auto" w:fill="C6EFCE"/>
            <w:noWrap/>
          </w:tcPr>
          <w:p w14:paraId="2F3F4652" w14:textId="77777777" w:rsidR="00A00259" w:rsidRDefault="00371282">
            <w:pPr>
              <w:pStyle w:val="P68B1DB1-Normal12"/>
              <w:spacing w:after="0" w:line="240" w:lineRule="auto"/>
              <w:rPr>
                <w:rFonts w:eastAsia="Times New Roman"/>
                <w:noProof/>
              </w:rPr>
            </w:pPr>
            <w:r>
              <w:rPr>
                <w:noProof/>
              </w:rPr>
              <w:t>10 - 3.3. Améliorer la résilience, l'accessibilité et la durabilité des soins de santé - 16752_Transformation numérique de la santé (DigHealth)</w:t>
            </w:r>
          </w:p>
          <w:p w14:paraId="297979F4" w14:textId="77777777" w:rsidR="00A00259" w:rsidRDefault="00A00259">
            <w:pPr>
              <w:spacing w:after="0" w:line="240" w:lineRule="auto"/>
              <w:rPr>
                <w:rFonts w:ascii="Times New Roman" w:hAnsi="Times New Roman" w:cs="Times New Roman"/>
                <w:noProof/>
                <w:color w:val="006100"/>
                <w:sz w:val="18"/>
                <w:szCs w:val="18"/>
              </w:rPr>
            </w:pPr>
          </w:p>
        </w:tc>
        <w:tc>
          <w:tcPr>
            <w:tcW w:w="1144" w:type="dxa"/>
            <w:shd w:val="clear" w:color="auto" w:fill="C6EFCE"/>
            <w:noWrap/>
          </w:tcPr>
          <w:p w14:paraId="34484807" w14:textId="77777777" w:rsidR="00A00259" w:rsidRDefault="00371282">
            <w:pPr>
              <w:pStyle w:val="P68B1DB1-Normal12"/>
              <w:spacing w:after="0" w:line="240" w:lineRule="auto"/>
              <w:rPr>
                <w:noProof/>
              </w:rPr>
            </w:pPr>
            <w:r>
              <w:rPr>
                <w:noProof/>
              </w:rPr>
              <w:t>Étape</w:t>
            </w:r>
          </w:p>
        </w:tc>
        <w:tc>
          <w:tcPr>
            <w:tcW w:w="1877" w:type="dxa"/>
            <w:shd w:val="clear" w:color="auto" w:fill="C6EFCE"/>
            <w:noWrap/>
          </w:tcPr>
          <w:p w14:paraId="54000BD5" w14:textId="77777777" w:rsidR="00A00259" w:rsidRDefault="00371282">
            <w:pPr>
              <w:pStyle w:val="P68B1DB1-Normal12"/>
              <w:spacing w:after="0" w:line="240" w:lineRule="auto"/>
              <w:rPr>
                <w:noProof/>
              </w:rPr>
            </w:pPr>
            <w:r>
              <w:rPr>
                <w:noProof/>
              </w:rPr>
              <w:t>Transformation numérique – tous les sous-projets livrés, étape 3</w:t>
            </w:r>
          </w:p>
        </w:tc>
        <w:tc>
          <w:tcPr>
            <w:tcW w:w="1553" w:type="dxa"/>
            <w:shd w:val="clear" w:color="auto" w:fill="C6EFCE"/>
            <w:noWrap/>
          </w:tcPr>
          <w:p w14:paraId="20D2DBAC" w14:textId="56DF431C" w:rsidR="00A00259" w:rsidRDefault="00371282">
            <w:pPr>
              <w:pStyle w:val="P68B1DB1-Normal12"/>
              <w:spacing w:after="0" w:line="240" w:lineRule="auto"/>
              <w:rPr>
                <w:noProof/>
              </w:rPr>
            </w:pPr>
            <w:r>
              <w:rPr>
                <w:noProof/>
              </w:rPr>
              <w:t>Des éléments du programme de transformation numérique des soins en oncologie/hématologie sont fournis, le système d'information intégré d'EOPYY est mis à niveau et le système de prescription électronique est étendu aux soins aux patients hospitalisés.</w:t>
            </w:r>
          </w:p>
        </w:tc>
        <w:tc>
          <w:tcPr>
            <w:tcW w:w="1390" w:type="dxa"/>
            <w:shd w:val="clear" w:color="auto" w:fill="C6EFCE"/>
            <w:noWrap/>
          </w:tcPr>
          <w:p w14:paraId="5442218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080D6CA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81" w:type="dxa"/>
            <w:shd w:val="clear" w:color="auto" w:fill="C6EFCE"/>
            <w:noWrap/>
          </w:tcPr>
          <w:p w14:paraId="060CE02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78" w:type="dxa"/>
            <w:shd w:val="clear" w:color="auto" w:fill="C6EFCE"/>
            <w:noWrap/>
          </w:tcPr>
          <w:p w14:paraId="37005AEA" w14:textId="77777777" w:rsidR="00A00259" w:rsidRDefault="00371282">
            <w:pPr>
              <w:pStyle w:val="P68B1DB1-Normal12"/>
              <w:spacing w:after="0" w:line="240" w:lineRule="auto"/>
              <w:rPr>
                <w:noProof/>
              </w:rPr>
            </w:pPr>
            <w:r>
              <w:rPr>
                <w:noProof/>
              </w:rPr>
              <w:t>T4</w:t>
            </w:r>
          </w:p>
        </w:tc>
        <w:tc>
          <w:tcPr>
            <w:tcW w:w="709" w:type="dxa"/>
            <w:shd w:val="clear" w:color="auto" w:fill="C6EFCE"/>
            <w:noWrap/>
          </w:tcPr>
          <w:p w14:paraId="23AC8A91" w14:textId="77777777" w:rsidR="00A00259" w:rsidRDefault="00371282">
            <w:pPr>
              <w:pStyle w:val="P68B1DB1-Normal12"/>
              <w:spacing w:after="0" w:line="240" w:lineRule="auto"/>
              <w:rPr>
                <w:noProof/>
              </w:rPr>
            </w:pPr>
            <w:r>
              <w:rPr>
                <w:noProof/>
              </w:rPr>
              <w:t>2025</w:t>
            </w:r>
          </w:p>
        </w:tc>
        <w:tc>
          <w:tcPr>
            <w:tcW w:w="3880" w:type="dxa"/>
            <w:shd w:val="clear" w:color="auto" w:fill="C6EFCE"/>
            <w:noWrap/>
          </w:tcPr>
          <w:p w14:paraId="2D4CA210" w14:textId="500BF6C6" w:rsidR="00A00259" w:rsidRDefault="00371282">
            <w:pPr>
              <w:pStyle w:val="P68B1DB1-ListParagraph31"/>
              <w:numPr>
                <w:ilvl w:val="0"/>
                <w:numId w:val="50"/>
              </w:numPr>
              <w:spacing w:after="0" w:line="240" w:lineRule="auto"/>
              <w:rPr>
                <w:noProof/>
              </w:rPr>
            </w:pPr>
            <w:r>
              <w:rPr>
                <w:noProof/>
              </w:rPr>
              <w:t>la fourniture du système d’information sur le traitement du cancer dans au moins 12 hôpitaux (y compris les protocoles thérapeutiques pour la chimiothérapie), le déploiement/l’établissement du registre national du cancer, l’extension du registre des patients aux patients atteints de tumeurs bénignes, dans le cadre du programme de transformation numérique des soins en oncologie/hématologie;</w:t>
            </w:r>
          </w:p>
          <w:p w14:paraId="3134625D" w14:textId="77777777" w:rsidR="00A00259" w:rsidRDefault="00371282">
            <w:pPr>
              <w:pStyle w:val="P68B1DB1-ListParagraph31"/>
              <w:numPr>
                <w:ilvl w:val="0"/>
                <w:numId w:val="50"/>
              </w:numPr>
              <w:spacing w:after="0" w:line="240" w:lineRule="auto"/>
              <w:rPr>
                <w:noProof/>
              </w:rPr>
            </w:pPr>
            <w:r>
              <w:rPr>
                <w:noProof/>
              </w:rPr>
              <w:t>la mise à niveau numérique du système d’information intégré d’EOPYY (l’organisation nationale pour la fourniture de services de santé), y compris la gestion et le suivi des dépenses, la gestion des données, l’analyse et l’interopérabilité avec les tiers;</w:t>
            </w:r>
          </w:p>
          <w:p w14:paraId="5A5EC0BA" w14:textId="33A7D9CA" w:rsidR="00A00259" w:rsidRDefault="00371282">
            <w:pPr>
              <w:pStyle w:val="P68B1DB1-ListParagraph31"/>
              <w:numPr>
                <w:ilvl w:val="0"/>
                <w:numId w:val="50"/>
              </w:numPr>
              <w:spacing w:after="0" w:line="240" w:lineRule="auto"/>
              <w:rPr>
                <w:noProof/>
              </w:rPr>
            </w:pPr>
            <w:r>
              <w:rPr>
                <w:noProof/>
              </w:rPr>
              <w:t>Extension du système de prescription électronique aux soins hospitaliers</w:t>
            </w:r>
          </w:p>
        </w:tc>
      </w:tr>
    </w:tbl>
    <w:p w14:paraId="2E0F30F9" w14:textId="77777777" w:rsidR="00A00259" w:rsidRDefault="00A00259">
      <w:pPr>
        <w:spacing w:before="120" w:after="120" w:line="240" w:lineRule="auto"/>
        <w:jc w:val="both"/>
        <w:rPr>
          <w:rFonts w:ascii="Times New Roman" w:hAnsi="Times New Roman" w:cs="Times New Roman"/>
          <w:noProof/>
          <w:sz w:val="24"/>
        </w:rPr>
        <w:sectPr w:rsidR="00A00259">
          <w:headerReference w:type="even" r:id="rId222"/>
          <w:headerReference w:type="default" r:id="rId223"/>
          <w:footerReference w:type="even" r:id="rId224"/>
          <w:footerReference w:type="default" r:id="rId225"/>
          <w:headerReference w:type="first" r:id="rId226"/>
          <w:footerReference w:type="first" r:id="rId227"/>
          <w:pgSz w:w="16839" w:h="11907" w:orient="landscape"/>
          <w:pgMar w:top="1134" w:right="1134" w:bottom="1134" w:left="1134" w:header="567" w:footer="567" w:gutter="0"/>
          <w:cols w:space="720"/>
          <w:docGrid w:linePitch="360"/>
        </w:sectPr>
      </w:pPr>
    </w:p>
    <w:p w14:paraId="17D67A3B" w14:textId="77777777" w:rsidR="00A00259" w:rsidRDefault="00371282">
      <w:pPr>
        <w:pStyle w:val="P68B1DB1-Normal17"/>
        <w:spacing w:before="120" w:after="120" w:line="240" w:lineRule="auto"/>
        <w:ind w:firstLine="6"/>
        <w:jc w:val="both"/>
        <w:outlineLvl w:val="3"/>
        <w:rPr>
          <w:rFonts w:cs="Times New Roman"/>
          <w:noProof/>
          <w:szCs w:val="24"/>
        </w:rPr>
      </w:pPr>
      <w:r>
        <w:rPr>
          <w:noProof/>
        </w:rPr>
        <w:t>K. Élément 3.4: AUGMENTER L'ACCÈS AUX POLITIQUES SOCIALES EFFICACES ET INCLUSIVES</w:t>
      </w:r>
    </w:p>
    <w:p w14:paraId="1A1BEC46" w14:textId="77777777" w:rsidR="00A00259" w:rsidRDefault="00371282">
      <w:pPr>
        <w:pStyle w:val="P68B1DB1-Normal5"/>
        <w:spacing w:before="120" w:after="120" w:line="240" w:lineRule="auto"/>
        <w:jc w:val="both"/>
        <w:rPr>
          <w:rFonts w:cs="Times New Roman"/>
          <w:noProof/>
          <w:szCs w:val="24"/>
        </w:rPr>
      </w:pPr>
      <w:r>
        <w:rPr>
          <w:noProof/>
        </w:rPr>
        <w:t>Ce volet du plan grec de redressement et de résolution vise à promouvoir l’inclusion sociale en mettant particulièrement l’accent sur les groupes vulnérables, tout en soutenant la participation des femmes au marché du travail. Une grande partie du volet est consacrée à l’éducation et à l’accueil de la petite enfance, notamment sous la forme de subventions pour la création de 1 000 nouvelles unités de garde d’enfants dans les municipalités. Le plan prévoit également des mesures d’activation du marché du travail pour les groupes vulnérables, y compris les bénéficiaires d’un revenu minimum garanti, les réfugiés, les sans-abri, les Roms et les personnes souffrant de troubles du spectre autistique. Un programme de formation à grande échelle pour les petites entreprises sur la sensibilisation à la diversité et plusieurs petits projets pilotes tels que la désinstitutionnalisation des enfants, le soutien aux personnes handicapées et le logement social sont également des éléments clés du plan.</w:t>
      </w:r>
      <w:r>
        <w:rPr>
          <w:noProof/>
          <w:color w:val="000000"/>
          <w:shd w:val="clear" w:color="auto" w:fill="FFFFFF"/>
        </w:rPr>
        <w:t xml:space="preserve"> Ce volet est conforme aux recommandations par pays concernant le marché du travail et la politique sociale (recommandations par pays 2 2020 et 1 2019) et l’investissement (recommandations par pays 3 2020 et 2 2019). </w:t>
      </w: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3C43EDCE" w14:textId="77777777" w:rsidR="00A00259" w:rsidRDefault="00A00259">
      <w:pPr>
        <w:spacing w:before="120" w:after="120" w:line="240" w:lineRule="auto"/>
        <w:jc w:val="both"/>
        <w:rPr>
          <w:rFonts w:ascii="Times New Roman" w:hAnsi="Times New Roman"/>
          <w:b/>
          <w:noProof/>
          <w:sz w:val="24"/>
          <w:u w:val="single"/>
        </w:rPr>
      </w:pPr>
    </w:p>
    <w:p w14:paraId="1506D067" w14:textId="77777777" w:rsidR="00A00259" w:rsidRDefault="00371282">
      <w:pPr>
        <w:pStyle w:val="P68B1DB1-Normal6"/>
        <w:spacing w:before="120" w:after="120" w:line="240" w:lineRule="auto"/>
        <w:jc w:val="both"/>
        <w:rPr>
          <w:rFonts w:cs="Times New Roman"/>
          <w:i/>
          <w:noProof/>
          <w:color w:val="4F81BD"/>
          <w:szCs w:val="24"/>
        </w:rPr>
      </w:pPr>
      <w:r>
        <w:rPr>
          <w:noProof/>
        </w:rPr>
        <w:t>K.1. Description des réformes et des investissements pour le soutien financier non remboursable</w:t>
      </w:r>
    </w:p>
    <w:p w14:paraId="4175CDB8" w14:textId="77777777" w:rsidR="00A00259" w:rsidRDefault="00371282">
      <w:pPr>
        <w:pStyle w:val="P68B1DB1-Normal5"/>
        <w:spacing w:before="120" w:after="120" w:line="240" w:lineRule="auto"/>
        <w:jc w:val="both"/>
        <w:rPr>
          <w:rFonts w:cs="Times New Roman"/>
          <w:noProof/>
          <w:szCs w:val="24"/>
        </w:rPr>
      </w:pPr>
      <w:r>
        <w:rPr>
          <w:b/>
          <w:noProof/>
        </w:rPr>
        <w:t xml:space="preserve">Réforme: Protection de </w:t>
      </w:r>
      <w:r>
        <w:rPr>
          <w:noProof/>
        </w:rPr>
        <w:t>l’enfance (mesure ID: 16919)</w:t>
      </w:r>
    </w:p>
    <w:p w14:paraId="5F61DE90" w14:textId="77777777" w:rsidR="00A00259" w:rsidRDefault="00371282">
      <w:pPr>
        <w:pStyle w:val="P68B1DB1-Normal7"/>
        <w:spacing w:before="120" w:after="120" w:line="240" w:lineRule="auto"/>
        <w:jc w:val="both"/>
        <w:rPr>
          <w:rFonts w:cs="Times New Roman"/>
          <w:noProof/>
        </w:rPr>
      </w:pPr>
      <w:r>
        <w:rPr>
          <w:noProof/>
        </w:rPr>
        <w:t xml:space="preserve">L’objectif de la mesure est de soutenir la protection de l’enfance. La mesure consiste en des investissements permettant la désinstitutionnalisation et l’amélioration de l’employabilité des personnes âgées de moins de 26 ans. </w:t>
      </w:r>
    </w:p>
    <w:p w14:paraId="48A42888"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Handicap (mesure ID: 16904)</w:t>
      </w:r>
    </w:p>
    <w:p w14:paraId="5CB3CAA9" w14:textId="235ECA6A" w:rsidR="00A00259" w:rsidRDefault="00371282">
      <w:pPr>
        <w:pStyle w:val="P68B1DB1-Normal7"/>
        <w:spacing w:before="120" w:after="120" w:line="240" w:lineRule="auto"/>
        <w:jc w:val="both"/>
        <w:rPr>
          <w:noProof/>
        </w:rPr>
      </w:pPr>
      <w:r>
        <w:rPr>
          <w:noProof/>
        </w:rPr>
        <w:t xml:space="preserve">L’objectif de la mesure est de soutenir l’inclusion sociale, l’autonomie de vie, l’employabilité et l’intervention en faveur de la petite enfance pour les personnes handicapées. La mesure consiste à fournir: a) le financement de l'accessibilité et des infrastructures de soutien pour les personnes à mobilité réduite et ayant des déficiences sensorielles, ainsi que l'aide à la vie autonome pour les personnes handicapées; b) le soutien aux interventions en faveur de la petite enfance. </w:t>
      </w:r>
    </w:p>
    <w:p w14:paraId="7872ACC1" w14:textId="77777777" w:rsidR="00A00259" w:rsidRDefault="00371282">
      <w:pPr>
        <w:pStyle w:val="P68B1DB1-Normal5"/>
        <w:rPr>
          <w:b/>
          <w:noProof/>
        </w:rPr>
      </w:pPr>
      <w:r>
        <w:rPr>
          <w:b/>
          <w:noProof/>
        </w:rPr>
        <w:t>Investissement:</w:t>
      </w:r>
      <w:r>
        <w:rPr>
          <w:noProof/>
        </w:rPr>
        <w:t xml:space="preserve"> Intégration sociale (mesure ID: 16922)</w:t>
      </w:r>
    </w:p>
    <w:p w14:paraId="625A4F83" w14:textId="01F7ACB7" w:rsidR="00A00259" w:rsidRDefault="00371282">
      <w:pPr>
        <w:pStyle w:val="P68B1DB1-Normal7"/>
        <w:spacing w:before="120" w:after="120" w:line="240" w:lineRule="auto"/>
        <w:jc w:val="both"/>
        <w:rPr>
          <w:rFonts w:cs="Times New Roman"/>
          <w:noProof/>
        </w:rPr>
      </w:pPr>
      <w:r>
        <w:rPr>
          <w:noProof/>
        </w:rPr>
        <w:t xml:space="preserve">L’objectif de la mesure est d’accroître l’intégration sociale des personnes vulnérables, des personnes âgées et des personnes handicapées. La mesure consiste en: a) la formation numérique des personnes âgées et des personnes handicapées; b) l'aide au logement social. </w:t>
      </w:r>
    </w:p>
    <w:p w14:paraId="3DA947E8"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Transformation numérique du système de soutien social (mesure ID: 16925)</w:t>
      </w:r>
    </w:p>
    <w:p w14:paraId="223857AA" w14:textId="77777777" w:rsidR="00A00259" w:rsidRDefault="00371282">
      <w:pPr>
        <w:pStyle w:val="P68B1DB1-Normal7"/>
        <w:spacing w:before="120" w:after="120" w:line="240" w:lineRule="auto"/>
        <w:jc w:val="both"/>
        <w:rPr>
          <w:rFonts w:cs="Times New Roman"/>
          <w:noProof/>
        </w:rPr>
      </w:pPr>
      <w:r>
        <w:rPr>
          <w:noProof/>
        </w:rPr>
        <w:t>L’objectif de cette mesure est de faciliter la modernisation et la transformation numérique des systèmes de protection sociale et de protection sociale. La mesure consiste à créer un portail national sur le handicap et à délivrer des cartes d’invalidité aux bénéficiaires.</w:t>
      </w:r>
    </w:p>
    <w:p w14:paraId="6687DA11"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Optimisation des prestations sociales (mesure ID: 16726)</w:t>
      </w:r>
    </w:p>
    <w:p w14:paraId="04C598B1" w14:textId="017F4CB1" w:rsidR="00A00259" w:rsidRDefault="00371282">
      <w:pPr>
        <w:pStyle w:val="P68B1DB1-Normal5"/>
        <w:spacing w:before="120" w:after="120" w:line="240" w:lineRule="auto"/>
        <w:jc w:val="both"/>
        <w:rPr>
          <w:rFonts w:cs="Times New Roman"/>
          <w:noProof/>
          <w:szCs w:val="24"/>
        </w:rPr>
      </w:pPr>
      <w:r>
        <w:rPr>
          <w:noProof/>
          <w:szCs w:val="24"/>
        </w:rPr>
        <w:t>L’objectif de la mesure est d’optimiser le transfert des prestations sociales grâce à l’utilisation de cartes prépayées. La mesure consiste à</w:t>
      </w:r>
      <w:r>
        <w:rPr>
          <w:noProof/>
        </w:rPr>
        <w:t xml:space="preserve"> introduire des cartes prépayées pour le paiement de la majorité des prestations sociales, y compris des</w:t>
      </w:r>
      <w:r>
        <w:rPr>
          <w:noProof/>
          <w:szCs w:val="24"/>
        </w:rPr>
        <w:t xml:space="preserve"> incitations pour les bénéficiaires à les utiliser pour l'achat de biens et de services. </w:t>
      </w:r>
    </w:p>
    <w:p w14:paraId="2B7F81F6"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Sensibilisation à la diversité (ID de mesure: 16685)</w:t>
      </w:r>
    </w:p>
    <w:p w14:paraId="55A99508" w14:textId="77777777" w:rsidR="00A00259" w:rsidRDefault="00371282">
      <w:pPr>
        <w:pStyle w:val="P68B1DB1-Normal7"/>
        <w:spacing w:before="120" w:after="120" w:line="240" w:lineRule="auto"/>
        <w:jc w:val="both"/>
        <w:rPr>
          <w:noProof/>
        </w:rPr>
      </w:pPr>
      <w:r>
        <w:rPr>
          <w:noProof/>
        </w:rPr>
        <w:t>L’objectif de la mesure est de sensibiliser à la diversité. La mesure consiste à: a) des programmes de formation à la diversité à l'intention des employés du secteur privé; b) l'entrée en vigueur d'un acte juridique prévoyant un mécanisme de système d'attribution pour les entreprises/organisations promouvant la diversité et l'inclusion.</w:t>
      </w:r>
    </w:p>
    <w:p w14:paraId="65C72580"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Promouvoir l’intégration de la population réfugiée sur le marché du travail (mesure ID: 16688)</w:t>
      </w:r>
    </w:p>
    <w:p w14:paraId="23F69849" w14:textId="6C9A88F4" w:rsidR="00A00259" w:rsidRDefault="00371282">
      <w:pPr>
        <w:pStyle w:val="P68B1DB1-Normal7"/>
        <w:spacing w:before="120" w:after="0" w:line="240" w:lineRule="auto"/>
        <w:jc w:val="both"/>
        <w:rPr>
          <w:rFonts w:cs="Times New Roman"/>
          <w:noProof/>
        </w:rPr>
      </w:pPr>
      <w:r>
        <w:rPr>
          <w:noProof/>
        </w:rPr>
        <w:t xml:space="preserve">L’objectif de la mesure est de promouvoir l’intégration de la population réfugiée sur le marché du travail. La mesure consiste en des formations professionnelles et linguistiques et des stages pour les réfugiés, les migrants en situation régulière et les demandeurs d’asile. </w:t>
      </w:r>
    </w:p>
    <w:p w14:paraId="463CFADE"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Transformation numérique du système d’immigration et d’asile (mesure ID: 16763)</w:t>
      </w:r>
    </w:p>
    <w:p w14:paraId="2C70E207" w14:textId="74320739" w:rsidR="00A00259" w:rsidRDefault="00371282">
      <w:pPr>
        <w:pStyle w:val="P68B1DB1-Normal7"/>
        <w:spacing w:before="120" w:after="120" w:line="240" w:lineRule="auto"/>
        <w:jc w:val="both"/>
        <w:rPr>
          <w:rFonts w:cs="Times New Roman"/>
          <w:noProof/>
        </w:rPr>
      </w:pPr>
      <w:r>
        <w:rPr>
          <w:noProof/>
        </w:rPr>
        <w:t>L'objectif de l'investissement est d'améliorer la qualité des services pour les migrants et les demandeurs d'asile. La mesure consiste à fournir des biens et des services pour la numérisation du système de migration et d’asile.</w:t>
      </w:r>
    </w:p>
    <w:p w14:paraId="019BF60C" w14:textId="77777777" w:rsidR="00A00259" w:rsidRDefault="00371282">
      <w:pPr>
        <w:spacing w:before="120"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b/>
          <w:noProof/>
          <w:color w:val="000000" w:themeColor="text1"/>
          <w:sz w:val="24"/>
          <w:szCs w:val="24"/>
        </w:rPr>
        <w:t>Réforme:</w:t>
      </w:r>
      <w:r>
        <w:rPr>
          <w:rFonts w:ascii="Times New Roman" w:hAnsi="Times New Roman" w:cs="Times New Roman"/>
          <w:noProof/>
          <w:color w:val="000000" w:themeColor="text1"/>
          <w:sz w:val="24"/>
          <w:szCs w:val="24"/>
        </w:rPr>
        <w:t xml:space="preserve"> Logement </w:t>
      </w:r>
      <w:r>
        <w:rPr>
          <w:rStyle w:val="normaltextrun"/>
          <w:rFonts w:ascii="Times New Roman" w:eastAsiaTheme="minorHAnsi" w:hAnsi="Times New Roman" w:cs="Times New Roman"/>
          <w:noProof/>
          <w:color w:val="000000" w:themeColor="text1"/>
          <w:sz w:val="24"/>
          <w:szCs w:val="24"/>
          <w:bdr w:val="none" w:sz="0" w:space="0" w:color="auto" w:frame="1"/>
        </w:rPr>
        <w:t>social</w:t>
      </w:r>
      <w:r>
        <w:rPr>
          <w:rFonts w:ascii="Times New Roman" w:hAnsi="Times New Roman" w:cs="Times New Roman"/>
          <w:noProof/>
          <w:color w:val="000000" w:themeColor="text1"/>
          <w:sz w:val="24"/>
          <w:szCs w:val="24"/>
        </w:rPr>
        <w:t xml:space="preserve"> et abordable (mesure ID: 16402)</w:t>
      </w:r>
    </w:p>
    <w:p w14:paraId="573AD31F" w14:textId="40CF7D3E" w:rsidR="00A00259" w:rsidRDefault="00371282">
      <w:pPr>
        <w:pStyle w:val="paragraph"/>
        <w:jc w:val="both"/>
        <w:textAlignment w:val="baseline"/>
        <w:rPr>
          <w:noProof/>
        </w:rPr>
      </w:pPr>
      <w:r>
        <w:rPr>
          <w:noProof/>
        </w:rPr>
        <w:t>L’objectif de la mesure est d’améliorer l’accès à un logement abordable et de qualité pour les ménages à faible revenu et d’accroître la disponibilité de logements sociaux pour les groupes vulnérables. La mesure se compose de deux éléments: i) l’adoption d’une stratégie nationale en matière de logement et ii) des modifications législatives liées au programme d’échanges réciproques de biens publics («Kinoniki Antiparochi»).</w:t>
      </w:r>
    </w:p>
    <w:p w14:paraId="06C21EEA" w14:textId="77777777" w:rsidR="00A00259" w:rsidRDefault="00A00259">
      <w:pPr>
        <w:pStyle w:val="PlainText"/>
        <w:jc w:val="both"/>
        <w:rPr>
          <w:rFonts w:ascii="Times New Roman" w:eastAsia="Times New Roman" w:hAnsi="Times New Roman" w:cs="Times New Roman"/>
          <w:noProof/>
          <w:sz w:val="24"/>
          <w:szCs w:val="24"/>
          <w14:ligatures w14:val="none"/>
        </w:rPr>
      </w:pPr>
    </w:p>
    <w:p w14:paraId="60289CFF" w14:textId="77777777" w:rsidR="00A00259" w:rsidRDefault="00A00259">
      <w:pPr>
        <w:spacing w:after="0" w:line="240" w:lineRule="auto"/>
        <w:rPr>
          <w:rFonts w:ascii="Times New Roman" w:eastAsiaTheme="minorHAnsi" w:hAnsi="Times New Roman" w:cs="Times New Roman"/>
          <w:noProof/>
          <w:sz w:val="24"/>
          <w:szCs w:val="24"/>
        </w:rPr>
        <w:sectPr w:rsidR="00A00259">
          <w:headerReference w:type="even" r:id="rId228"/>
          <w:headerReference w:type="default" r:id="rId229"/>
          <w:footerReference w:type="even" r:id="rId230"/>
          <w:footerReference w:type="default" r:id="rId231"/>
          <w:headerReference w:type="first" r:id="rId232"/>
          <w:footerReference w:type="first" r:id="rId233"/>
          <w:pgSz w:w="11906" w:h="16838"/>
          <w:pgMar w:top="1134" w:right="1134" w:bottom="1134" w:left="1134" w:header="567" w:footer="567" w:gutter="0"/>
          <w:cols w:space="708"/>
          <w:docGrid w:linePitch="360"/>
        </w:sectPr>
      </w:pPr>
    </w:p>
    <w:p w14:paraId="111BC000" w14:textId="77777777" w:rsidR="00A00259" w:rsidRDefault="00371282">
      <w:pPr>
        <w:pStyle w:val="P68B1DB1-Normal6"/>
        <w:spacing w:before="120" w:after="120" w:line="240" w:lineRule="auto"/>
        <w:jc w:val="both"/>
        <w:rPr>
          <w:rFonts w:cs="Times New Roman"/>
          <w:bCs/>
          <w:noProof/>
        </w:rPr>
      </w:pPr>
      <w:r>
        <w:rPr>
          <w:noProof/>
        </w:rPr>
        <w:t>K.2. Étapes, cibles, indicateurs et calendrier pour le suivi et la mise en œuvre du soutien financier non remboursable</w:t>
      </w:r>
    </w:p>
    <w:p w14:paraId="70A17FE9" w14:textId="77777777" w:rsidR="00A00259" w:rsidRDefault="00371282">
      <w:pPr>
        <w:pStyle w:val="P68B1DB1-Normal9"/>
        <w:keepNext/>
        <w:keepLines/>
        <w:spacing w:before="120" w:after="0" w:line="240" w:lineRule="auto"/>
        <w:jc w:val="both"/>
        <w:outlineLvl w:val="4"/>
        <w:rPr>
          <w:rFonts w:eastAsia="Times New Roman"/>
          <w:noProof/>
        </w:rPr>
      </w:pPr>
      <w:r>
        <w:rPr>
          <w:noProof/>
        </w:rPr>
        <w:t>Groupe 15: Accroître l'accès à des politiques sociales efficaces et inclusives</w:t>
      </w:r>
    </w:p>
    <w:p w14:paraId="7EB50B85" w14:textId="77777777" w:rsidR="00A00259" w:rsidRDefault="00371282">
      <w:pPr>
        <w:pStyle w:val="P68B1DB1-Normal5"/>
        <w:numPr>
          <w:ilvl w:val="0"/>
          <w:numId w:val="51"/>
        </w:numPr>
        <w:spacing w:before="120" w:after="0" w:line="240" w:lineRule="auto"/>
        <w:ind w:left="0"/>
        <w:jc w:val="both"/>
        <w:rPr>
          <w:rFonts w:cs="Times New Roman"/>
          <w:noProof/>
        </w:rPr>
      </w:pPr>
      <w:r>
        <w:rPr>
          <w:noProof/>
        </w:rPr>
        <w:t>Protection de l'enfance (ID: 16919)</w:t>
      </w:r>
    </w:p>
    <w:p w14:paraId="0287F384" w14:textId="77777777" w:rsidR="00A00259" w:rsidRDefault="00371282">
      <w:pPr>
        <w:pStyle w:val="P68B1DB1-Normal5"/>
        <w:numPr>
          <w:ilvl w:val="0"/>
          <w:numId w:val="51"/>
        </w:numPr>
        <w:spacing w:before="120" w:after="0" w:line="240" w:lineRule="auto"/>
        <w:ind w:left="0" w:hanging="357"/>
        <w:jc w:val="both"/>
        <w:rPr>
          <w:rFonts w:cs="Times New Roman"/>
          <w:noProof/>
        </w:rPr>
      </w:pPr>
      <w:r>
        <w:rPr>
          <w:noProof/>
        </w:rPr>
        <w:t>Handicap (ID: 16904)</w:t>
      </w:r>
    </w:p>
    <w:p w14:paraId="3495CEB8" w14:textId="77777777" w:rsidR="00A00259" w:rsidRDefault="00371282">
      <w:pPr>
        <w:pStyle w:val="P68B1DB1-Normal5"/>
        <w:numPr>
          <w:ilvl w:val="0"/>
          <w:numId w:val="51"/>
        </w:numPr>
        <w:spacing w:before="120" w:after="0" w:line="240" w:lineRule="auto"/>
        <w:ind w:left="0" w:hanging="357"/>
        <w:jc w:val="both"/>
        <w:rPr>
          <w:rFonts w:cs="Times New Roman"/>
          <w:noProof/>
        </w:rPr>
      </w:pPr>
      <w:r>
        <w:rPr>
          <w:noProof/>
        </w:rPr>
        <w:t>Optimisation des prestations sociales (16726)</w:t>
      </w:r>
    </w:p>
    <w:p w14:paraId="7228326C" w14:textId="77777777" w:rsidR="00A00259" w:rsidRDefault="00371282">
      <w:pPr>
        <w:pStyle w:val="P68B1DB1-Normal44"/>
        <w:numPr>
          <w:ilvl w:val="0"/>
          <w:numId w:val="51"/>
        </w:numPr>
        <w:spacing w:after="0" w:line="240" w:lineRule="auto"/>
        <w:ind w:left="0" w:hanging="357"/>
        <w:jc w:val="both"/>
        <w:rPr>
          <w:rFonts w:cs="Times New Roman"/>
          <w:noProof/>
        </w:rPr>
      </w:pPr>
      <w:r>
        <w:rPr>
          <w:noProof/>
        </w:rPr>
        <w:t>Logement social et abordable (16402)</w:t>
      </w:r>
    </w:p>
    <w:p w14:paraId="0B235851" w14:textId="77777777" w:rsidR="00A00259" w:rsidRDefault="00A00259">
      <w:pPr>
        <w:spacing w:after="0" w:line="240" w:lineRule="auto"/>
        <w:jc w:val="both"/>
        <w:rPr>
          <w:rFonts w:ascii="Times New Roman" w:hAnsi="Times New Roman" w:cs="Times New Roman"/>
          <w:noProof/>
          <w:sz w:val="24"/>
        </w:rPr>
      </w:pPr>
    </w:p>
    <w:tbl>
      <w:tblPr>
        <w:tblW w:w="1606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04"/>
        <w:gridCol w:w="2269"/>
        <w:gridCol w:w="1134"/>
        <w:gridCol w:w="1559"/>
        <w:gridCol w:w="1984"/>
        <w:gridCol w:w="993"/>
        <w:gridCol w:w="992"/>
        <w:gridCol w:w="850"/>
        <w:gridCol w:w="961"/>
        <w:gridCol w:w="720"/>
        <w:gridCol w:w="3997"/>
      </w:tblGrid>
      <w:tr w:rsidR="00A00259" w14:paraId="60BC9540" w14:textId="77777777">
        <w:trPr>
          <w:trHeight w:val="616"/>
          <w:tblHeader/>
          <w:jc w:val="center"/>
        </w:trPr>
        <w:tc>
          <w:tcPr>
            <w:tcW w:w="604" w:type="dxa"/>
            <w:vMerge w:val="restart"/>
            <w:shd w:val="clear" w:color="auto" w:fill="BDD7EE"/>
            <w:vAlign w:val="center"/>
            <w:hideMark/>
          </w:tcPr>
          <w:p w14:paraId="65FFD14C"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Seq. </w:t>
            </w:r>
            <w:r>
              <w:rPr>
                <w:noProof/>
              </w:rPr>
              <w:br/>
              <w:t>Non.</w:t>
            </w:r>
          </w:p>
        </w:tc>
        <w:tc>
          <w:tcPr>
            <w:tcW w:w="2269" w:type="dxa"/>
            <w:vMerge w:val="restart"/>
            <w:shd w:val="clear" w:color="auto" w:fill="BDD7EE"/>
            <w:vAlign w:val="center"/>
            <w:hideMark/>
          </w:tcPr>
          <w:p w14:paraId="220D4174"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134" w:type="dxa"/>
            <w:vMerge w:val="restart"/>
            <w:shd w:val="clear" w:color="auto" w:fill="BDD7EE"/>
            <w:vAlign w:val="center"/>
            <w:hideMark/>
          </w:tcPr>
          <w:p w14:paraId="7194C7BE"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559" w:type="dxa"/>
            <w:vMerge w:val="restart"/>
            <w:shd w:val="clear" w:color="auto" w:fill="BDD7EE"/>
            <w:vAlign w:val="center"/>
            <w:hideMark/>
          </w:tcPr>
          <w:p w14:paraId="73BFC499"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984" w:type="dxa"/>
            <w:vMerge w:val="restart"/>
            <w:shd w:val="clear" w:color="auto" w:fill="BDD7EE"/>
            <w:vAlign w:val="center"/>
            <w:hideMark/>
          </w:tcPr>
          <w:p w14:paraId="1EE61619"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2835" w:type="dxa"/>
            <w:gridSpan w:val="3"/>
            <w:shd w:val="clear" w:color="auto" w:fill="BDD7EE"/>
            <w:vAlign w:val="center"/>
            <w:hideMark/>
          </w:tcPr>
          <w:p w14:paraId="7BEA81F0" w14:textId="77777777" w:rsidR="00A00259" w:rsidRDefault="00371282">
            <w:pPr>
              <w:pStyle w:val="P68B1DB1-Normal10"/>
              <w:spacing w:after="0" w:line="240" w:lineRule="auto"/>
              <w:jc w:val="center"/>
              <w:rPr>
                <w:noProof/>
              </w:rPr>
            </w:pPr>
            <w:r>
              <w:rPr>
                <w:noProof/>
              </w:rPr>
              <w:t>Indicateurs quantitatifs</w:t>
            </w:r>
            <w:r>
              <w:rPr>
                <w:noProof/>
              </w:rPr>
              <w:br/>
              <w:t xml:space="preserve"> (pour les objectifs)</w:t>
            </w:r>
          </w:p>
        </w:tc>
        <w:tc>
          <w:tcPr>
            <w:tcW w:w="1681" w:type="dxa"/>
            <w:gridSpan w:val="2"/>
            <w:shd w:val="clear" w:color="auto" w:fill="BDD7EE"/>
            <w:vAlign w:val="center"/>
            <w:hideMark/>
          </w:tcPr>
          <w:p w14:paraId="6E87D19D"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3997" w:type="dxa"/>
            <w:vMerge w:val="restart"/>
            <w:shd w:val="clear" w:color="auto" w:fill="BDD7EE"/>
            <w:vAlign w:val="center"/>
            <w:hideMark/>
          </w:tcPr>
          <w:p w14:paraId="6B8176EF"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746348FB" w14:textId="77777777">
        <w:trPr>
          <w:trHeight w:val="658"/>
          <w:tblHeader/>
          <w:jc w:val="center"/>
        </w:trPr>
        <w:tc>
          <w:tcPr>
            <w:tcW w:w="604" w:type="dxa"/>
            <w:vMerge/>
            <w:vAlign w:val="center"/>
            <w:hideMark/>
          </w:tcPr>
          <w:p w14:paraId="3DB69DC7" w14:textId="77777777" w:rsidR="00A00259" w:rsidRDefault="00A00259">
            <w:pPr>
              <w:spacing w:before="120" w:after="0" w:line="240" w:lineRule="auto"/>
              <w:rPr>
                <w:rFonts w:ascii="Times New Roman" w:eastAsia="Times New Roman" w:hAnsi="Times New Roman" w:cs="Times New Roman"/>
                <w:b/>
                <w:bCs/>
                <w:noProof/>
                <w:sz w:val="18"/>
                <w:szCs w:val="18"/>
              </w:rPr>
            </w:pPr>
          </w:p>
        </w:tc>
        <w:tc>
          <w:tcPr>
            <w:tcW w:w="2269" w:type="dxa"/>
            <w:vMerge/>
            <w:vAlign w:val="center"/>
            <w:hideMark/>
          </w:tcPr>
          <w:p w14:paraId="21CFB9DB" w14:textId="77777777" w:rsidR="00A00259" w:rsidRDefault="00A00259">
            <w:pPr>
              <w:spacing w:before="120" w:after="0" w:line="240" w:lineRule="auto"/>
              <w:rPr>
                <w:rFonts w:ascii="Times New Roman" w:eastAsia="Times New Roman" w:hAnsi="Times New Roman" w:cs="Times New Roman"/>
                <w:b/>
                <w:bCs/>
                <w:noProof/>
                <w:sz w:val="18"/>
                <w:szCs w:val="18"/>
              </w:rPr>
            </w:pPr>
          </w:p>
        </w:tc>
        <w:tc>
          <w:tcPr>
            <w:tcW w:w="1134" w:type="dxa"/>
            <w:vMerge/>
            <w:vAlign w:val="center"/>
            <w:hideMark/>
          </w:tcPr>
          <w:p w14:paraId="3919C2E0" w14:textId="77777777" w:rsidR="00A00259" w:rsidRDefault="00A00259">
            <w:pPr>
              <w:spacing w:before="120" w:after="0" w:line="240" w:lineRule="auto"/>
              <w:rPr>
                <w:rFonts w:ascii="Times New Roman" w:eastAsia="Times New Roman" w:hAnsi="Times New Roman" w:cs="Times New Roman"/>
                <w:b/>
                <w:bCs/>
                <w:noProof/>
                <w:sz w:val="18"/>
                <w:szCs w:val="18"/>
              </w:rPr>
            </w:pPr>
          </w:p>
        </w:tc>
        <w:tc>
          <w:tcPr>
            <w:tcW w:w="1559" w:type="dxa"/>
            <w:vMerge/>
            <w:vAlign w:val="center"/>
            <w:hideMark/>
          </w:tcPr>
          <w:p w14:paraId="2C55EDAF" w14:textId="77777777" w:rsidR="00A00259" w:rsidRDefault="00A00259">
            <w:pPr>
              <w:spacing w:before="120" w:after="0" w:line="240" w:lineRule="auto"/>
              <w:rPr>
                <w:rFonts w:ascii="Times New Roman" w:eastAsia="Times New Roman" w:hAnsi="Times New Roman" w:cs="Times New Roman"/>
                <w:b/>
                <w:bCs/>
                <w:noProof/>
                <w:sz w:val="18"/>
                <w:szCs w:val="18"/>
              </w:rPr>
            </w:pPr>
          </w:p>
        </w:tc>
        <w:tc>
          <w:tcPr>
            <w:tcW w:w="1984" w:type="dxa"/>
            <w:vMerge/>
            <w:vAlign w:val="center"/>
            <w:hideMark/>
          </w:tcPr>
          <w:p w14:paraId="778C1209" w14:textId="77777777" w:rsidR="00A00259" w:rsidRDefault="00A00259">
            <w:pPr>
              <w:spacing w:before="120" w:after="0" w:line="240" w:lineRule="auto"/>
              <w:rPr>
                <w:rFonts w:ascii="Times New Roman" w:eastAsia="Times New Roman" w:hAnsi="Times New Roman" w:cs="Times New Roman"/>
                <w:b/>
                <w:bCs/>
                <w:noProof/>
                <w:sz w:val="18"/>
                <w:szCs w:val="18"/>
              </w:rPr>
            </w:pPr>
          </w:p>
        </w:tc>
        <w:tc>
          <w:tcPr>
            <w:tcW w:w="993" w:type="dxa"/>
            <w:shd w:val="clear" w:color="auto" w:fill="BDD7EE"/>
            <w:vAlign w:val="center"/>
            <w:hideMark/>
          </w:tcPr>
          <w:p w14:paraId="539CDDB4" w14:textId="77777777" w:rsidR="00A00259" w:rsidRDefault="00371282">
            <w:pPr>
              <w:pStyle w:val="P68B1DB1-Normal10"/>
              <w:spacing w:before="120" w:after="0" w:line="240" w:lineRule="auto"/>
              <w:jc w:val="center"/>
              <w:rPr>
                <w:rFonts w:eastAsia="Times New Roman" w:cs="Times New Roman"/>
                <w:bCs/>
                <w:noProof/>
                <w:szCs w:val="18"/>
              </w:rPr>
            </w:pPr>
            <w:r>
              <w:rPr>
                <w:noProof/>
              </w:rPr>
              <w:t>Unité de mesure</w:t>
            </w:r>
          </w:p>
        </w:tc>
        <w:tc>
          <w:tcPr>
            <w:tcW w:w="992" w:type="dxa"/>
            <w:shd w:val="clear" w:color="auto" w:fill="BDD7EE"/>
            <w:vAlign w:val="center"/>
            <w:hideMark/>
          </w:tcPr>
          <w:p w14:paraId="43F214BD" w14:textId="77777777" w:rsidR="00A00259" w:rsidRDefault="00371282">
            <w:pPr>
              <w:pStyle w:val="P68B1DB1-Normal10"/>
              <w:spacing w:before="120" w:after="0" w:line="240" w:lineRule="auto"/>
              <w:jc w:val="center"/>
              <w:rPr>
                <w:rFonts w:eastAsia="Times New Roman" w:cs="Times New Roman"/>
                <w:bCs/>
                <w:noProof/>
                <w:szCs w:val="18"/>
              </w:rPr>
            </w:pPr>
            <w:r>
              <w:rPr>
                <w:noProof/>
              </w:rPr>
              <w:t xml:space="preserve">Données de référence </w:t>
            </w:r>
          </w:p>
        </w:tc>
        <w:tc>
          <w:tcPr>
            <w:tcW w:w="850" w:type="dxa"/>
            <w:shd w:val="clear" w:color="auto" w:fill="BDD7EE"/>
            <w:vAlign w:val="center"/>
            <w:hideMark/>
          </w:tcPr>
          <w:p w14:paraId="3912620A" w14:textId="77777777" w:rsidR="00A00259" w:rsidRDefault="00371282">
            <w:pPr>
              <w:pStyle w:val="P68B1DB1-Normal10"/>
              <w:spacing w:before="120" w:after="0" w:line="240" w:lineRule="auto"/>
              <w:jc w:val="center"/>
              <w:rPr>
                <w:rFonts w:eastAsia="Times New Roman" w:cs="Times New Roman"/>
                <w:bCs/>
                <w:noProof/>
                <w:szCs w:val="18"/>
              </w:rPr>
            </w:pPr>
            <w:r>
              <w:rPr>
                <w:noProof/>
              </w:rPr>
              <w:t xml:space="preserve">Objectif </w:t>
            </w:r>
          </w:p>
        </w:tc>
        <w:tc>
          <w:tcPr>
            <w:tcW w:w="961" w:type="dxa"/>
            <w:shd w:val="clear" w:color="auto" w:fill="BDD7EE"/>
            <w:vAlign w:val="center"/>
            <w:hideMark/>
          </w:tcPr>
          <w:p w14:paraId="1147E923" w14:textId="77777777" w:rsidR="00A00259" w:rsidRDefault="00371282">
            <w:pPr>
              <w:pStyle w:val="P68B1DB1-Normal10"/>
              <w:spacing w:before="120" w:after="0" w:line="240" w:lineRule="auto"/>
              <w:jc w:val="center"/>
              <w:rPr>
                <w:rFonts w:eastAsia="Times New Roman" w:cs="Times New Roman"/>
                <w:bCs/>
                <w:noProof/>
                <w:szCs w:val="18"/>
              </w:rPr>
            </w:pPr>
            <w:r>
              <w:rPr>
                <w:noProof/>
              </w:rPr>
              <w:t>Trimestre</w:t>
            </w:r>
          </w:p>
        </w:tc>
        <w:tc>
          <w:tcPr>
            <w:tcW w:w="720" w:type="dxa"/>
            <w:shd w:val="clear" w:color="auto" w:fill="BDD7EE"/>
            <w:vAlign w:val="center"/>
            <w:hideMark/>
          </w:tcPr>
          <w:p w14:paraId="0EC78C7B" w14:textId="77777777" w:rsidR="00A00259" w:rsidRDefault="00371282">
            <w:pPr>
              <w:pStyle w:val="P68B1DB1-Normal10"/>
              <w:spacing w:before="120" w:after="0" w:line="240" w:lineRule="auto"/>
              <w:jc w:val="center"/>
              <w:rPr>
                <w:rFonts w:eastAsia="Times New Roman" w:cs="Times New Roman"/>
                <w:bCs/>
                <w:noProof/>
                <w:szCs w:val="18"/>
              </w:rPr>
            </w:pPr>
            <w:r>
              <w:rPr>
                <w:noProof/>
              </w:rPr>
              <w:t>Année</w:t>
            </w:r>
          </w:p>
        </w:tc>
        <w:tc>
          <w:tcPr>
            <w:tcW w:w="3997" w:type="dxa"/>
            <w:vMerge/>
            <w:vAlign w:val="center"/>
            <w:hideMark/>
          </w:tcPr>
          <w:p w14:paraId="1864F6F8" w14:textId="77777777" w:rsidR="00A00259" w:rsidRDefault="00A00259">
            <w:pPr>
              <w:spacing w:before="120" w:after="0" w:line="240" w:lineRule="auto"/>
              <w:rPr>
                <w:rFonts w:ascii="Times New Roman" w:eastAsia="Times New Roman" w:hAnsi="Times New Roman" w:cs="Times New Roman"/>
                <w:b/>
                <w:bCs/>
                <w:noProof/>
                <w:sz w:val="18"/>
                <w:szCs w:val="18"/>
              </w:rPr>
            </w:pPr>
          </w:p>
        </w:tc>
      </w:tr>
      <w:tr w:rsidR="00A00259" w14:paraId="7682F548" w14:textId="77777777">
        <w:trPr>
          <w:trHeight w:val="313"/>
          <w:jc w:val="center"/>
        </w:trPr>
        <w:tc>
          <w:tcPr>
            <w:tcW w:w="604" w:type="dxa"/>
            <w:shd w:val="clear" w:color="auto" w:fill="C6EFCE"/>
            <w:noWrap/>
          </w:tcPr>
          <w:p w14:paraId="1FF3AA90" w14:textId="77777777" w:rsidR="00A00259" w:rsidRDefault="00371282">
            <w:pPr>
              <w:pStyle w:val="P68B1DB1-Normal12"/>
              <w:spacing w:before="120" w:after="0" w:line="240" w:lineRule="auto"/>
              <w:rPr>
                <w:rFonts w:eastAsia="Times New Roman"/>
                <w:noProof/>
              </w:rPr>
            </w:pPr>
            <w:r>
              <w:rPr>
                <w:noProof/>
              </w:rPr>
              <w:t>174</w:t>
            </w:r>
          </w:p>
        </w:tc>
        <w:tc>
          <w:tcPr>
            <w:tcW w:w="2269" w:type="dxa"/>
            <w:shd w:val="clear" w:color="auto" w:fill="C6EFCE"/>
            <w:noWrap/>
          </w:tcPr>
          <w:p w14:paraId="61E32702" w14:textId="77777777" w:rsidR="00A00259" w:rsidRDefault="00371282">
            <w:pPr>
              <w:pStyle w:val="P68B1DB1-Normal12"/>
              <w:spacing w:before="120" w:after="0" w:line="240" w:lineRule="auto"/>
              <w:rPr>
                <w:rFonts w:eastAsia="Times New Roman"/>
                <w:noProof/>
              </w:rPr>
            </w:pPr>
            <w:r>
              <w:rPr>
                <w:noProof/>
              </w:rPr>
              <w:t>11 - 3.4. Accroître l'accès à des politiques sociales efficaces et inclusives - 16904_ Handicap</w:t>
            </w:r>
          </w:p>
        </w:tc>
        <w:tc>
          <w:tcPr>
            <w:tcW w:w="1134" w:type="dxa"/>
            <w:shd w:val="clear" w:color="auto" w:fill="C6EFCE"/>
            <w:noWrap/>
          </w:tcPr>
          <w:p w14:paraId="625C699E" w14:textId="77777777" w:rsidR="00A00259" w:rsidRDefault="00371282">
            <w:pPr>
              <w:pStyle w:val="P68B1DB1-Normal12"/>
              <w:spacing w:before="120" w:after="0" w:line="240" w:lineRule="auto"/>
              <w:rPr>
                <w:rFonts w:eastAsia="Times New Roman"/>
                <w:noProof/>
              </w:rPr>
            </w:pPr>
            <w:r>
              <w:rPr>
                <w:noProof/>
              </w:rPr>
              <w:t>Étape</w:t>
            </w:r>
          </w:p>
        </w:tc>
        <w:tc>
          <w:tcPr>
            <w:tcW w:w="1559" w:type="dxa"/>
            <w:shd w:val="clear" w:color="auto" w:fill="C6EFCE"/>
            <w:noWrap/>
          </w:tcPr>
          <w:p w14:paraId="0E4CAFD6" w14:textId="77777777" w:rsidR="00A00259" w:rsidRDefault="00371282">
            <w:pPr>
              <w:pStyle w:val="P68B1DB1-Normal12"/>
              <w:spacing w:before="120" w:after="0" w:line="240" w:lineRule="auto"/>
              <w:rPr>
                <w:rFonts w:eastAsia="Times New Roman"/>
                <w:noProof/>
              </w:rPr>
            </w:pPr>
            <w:r>
              <w:rPr>
                <w:noProof/>
              </w:rPr>
              <w:t>Loi sur l'assistance personnelle aux personnes handicapées et mise en œuvre de la première phase du projet pilote</w:t>
            </w:r>
          </w:p>
        </w:tc>
        <w:tc>
          <w:tcPr>
            <w:tcW w:w="1984" w:type="dxa"/>
            <w:shd w:val="clear" w:color="auto" w:fill="C6EFCE"/>
            <w:noWrap/>
          </w:tcPr>
          <w:p w14:paraId="2F026BA0" w14:textId="77777777" w:rsidR="00A00259" w:rsidRDefault="00371282">
            <w:pPr>
              <w:pStyle w:val="P68B1DB1-Normal12"/>
              <w:spacing w:before="120" w:after="0" w:line="240" w:lineRule="auto"/>
              <w:rPr>
                <w:rFonts w:eastAsia="Times New Roman"/>
                <w:noProof/>
              </w:rPr>
            </w:pPr>
            <w:r>
              <w:rPr>
                <w:noProof/>
              </w:rPr>
              <w:t>Entrée en vigueur du droit primaire et du droit dérivé (référence au Journal officiel) et publication de l’avis d’appel à candidatures pour le régime d’assistance personnelle.</w:t>
            </w:r>
          </w:p>
        </w:tc>
        <w:tc>
          <w:tcPr>
            <w:tcW w:w="993" w:type="dxa"/>
            <w:shd w:val="clear" w:color="auto" w:fill="C6EFCE"/>
            <w:noWrap/>
          </w:tcPr>
          <w:p w14:paraId="0AE7AC86"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74D24A85"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4281D936"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961" w:type="dxa"/>
            <w:shd w:val="clear" w:color="auto" w:fill="C6EFCE"/>
            <w:noWrap/>
          </w:tcPr>
          <w:p w14:paraId="0A76C111" w14:textId="77777777" w:rsidR="00A00259" w:rsidRDefault="00371282">
            <w:pPr>
              <w:pStyle w:val="P68B1DB1-Normal12"/>
              <w:spacing w:before="120" w:after="0" w:line="240" w:lineRule="auto"/>
              <w:rPr>
                <w:rFonts w:eastAsia="Times New Roman"/>
                <w:noProof/>
              </w:rPr>
            </w:pPr>
            <w:r>
              <w:rPr>
                <w:noProof/>
              </w:rPr>
              <w:t>T1</w:t>
            </w:r>
          </w:p>
        </w:tc>
        <w:tc>
          <w:tcPr>
            <w:tcW w:w="720" w:type="dxa"/>
            <w:shd w:val="clear" w:color="auto" w:fill="C6EFCE"/>
            <w:noWrap/>
          </w:tcPr>
          <w:p w14:paraId="08D9517E" w14:textId="77777777" w:rsidR="00A00259" w:rsidRDefault="00371282">
            <w:pPr>
              <w:pStyle w:val="P68B1DB1-Normal12"/>
              <w:spacing w:before="120" w:after="0" w:line="240" w:lineRule="auto"/>
              <w:rPr>
                <w:rFonts w:eastAsia="Times New Roman"/>
                <w:noProof/>
              </w:rPr>
            </w:pPr>
            <w:r>
              <w:rPr>
                <w:noProof/>
              </w:rPr>
              <w:t>2022</w:t>
            </w:r>
          </w:p>
        </w:tc>
        <w:tc>
          <w:tcPr>
            <w:tcW w:w="3997" w:type="dxa"/>
            <w:shd w:val="clear" w:color="auto" w:fill="C6EFCE"/>
            <w:noWrap/>
          </w:tcPr>
          <w:p w14:paraId="1417F79D" w14:textId="279FCE5E" w:rsidR="00A00259" w:rsidRDefault="00371282">
            <w:pPr>
              <w:pStyle w:val="P68B1DB1-Normal12"/>
              <w:spacing w:before="120" w:after="0" w:line="240" w:lineRule="auto"/>
              <w:rPr>
                <w:rFonts w:eastAsia="Times New Roman"/>
                <w:noProof/>
              </w:rPr>
            </w:pPr>
            <w:r>
              <w:rPr>
                <w:noProof/>
              </w:rPr>
              <w:t>Assistance personnelle: Entrée en vigueur de la loi visant à permettre la désinstitutionnalisation des soins aux personnes handicapées et appel à candidatures pour la participation à un projet pilote de première phase comprenant un processus d’éligibilité fondé sur une évaluation médicale et fonctionnelle du handicap par un comité d’évaluation multidisciplinaire</w:t>
            </w:r>
            <w:r>
              <w:rPr>
                <w:noProof/>
                <w:u w:val="single"/>
              </w:rPr>
              <w:t xml:space="preserve"> </w:t>
            </w:r>
          </w:p>
        </w:tc>
      </w:tr>
      <w:tr w:rsidR="00A00259" w14:paraId="35099B27" w14:textId="77777777">
        <w:trPr>
          <w:trHeight w:val="313"/>
          <w:jc w:val="center"/>
        </w:trPr>
        <w:tc>
          <w:tcPr>
            <w:tcW w:w="604" w:type="dxa"/>
            <w:shd w:val="clear" w:color="auto" w:fill="C6EFCE"/>
            <w:noWrap/>
          </w:tcPr>
          <w:p w14:paraId="1908D4A7" w14:textId="77777777" w:rsidR="00A00259" w:rsidRDefault="00371282">
            <w:pPr>
              <w:pStyle w:val="P68B1DB1-Normal12"/>
              <w:spacing w:before="120" w:after="0" w:line="240" w:lineRule="auto"/>
              <w:rPr>
                <w:rFonts w:eastAsia="Times New Roman"/>
                <w:noProof/>
                <w:highlight w:val="yellow"/>
              </w:rPr>
            </w:pPr>
            <w:r>
              <w:rPr>
                <w:noProof/>
              </w:rPr>
              <w:t>174 bis</w:t>
            </w:r>
          </w:p>
        </w:tc>
        <w:tc>
          <w:tcPr>
            <w:tcW w:w="2269" w:type="dxa"/>
            <w:shd w:val="clear" w:color="auto" w:fill="C6EFCE"/>
            <w:noWrap/>
          </w:tcPr>
          <w:p w14:paraId="02D2CA23" w14:textId="77777777" w:rsidR="00A00259" w:rsidRDefault="00371282">
            <w:pPr>
              <w:pStyle w:val="P68B1DB1-Normal12"/>
              <w:spacing w:before="120" w:after="0" w:line="240" w:lineRule="auto"/>
              <w:rPr>
                <w:rFonts w:eastAsia="Times New Roman"/>
                <w:noProof/>
              </w:rPr>
            </w:pPr>
            <w:r>
              <w:rPr>
                <w:noProof/>
              </w:rPr>
              <w:t>11 - 3.4. Accroître l'accès à des politiques sociales efficaces et inclusives - 16904_ Handicap</w:t>
            </w:r>
          </w:p>
        </w:tc>
        <w:tc>
          <w:tcPr>
            <w:tcW w:w="1134" w:type="dxa"/>
            <w:shd w:val="clear" w:color="auto" w:fill="C6EFCE"/>
            <w:noWrap/>
          </w:tcPr>
          <w:p w14:paraId="6BA14E6B" w14:textId="77777777" w:rsidR="00A00259" w:rsidRDefault="00371282">
            <w:pPr>
              <w:pStyle w:val="P68B1DB1-Normal12"/>
              <w:spacing w:before="120" w:after="0" w:line="240" w:lineRule="auto"/>
              <w:rPr>
                <w:rFonts w:eastAsia="Times New Roman"/>
                <w:noProof/>
              </w:rPr>
            </w:pPr>
            <w:r>
              <w:rPr>
                <w:noProof/>
              </w:rPr>
              <w:t>Étape</w:t>
            </w:r>
          </w:p>
        </w:tc>
        <w:tc>
          <w:tcPr>
            <w:tcW w:w="1559" w:type="dxa"/>
            <w:shd w:val="clear" w:color="auto" w:fill="C6EFCE"/>
            <w:noWrap/>
          </w:tcPr>
          <w:p w14:paraId="264A576F" w14:textId="3D85F463" w:rsidR="00A00259" w:rsidRDefault="00371282">
            <w:pPr>
              <w:pStyle w:val="P68B1DB1-Normal12"/>
              <w:spacing w:before="120" w:after="0" w:line="240" w:lineRule="auto"/>
              <w:rPr>
                <w:noProof/>
              </w:rPr>
            </w:pPr>
            <w:r>
              <w:rPr>
                <w:noProof/>
              </w:rPr>
              <w:t>Infrastructures d’accessibilité et de soutien, interventions en faveur de la petite enfance, déploiement national permanent du régime d’aide aux personnes handicapées</w:t>
            </w:r>
          </w:p>
        </w:tc>
        <w:tc>
          <w:tcPr>
            <w:tcW w:w="1984" w:type="dxa"/>
            <w:shd w:val="clear" w:color="auto" w:fill="C6EFCE"/>
            <w:noWrap/>
          </w:tcPr>
          <w:p w14:paraId="1EF0C669" w14:textId="77777777" w:rsidR="00A00259" w:rsidRDefault="00371282">
            <w:pPr>
              <w:pStyle w:val="P68B1DB1-Normal12"/>
              <w:spacing w:before="120" w:after="0" w:line="240" w:lineRule="auto"/>
              <w:rPr>
                <w:noProof/>
              </w:rPr>
            </w:pPr>
            <w:r>
              <w:rPr>
                <w:noProof/>
              </w:rPr>
              <w:t>Protocoles d'acceptation des comités de projet,</w:t>
            </w:r>
          </w:p>
          <w:p w14:paraId="0D0911C6" w14:textId="15F86604" w:rsidR="00A00259" w:rsidRDefault="00371282">
            <w:pPr>
              <w:pStyle w:val="P68B1DB1-Normal12"/>
              <w:spacing w:before="120" w:after="0" w:line="240" w:lineRule="auto"/>
              <w:rPr>
                <w:rFonts w:eastAsia="Times New Roman"/>
                <w:noProof/>
              </w:rPr>
            </w:pPr>
            <w:r>
              <w:rPr>
                <w:noProof/>
              </w:rPr>
              <w:t>les contrats signés et la publication d’un appel aux bénéficiaires du déploiement national (programme d’aide aux personnes handicapées).</w:t>
            </w:r>
          </w:p>
        </w:tc>
        <w:tc>
          <w:tcPr>
            <w:tcW w:w="993" w:type="dxa"/>
            <w:shd w:val="clear" w:color="auto" w:fill="C6EFCE"/>
            <w:noWrap/>
          </w:tcPr>
          <w:p w14:paraId="2FFB813E"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5E99F6B9"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539AF0D2"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961" w:type="dxa"/>
            <w:shd w:val="clear" w:color="auto" w:fill="C6EFCE"/>
            <w:noWrap/>
          </w:tcPr>
          <w:p w14:paraId="7A158B6A" w14:textId="77777777" w:rsidR="00A00259" w:rsidRDefault="00371282">
            <w:pPr>
              <w:pStyle w:val="P68B1DB1-Normal12"/>
              <w:spacing w:before="120" w:after="0" w:line="240" w:lineRule="auto"/>
              <w:rPr>
                <w:rFonts w:eastAsia="Times New Roman"/>
                <w:noProof/>
              </w:rPr>
            </w:pPr>
            <w:r>
              <w:rPr>
                <w:noProof/>
              </w:rPr>
              <w:t>T4</w:t>
            </w:r>
          </w:p>
        </w:tc>
        <w:tc>
          <w:tcPr>
            <w:tcW w:w="720" w:type="dxa"/>
            <w:shd w:val="clear" w:color="auto" w:fill="C6EFCE"/>
            <w:noWrap/>
          </w:tcPr>
          <w:p w14:paraId="27926DA0" w14:textId="77777777" w:rsidR="00A00259" w:rsidRDefault="00371282">
            <w:pPr>
              <w:pStyle w:val="P68B1DB1-Normal12"/>
              <w:spacing w:before="120" w:after="0" w:line="240" w:lineRule="auto"/>
              <w:rPr>
                <w:rFonts w:eastAsia="Times New Roman"/>
                <w:noProof/>
              </w:rPr>
            </w:pPr>
            <w:r>
              <w:rPr>
                <w:noProof/>
              </w:rPr>
              <w:t>2025</w:t>
            </w:r>
          </w:p>
        </w:tc>
        <w:tc>
          <w:tcPr>
            <w:tcW w:w="3997" w:type="dxa"/>
            <w:shd w:val="clear" w:color="auto" w:fill="C6EFCE"/>
            <w:noWrap/>
          </w:tcPr>
          <w:p w14:paraId="6C722720" w14:textId="0EC919CF" w:rsidR="00A00259" w:rsidRDefault="00371282">
            <w:pPr>
              <w:pStyle w:val="P68B1DB1-Normal12"/>
              <w:spacing w:after="0" w:line="240" w:lineRule="auto"/>
              <w:textAlignment w:val="baseline"/>
              <w:rPr>
                <w:rFonts w:eastAsia="Times New Roman"/>
                <w:noProof/>
              </w:rPr>
            </w:pPr>
            <w:r>
              <w:rPr>
                <w:noProof/>
              </w:rPr>
              <w:t>1. L'accessibilité et l'infrastructure de soutien aux personnes ayant une mobilité et des déficiences sensorielles confirmées par les protocoles d'acceptation du comité de projet;</w:t>
            </w:r>
          </w:p>
          <w:p w14:paraId="6FFB7A0E" w14:textId="4D301183" w:rsidR="00A00259" w:rsidRDefault="00371282">
            <w:pPr>
              <w:pStyle w:val="P68B1DB1-Normal12"/>
              <w:spacing w:after="0" w:line="240" w:lineRule="auto"/>
              <w:textAlignment w:val="baseline"/>
              <w:rPr>
                <w:noProof/>
              </w:rPr>
            </w:pPr>
            <w:r>
              <w:rPr>
                <w:noProof/>
              </w:rPr>
              <w:t>a) 1 000 maisons privées sélectionnées dans le cadre d'un appel;</w:t>
            </w:r>
          </w:p>
          <w:p w14:paraId="5CD8398E" w14:textId="5D32FF69" w:rsidR="00A00259" w:rsidRDefault="00371282">
            <w:pPr>
              <w:pStyle w:val="P68B1DB1-Normal12"/>
              <w:spacing w:after="0" w:line="240" w:lineRule="auto"/>
              <w:textAlignment w:val="baseline"/>
              <w:rPr>
                <w:noProof/>
              </w:rPr>
            </w:pPr>
            <w:r>
              <w:rPr>
                <w:noProof/>
              </w:rPr>
              <w:t>b) 2 bâtiments publics.</w:t>
            </w:r>
          </w:p>
          <w:p w14:paraId="048AC33F" w14:textId="708139C4" w:rsidR="00A00259" w:rsidRDefault="00A00259">
            <w:pPr>
              <w:spacing w:after="0" w:line="240" w:lineRule="auto"/>
              <w:textAlignment w:val="baseline"/>
              <w:rPr>
                <w:rFonts w:ascii="Times New Roman" w:hAnsi="Times New Roman" w:cs="Times New Roman"/>
                <w:noProof/>
                <w:color w:val="006100"/>
                <w:sz w:val="18"/>
                <w:szCs w:val="18"/>
              </w:rPr>
            </w:pPr>
          </w:p>
          <w:p w14:paraId="12584BBE" w14:textId="47D2FC66" w:rsidR="00A00259" w:rsidRDefault="00371282">
            <w:pPr>
              <w:pStyle w:val="P68B1DB1-Normal12"/>
              <w:spacing w:after="0" w:line="240" w:lineRule="auto"/>
              <w:textAlignment w:val="baseline"/>
              <w:rPr>
                <w:noProof/>
              </w:rPr>
            </w:pPr>
            <w:r>
              <w:rPr>
                <w:noProof/>
              </w:rPr>
              <w:t>2. 1 250 contrats signés pour des interventions en faveur de la petite enfance.</w:t>
            </w:r>
          </w:p>
          <w:p w14:paraId="1A64B270" w14:textId="0D62620D" w:rsidR="00A00259" w:rsidRDefault="00371282">
            <w:pPr>
              <w:pStyle w:val="P68B1DB1-Normal12"/>
              <w:spacing w:after="0" w:line="240" w:lineRule="auto"/>
              <w:textAlignment w:val="baseline"/>
              <w:rPr>
                <w:noProof/>
              </w:rPr>
            </w:pPr>
            <w:r>
              <w:rPr>
                <w:noProof/>
              </w:rPr>
              <w:t> </w:t>
            </w:r>
          </w:p>
          <w:p w14:paraId="241E2F4E" w14:textId="34937B48" w:rsidR="00A00259" w:rsidRDefault="00371282">
            <w:pPr>
              <w:pStyle w:val="P68B1DB1-Normal12"/>
              <w:spacing w:after="0" w:line="240" w:lineRule="auto"/>
              <w:textAlignment w:val="baseline"/>
              <w:rPr>
                <w:noProof/>
              </w:rPr>
            </w:pPr>
            <w:r>
              <w:rPr>
                <w:noProof/>
              </w:rPr>
              <w:t>3. Publication d'un appel aux bénéficiaires du déploiement national permanent du programme d'aide personnelle aux personnes handicapées.</w:t>
            </w:r>
          </w:p>
        </w:tc>
      </w:tr>
      <w:tr w:rsidR="00A00259" w14:paraId="7054597E" w14:textId="77777777">
        <w:trPr>
          <w:trHeight w:val="313"/>
          <w:jc w:val="center"/>
        </w:trPr>
        <w:tc>
          <w:tcPr>
            <w:tcW w:w="604" w:type="dxa"/>
            <w:shd w:val="clear" w:color="auto" w:fill="C6EFCE"/>
            <w:noWrap/>
          </w:tcPr>
          <w:p w14:paraId="4C91FC83" w14:textId="77777777" w:rsidR="00A00259" w:rsidRDefault="00371282">
            <w:pPr>
              <w:pStyle w:val="P68B1DB1-Normal12"/>
              <w:spacing w:before="120" w:after="0" w:line="240" w:lineRule="auto"/>
              <w:rPr>
                <w:rFonts w:eastAsia="Times New Roman"/>
                <w:noProof/>
              </w:rPr>
            </w:pPr>
            <w:r>
              <w:rPr>
                <w:noProof/>
              </w:rPr>
              <w:t>175</w:t>
            </w:r>
          </w:p>
        </w:tc>
        <w:tc>
          <w:tcPr>
            <w:tcW w:w="2269" w:type="dxa"/>
            <w:shd w:val="clear" w:color="auto" w:fill="C6EFCE"/>
            <w:noWrap/>
          </w:tcPr>
          <w:p w14:paraId="17910329" w14:textId="77777777" w:rsidR="00A00259" w:rsidRDefault="00371282">
            <w:pPr>
              <w:pStyle w:val="P68B1DB1-Normal12"/>
              <w:spacing w:before="120" w:after="0" w:line="240" w:lineRule="auto"/>
              <w:rPr>
                <w:rFonts w:eastAsia="Times New Roman"/>
                <w:noProof/>
              </w:rPr>
            </w:pPr>
            <w:r>
              <w:rPr>
                <w:noProof/>
              </w:rPr>
              <w:t>11 - 3.4. Accroître l’accès à des politiques sociales efficaces et inclusives – 16726 Optimisation des prestations sociales</w:t>
            </w:r>
          </w:p>
        </w:tc>
        <w:tc>
          <w:tcPr>
            <w:tcW w:w="1134" w:type="dxa"/>
            <w:shd w:val="clear" w:color="auto" w:fill="C6EFCE"/>
            <w:noWrap/>
          </w:tcPr>
          <w:p w14:paraId="31330001" w14:textId="77777777" w:rsidR="00A00259" w:rsidRDefault="00371282">
            <w:pPr>
              <w:pStyle w:val="P68B1DB1-Normal12"/>
              <w:spacing w:before="120" w:after="0" w:line="240" w:lineRule="auto"/>
              <w:rPr>
                <w:rFonts w:eastAsia="Times New Roman"/>
                <w:noProof/>
              </w:rPr>
            </w:pPr>
            <w:r>
              <w:rPr>
                <w:noProof/>
              </w:rPr>
              <w:t>Étape</w:t>
            </w:r>
          </w:p>
        </w:tc>
        <w:tc>
          <w:tcPr>
            <w:tcW w:w="1559" w:type="dxa"/>
            <w:shd w:val="clear" w:color="auto" w:fill="C6EFCE"/>
            <w:noWrap/>
          </w:tcPr>
          <w:p w14:paraId="0C94047A" w14:textId="77777777" w:rsidR="00A00259" w:rsidRDefault="00371282">
            <w:pPr>
              <w:pStyle w:val="P68B1DB1-Normal12"/>
              <w:spacing w:before="120" w:after="0" w:line="240" w:lineRule="auto"/>
              <w:rPr>
                <w:rFonts w:eastAsia="Times New Roman"/>
                <w:noProof/>
              </w:rPr>
            </w:pPr>
            <w:r>
              <w:rPr>
                <w:noProof/>
              </w:rPr>
              <w:t>Avantages sociaux Optimisation des cartes prépayées</w:t>
            </w:r>
          </w:p>
        </w:tc>
        <w:tc>
          <w:tcPr>
            <w:tcW w:w="1984" w:type="dxa"/>
            <w:shd w:val="clear" w:color="auto" w:fill="C6EFCE"/>
            <w:noWrap/>
          </w:tcPr>
          <w:p w14:paraId="257C7531" w14:textId="77777777" w:rsidR="00A00259" w:rsidRDefault="00371282">
            <w:pPr>
              <w:pStyle w:val="P68B1DB1-Normal12"/>
              <w:spacing w:before="120" w:after="0" w:line="240" w:lineRule="auto"/>
              <w:rPr>
                <w:rFonts w:eastAsia="Times New Roman"/>
                <w:noProof/>
              </w:rPr>
            </w:pPr>
            <w:r>
              <w:rPr>
                <w:noProof/>
              </w:rPr>
              <w:t>Émission de cartes prépayées pour le paiement des prestations sociales fournies par ces deux services</w:t>
            </w:r>
          </w:p>
        </w:tc>
        <w:tc>
          <w:tcPr>
            <w:tcW w:w="993" w:type="dxa"/>
            <w:shd w:val="clear" w:color="auto" w:fill="C6EFCE"/>
            <w:noWrap/>
          </w:tcPr>
          <w:p w14:paraId="32A8AD79"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0C13B82D"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6B8D592E"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961" w:type="dxa"/>
            <w:shd w:val="clear" w:color="auto" w:fill="C6EFCE"/>
            <w:noWrap/>
          </w:tcPr>
          <w:p w14:paraId="28A33AD0" w14:textId="77777777" w:rsidR="00A00259" w:rsidRDefault="00371282">
            <w:pPr>
              <w:pStyle w:val="P68B1DB1-Normal12"/>
              <w:spacing w:before="120" w:after="0" w:line="240" w:lineRule="auto"/>
              <w:rPr>
                <w:rFonts w:eastAsia="Times New Roman"/>
                <w:noProof/>
              </w:rPr>
            </w:pPr>
            <w:r>
              <w:rPr>
                <w:noProof/>
              </w:rPr>
              <w:t>T4</w:t>
            </w:r>
          </w:p>
        </w:tc>
        <w:tc>
          <w:tcPr>
            <w:tcW w:w="720" w:type="dxa"/>
            <w:shd w:val="clear" w:color="auto" w:fill="C6EFCE"/>
            <w:noWrap/>
          </w:tcPr>
          <w:p w14:paraId="19141635" w14:textId="77777777" w:rsidR="00A00259" w:rsidRDefault="00371282">
            <w:pPr>
              <w:pStyle w:val="P68B1DB1-Normal12"/>
              <w:spacing w:before="120" w:after="0" w:line="240" w:lineRule="auto"/>
              <w:rPr>
                <w:rFonts w:eastAsia="Times New Roman"/>
                <w:noProof/>
              </w:rPr>
            </w:pPr>
            <w:r>
              <w:rPr>
                <w:noProof/>
              </w:rPr>
              <w:t>2024</w:t>
            </w:r>
          </w:p>
        </w:tc>
        <w:tc>
          <w:tcPr>
            <w:tcW w:w="3997" w:type="dxa"/>
            <w:shd w:val="clear" w:color="auto" w:fill="C6EFCE"/>
            <w:noWrap/>
          </w:tcPr>
          <w:p w14:paraId="32A49E29" w14:textId="77777777" w:rsidR="00A00259" w:rsidRDefault="00371282">
            <w:pPr>
              <w:pStyle w:val="P68B1DB1-Normal12"/>
              <w:spacing w:before="120" w:after="0" w:line="240" w:lineRule="auto"/>
              <w:rPr>
                <w:rFonts w:eastAsia="Times New Roman"/>
                <w:noProof/>
              </w:rPr>
            </w:pPr>
            <w:r>
              <w:rPr>
                <w:noProof/>
              </w:rPr>
              <w:t>Délivrance de cartes prépayées pour le paiement de la majorité des prestations sociales fournies par l’autorité unique de paiement des prestations sociales (OPEKA) et le service public de l’emploi (DYPA)</w:t>
            </w:r>
          </w:p>
        </w:tc>
      </w:tr>
      <w:tr w:rsidR="00A00259" w14:paraId="26A355C8" w14:textId="77777777">
        <w:trPr>
          <w:trHeight w:val="313"/>
          <w:jc w:val="center"/>
        </w:trPr>
        <w:tc>
          <w:tcPr>
            <w:tcW w:w="604" w:type="dxa"/>
            <w:shd w:val="clear" w:color="auto" w:fill="C6EFCE"/>
            <w:noWrap/>
          </w:tcPr>
          <w:p w14:paraId="6EFA255D" w14:textId="77777777" w:rsidR="00A00259" w:rsidRDefault="00371282">
            <w:pPr>
              <w:pStyle w:val="P68B1DB1-Normal12"/>
              <w:spacing w:before="120" w:after="0" w:line="240" w:lineRule="auto"/>
              <w:rPr>
                <w:rFonts w:eastAsia="Times New Roman"/>
                <w:noProof/>
              </w:rPr>
            </w:pPr>
            <w:r>
              <w:rPr>
                <w:noProof/>
              </w:rPr>
              <w:t>175a</w:t>
            </w:r>
          </w:p>
          <w:p w14:paraId="0D7864E3"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2269" w:type="dxa"/>
            <w:shd w:val="clear" w:color="auto" w:fill="C6EFCE"/>
            <w:noWrap/>
          </w:tcPr>
          <w:p w14:paraId="5EC314EE" w14:textId="77777777" w:rsidR="00A00259" w:rsidRDefault="00371282">
            <w:pPr>
              <w:pStyle w:val="P68B1DB1-Normal12"/>
              <w:spacing w:before="120" w:after="0" w:line="240" w:lineRule="auto"/>
              <w:rPr>
                <w:rFonts w:eastAsia="Times New Roman"/>
                <w:noProof/>
              </w:rPr>
            </w:pPr>
            <w:r>
              <w:rPr>
                <w:noProof/>
              </w:rPr>
              <w:t>11 - 3.4. Accroître l’accès à des politiques sociales efficaces et inclusives – 16726 Optimisation des prestations sociales</w:t>
            </w:r>
          </w:p>
        </w:tc>
        <w:tc>
          <w:tcPr>
            <w:tcW w:w="1134" w:type="dxa"/>
            <w:shd w:val="clear" w:color="auto" w:fill="C6EFCE"/>
            <w:noWrap/>
          </w:tcPr>
          <w:p w14:paraId="7D06DEB3" w14:textId="77777777" w:rsidR="00A00259" w:rsidRDefault="00371282">
            <w:pPr>
              <w:pStyle w:val="P68B1DB1-Normal12"/>
              <w:spacing w:before="120" w:after="0" w:line="240" w:lineRule="auto"/>
              <w:rPr>
                <w:rFonts w:eastAsia="Times New Roman"/>
                <w:noProof/>
              </w:rPr>
            </w:pPr>
            <w:r>
              <w:rPr>
                <w:noProof/>
              </w:rPr>
              <w:t>Étape</w:t>
            </w:r>
          </w:p>
        </w:tc>
        <w:tc>
          <w:tcPr>
            <w:tcW w:w="1559" w:type="dxa"/>
            <w:shd w:val="clear" w:color="auto" w:fill="C6EFCE"/>
            <w:noWrap/>
          </w:tcPr>
          <w:p w14:paraId="0B9A7CFB" w14:textId="77777777" w:rsidR="00A00259" w:rsidRDefault="00371282">
            <w:pPr>
              <w:pStyle w:val="P68B1DB1-Normal12"/>
              <w:spacing w:before="120" w:after="0" w:line="240" w:lineRule="auto"/>
              <w:rPr>
                <w:rFonts w:eastAsia="Times New Roman"/>
                <w:noProof/>
              </w:rPr>
            </w:pPr>
            <w:r>
              <w:rPr>
                <w:noProof/>
              </w:rPr>
              <w:t>Avantages sociaux Optimisation des cartes prépayées</w:t>
            </w:r>
          </w:p>
        </w:tc>
        <w:tc>
          <w:tcPr>
            <w:tcW w:w="1984" w:type="dxa"/>
            <w:shd w:val="clear" w:color="auto" w:fill="C6EFCE"/>
            <w:noWrap/>
          </w:tcPr>
          <w:p w14:paraId="40B957B7" w14:textId="77777777" w:rsidR="00A00259" w:rsidRDefault="00371282">
            <w:pPr>
              <w:pStyle w:val="P68B1DB1-Normal12"/>
              <w:spacing w:before="120" w:after="0" w:line="240" w:lineRule="auto"/>
              <w:rPr>
                <w:rFonts w:eastAsia="Times New Roman"/>
                <w:noProof/>
              </w:rPr>
            </w:pPr>
            <w:r>
              <w:rPr>
                <w:noProof/>
              </w:rPr>
              <w:t>Entrée en vigueur de la législation</w:t>
            </w:r>
          </w:p>
        </w:tc>
        <w:tc>
          <w:tcPr>
            <w:tcW w:w="993" w:type="dxa"/>
            <w:shd w:val="clear" w:color="auto" w:fill="C6EFCE"/>
            <w:noWrap/>
          </w:tcPr>
          <w:p w14:paraId="2166D99B"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01B6C5C9"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5BCE6584"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961" w:type="dxa"/>
            <w:shd w:val="clear" w:color="auto" w:fill="C6EFCE"/>
            <w:noWrap/>
          </w:tcPr>
          <w:p w14:paraId="18196D52" w14:textId="77777777" w:rsidR="00A00259" w:rsidRDefault="00371282">
            <w:pPr>
              <w:pStyle w:val="P68B1DB1-Normal12"/>
              <w:spacing w:before="120" w:after="0" w:line="240" w:lineRule="auto"/>
              <w:rPr>
                <w:rFonts w:eastAsia="Times New Roman"/>
                <w:noProof/>
              </w:rPr>
            </w:pPr>
            <w:r>
              <w:rPr>
                <w:noProof/>
              </w:rPr>
              <w:t>T2</w:t>
            </w:r>
          </w:p>
        </w:tc>
        <w:tc>
          <w:tcPr>
            <w:tcW w:w="720" w:type="dxa"/>
            <w:shd w:val="clear" w:color="auto" w:fill="C6EFCE"/>
            <w:noWrap/>
          </w:tcPr>
          <w:p w14:paraId="2283B0A4" w14:textId="77777777" w:rsidR="00A00259" w:rsidRDefault="00371282">
            <w:pPr>
              <w:pStyle w:val="P68B1DB1-Normal12"/>
              <w:spacing w:before="120" w:after="0" w:line="240" w:lineRule="auto"/>
              <w:rPr>
                <w:rFonts w:eastAsia="Times New Roman"/>
                <w:noProof/>
              </w:rPr>
            </w:pPr>
            <w:r>
              <w:rPr>
                <w:noProof/>
              </w:rPr>
              <w:t>2024</w:t>
            </w:r>
          </w:p>
        </w:tc>
        <w:tc>
          <w:tcPr>
            <w:tcW w:w="3997" w:type="dxa"/>
            <w:shd w:val="clear" w:color="auto" w:fill="C6EFCE"/>
            <w:noWrap/>
          </w:tcPr>
          <w:p w14:paraId="311C52DA" w14:textId="77777777" w:rsidR="00A00259" w:rsidRDefault="00371282">
            <w:pPr>
              <w:spacing w:before="120" w:after="0" w:line="240" w:lineRule="auto"/>
              <w:rPr>
                <w:rFonts w:ascii="Times New Roman" w:eastAsia="Times New Roman" w:hAnsi="Times New Roman" w:cs="Times New Roman"/>
                <w:noProof/>
                <w:color w:val="006100"/>
                <w:sz w:val="18"/>
                <w:szCs w:val="18"/>
              </w:rPr>
            </w:pPr>
            <w:r>
              <w:rPr>
                <w:rFonts w:ascii="Times New Roman" w:hAnsi="Times New Roman" w:cs="Times New Roman"/>
                <w:noProof/>
                <w:color w:val="006100"/>
                <w:sz w:val="18"/>
                <w:szCs w:val="18"/>
              </w:rPr>
              <w:t>Entrée en vigueur d’actes juridiques incitant les bénéficiaires à utiliser des cartes prépayées pour l’achat de biens et de services.</w:t>
            </w:r>
          </w:p>
        </w:tc>
      </w:tr>
      <w:tr w:rsidR="00A00259" w14:paraId="74A03A71" w14:textId="77777777">
        <w:trPr>
          <w:trHeight w:val="313"/>
          <w:jc w:val="center"/>
        </w:trPr>
        <w:tc>
          <w:tcPr>
            <w:tcW w:w="604" w:type="dxa"/>
            <w:shd w:val="clear" w:color="auto" w:fill="C6EFCE"/>
            <w:noWrap/>
          </w:tcPr>
          <w:p w14:paraId="631E924D" w14:textId="77777777" w:rsidR="00A00259" w:rsidRDefault="00371282">
            <w:pPr>
              <w:pStyle w:val="P68B1DB1-Normal12"/>
              <w:spacing w:before="120" w:after="0" w:line="240" w:lineRule="auto"/>
              <w:rPr>
                <w:rFonts w:eastAsia="Times New Roman"/>
                <w:noProof/>
              </w:rPr>
            </w:pPr>
            <w:r>
              <w:rPr>
                <w:noProof/>
              </w:rPr>
              <w:t>176</w:t>
            </w:r>
          </w:p>
        </w:tc>
        <w:tc>
          <w:tcPr>
            <w:tcW w:w="2269" w:type="dxa"/>
            <w:shd w:val="clear" w:color="auto" w:fill="C6EFCE"/>
            <w:noWrap/>
          </w:tcPr>
          <w:p w14:paraId="26DF7A1A" w14:textId="77777777" w:rsidR="00A00259" w:rsidRDefault="00371282">
            <w:pPr>
              <w:pStyle w:val="P68B1DB1-Normal12"/>
              <w:spacing w:before="120" w:after="0" w:line="240" w:lineRule="auto"/>
              <w:rPr>
                <w:rFonts w:eastAsia="Times New Roman"/>
                <w:noProof/>
              </w:rPr>
            </w:pPr>
            <w:r>
              <w:rPr>
                <w:noProof/>
              </w:rPr>
              <w:t>11 - 3.4. Accroître l'accès à des politiques sociales efficaces et inclusives - 16904_Disability</w:t>
            </w:r>
          </w:p>
        </w:tc>
        <w:tc>
          <w:tcPr>
            <w:tcW w:w="1134" w:type="dxa"/>
            <w:shd w:val="clear" w:color="auto" w:fill="C6EFCE"/>
            <w:noWrap/>
          </w:tcPr>
          <w:p w14:paraId="665C0106" w14:textId="77777777" w:rsidR="00A00259" w:rsidRDefault="00371282">
            <w:pPr>
              <w:pStyle w:val="P68B1DB1-Normal12"/>
              <w:spacing w:before="120" w:after="0" w:line="240" w:lineRule="auto"/>
              <w:rPr>
                <w:rFonts w:eastAsia="Times New Roman"/>
                <w:noProof/>
              </w:rPr>
            </w:pPr>
            <w:r>
              <w:rPr>
                <w:noProof/>
              </w:rPr>
              <w:t>Étape</w:t>
            </w:r>
          </w:p>
        </w:tc>
        <w:tc>
          <w:tcPr>
            <w:tcW w:w="1559" w:type="dxa"/>
            <w:shd w:val="clear" w:color="auto" w:fill="C6EFCE"/>
            <w:noWrap/>
          </w:tcPr>
          <w:p w14:paraId="72A02B41" w14:textId="77777777" w:rsidR="00A00259" w:rsidRDefault="00371282">
            <w:pPr>
              <w:pStyle w:val="P68B1DB1-Normal12"/>
              <w:spacing w:before="120" w:after="0" w:line="240" w:lineRule="auto"/>
              <w:rPr>
                <w:rFonts w:eastAsia="Times New Roman"/>
                <w:noProof/>
              </w:rPr>
            </w:pPr>
            <w:r>
              <w:rPr>
                <w:noProof/>
              </w:rPr>
              <w:t>Évaluation du handicap de l'aide personnelle</w:t>
            </w:r>
          </w:p>
        </w:tc>
        <w:tc>
          <w:tcPr>
            <w:tcW w:w="1984" w:type="dxa"/>
            <w:shd w:val="clear" w:color="auto" w:fill="C6EFCE"/>
            <w:noWrap/>
          </w:tcPr>
          <w:p w14:paraId="22F59E07" w14:textId="58FA0421" w:rsidR="00A00259" w:rsidRDefault="00371282">
            <w:pPr>
              <w:pStyle w:val="P68B1DB1-Normal12"/>
              <w:spacing w:before="120" w:after="0" w:line="240" w:lineRule="auto"/>
              <w:rPr>
                <w:rFonts w:eastAsia="Times New Roman"/>
                <w:noProof/>
              </w:rPr>
            </w:pPr>
            <w:r>
              <w:rPr>
                <w:noProof/>
              </w:rPr>
              <w:t>Assistants personnels affectés à au moins 1500 bénéficiaires.</w:t>
            </w:r>
          </w:p>
        </w:tc>
        <w:tc>
          <w:tcPr>
            <w:tcW w:w="993" w:type="dxa"/>
            <w:shd w:val="clear" w:color="auto" w:fill="C6EFCE"/>
            <w:noWrap/>
          </w:tcPr>
          <w:p w14:paraId="43BC3B39"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2738DAE4"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4B3226DB"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961" w:type="dxa"/>
            <w:shd w:val="clear" w:color="auto" w:fill="C6EFCE"/>
            <w:noWrap/>
          </w:tcPr>
          <w:p w14:paraId="5E098B14" w14:textId="77777777" w:rsidR="00A00259" w:rsidRDefault="00371282">
            <w:pPr>
              <w:pStyle w:val="P68B1DB1-Normal12"/>
              <w:spacing w:before="120" w:after="0" w:line="240" w:lineRule="auto"/>
              <w:rPr>
                <w:rFonts w:eastAsia="Times New Roman"/>
                <w:noProof/>
              </w:rPr>
            </w:pPr>
            <w:r>
              <w:rPr>
                <w:noProof/>
              </w:rPr>
              <w:t>T4</w:t>
            </w:r>
          </w:p>
        </w:tc>
        <w:tc>
          <w:tcPr>
            <w:tcW w:w="720" w:type="dxa"/>
            <w:shd w:val="clear" w:color="auto" w:fill="C6EFCE"/>
            <w:noWrap/>
          </w:tcPr>
          <w:p w14:paraId="2F297135" w14:textId="77777777" w:rsidR="00A00259" w:rsidRDefault="00371282">
            <w:pPr>
              <w:pStyle w:val="P68B1DB1-Normal12"/>
              <w:spacing w:before="120" w:after="0" w:line="240" w:lineRule="auto"/>
              <w:rPr>
                <w:rFonts w:eastAsia="Times New Roman"/>
                <w:noProof/>
              </w:rPr>
            </w:pPr>
            <w:r>
              <w:rPr>
                <w:noProof/>
              </w:rPr>
              <w:t>2024</w:t>
            </w:r>
          </w:p>
        </w:tc>
        <w:tc>
          <w:tcPr>
            <w:tcW w:w="3997" w:type="dxa"/>
            <w:shd w:val="clear" w:color="auto" w:fill="C6EFCE"/>
            <w:noWrap/>
          </w:tcPr>
          <w:p w14:paraId="63E8CA28" w14:textId="77777777" w:rsidR="00A00259" w:rsidRDefault="00371282">
            <w:pPr>
              <w:pStyle w:val="P68B1DB1-Normal12"/>
              <w:spacing w:before="120" w:after="0" w:line="240" w:lineRule="auto"/>
              <w:rPr>
                <w:rFonts w:eastAsia="Times New Roman"/>
                <w:noProof/>
              </w:rPr>
            </w:pPr>
            <w:r>
              <w:rPr>
                <w:noProof/>
              </w:rPr>
              <w:t>Affectation d'assistants personnels pour au moins 1500 bénéficiaires, y compris un processus d'évaluation du handicap par un comité d'évaluation multidisciplinaire.</w:t>
            </w:r>
          </w:p>
        </w:tc>
      </w:tr>
      <w:tr w:rsidR="00A00259" w14:paraId="00D7A793" w14:textId="77777777">
        <w:trPr>
          <w:trHeight w:val="313"/>
          <w:jc w:val="center"/>
        </w:trPr>
        <w:tc>
          <w:tcPr>
            <w:tcW w:w="604" w:type="dxa"/>
            <w:shd w:val="clear" w:color="auto" w:fill="C6EFCE"/>
            <w:noWrap/>
          </w:tcPr>
          <w:p w14:paraId="41EF000E" w14:textId="77777777" w:rsidR="00A00259" w:rsidRDefault="00371282">
            <w:pPr>
              <w:pStyle w:val="P68B1DB1-Normal12"/>
              <w:spacing w:before="120" w:after="0" w:line="240" w:lineRule="auto"/>
              <w:rPr>
                <w:rFonts w:eastAsia="Times New Roman"/>
                <w:noProof/>
              </w:rPr>
            </w:pPr>
            <w:r>
              <w:rPr>
                <w:noProof/>
              </w:rPr>
              <w:t>178</w:t>
            </w:r>
          </w:p>
        </w:tc>
        <w:tc>
          <w:tcPr>
            <w:tcW w:w="2269" w:type="dxa"/>
            <w:shd w:val="clear" w:color="auto" w:fill="C6EFCE"/>
            <w:noWrap/>
          </w:tcPr>
          <w:p w14:paraId="08E1EE6F" w14:textId="77777777" w:rsidR="00A00259" w:rsidRDefault="00371282">
            <w:pPr>
              <w:pStyle w:val="P68B1DB1-Normal12"/>
              <w:spacing w:before="120" w:after="0" w:line="240" w:lineRule="auto"/>
              <w:rPr>
                <w:rFonts w:eastAsia="Times New Roman"/>
                <w:noProof/>
              </w:rPr>
            </w:pPr>
            <w:r>
              <w:rPr>
                <w:noProof/>
              </w:rPr>
              <w:t>11 - 3.4. Accroître l'accès à des politiques sociales efficaces et inclusives - 16919_Protection de l'enfance</w:t>
            </w:r>
          </w:p>
        </w:tc>
        <w:tc>
          <w:tcPr>
            <w:tcW w:w="1134" w:type="dxa"/>
            <w:shd w:val="clear" w:color="auto" w:fill="C6EFCE"/>
            <w:noWrap/>
          </w:tcPr>
          <w:p w14:paraId="5E84C787" w14:textId="77777777" w:rsidR="00A00259" w:rsidRDefault="00371282">
            <w:pPr>
              <w:pStyle w:val="P68B1DB1-Normal12"/>
              <w:spacing w:before="120" w:after="0" w:line="240" w:lineRule="auto"/>
              <w:rPr>
                <w:rFonts w:eastAsia="Times New Roman"/>
                <w:noProof/>
              </w:rPr>
            </w:pPr>
            <w:r>
              <w:rPr>
                <w:noProof/>
              </w:rPr>
              <w:t>Étape</w:t>
            </w:r>
          </w:p>
        </w:tc>
        <w:tc>
          <w:tcPr>
            <w:tcW w:w="1559" w:type="dxa"/>
            <w:shd w:val="clear" w:color="auto" w:fill="C6EFCE"/>
            <w:noWrap/>
          </w:tcPr>
          <w:p w14:paraId="26E77085" w14:textId="77777777" w:rsidR="00A00259" w:rsidRDefault="00371282">
            <w:pPr>
              <w:pStyle w:val="P68B1DB1-Normal45"/>
              <w:spacing w:before="120" w:after="0" w:line="240" w:lineRule="auto"/>
              <w:rPr>
                <w:rFonts w:eastAsia="Times New Roman"/>
                <w:noProof/>
                <w:sz w:val="17"/>
                <w:szCs w:val="17"/>
              </w:rPr>
            </w:pPr>
            <w:r>
              <w:rPr>
                <w:noProof/>
                <w:sz w:val="18"/>
                <w:szCs w:val="18"/>
              </w:rPr>
              <w:t>Appartements indépendants pour la désinstitutionnalisation des personnes jusqu'à 26 ans</w:t>
            </w:r>
            <w:r>
              <w:rPr>
                <w:noProof/>
                <w:sz w:val="17"/>
                <w:szCs w:val="17"/>
              </w:rPr>
              <w:t xml:space="preserve"> </w:t>
            </w:r>
          </w:p>
        </w:tc>
        <w:tc>
          <w:tcPr>
            <w:tcW w:w="1984" w:type="dxa"/>
            <w:shd w:val="clear" w:color="auto" w:fill="C6EFCE"/>
            <w:noWrap/>
          </w:tcPr>
          <w:p w14:paraId="17D45611" w14:textId="6CC6C7AC" w:rsidR="00A00259" w:rsidRDefault="00371282">
            <w:pPr>
              <w:pStyle w:val="P68B1DB1-Normal12"/>
              <w:spacing w:before="120" w:after="0" w:line="240" w:lineRule="auto"/>
              <w:rPr>
                <w:rFonts w:eastAsia="Times New Roman"/>
                <w:noProof/>
              </w:rPr>
            </w:pPr>
            <w:r>
              <w:rPr>
                <w:noProof/>
              </w:rPr>
              <w:t>Décisions de placement prises pour des personnes âgées de moins de 26 ans dans des appartements semi-indépendants</w:t>
            </w:r>
          </w:p>
        </w:tc>
        <w:tc>
          <w:tcPr>
            <w:tcW w:w="993" w:type="dxa"/>
            <w:shd w:val="clear" w:color="auto" w:fill="C6EFCE"/>
            <w:noWrap/>
          </w:tcPr>
          <w:p w14:paraId="47F6830C"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570E3807"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5788481F"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961" w:type="dxa"/>
            <w:shd w:val="clear" w:color="auto" w:fill="C6EFCE"/>
            <w:noWrap/>
          </w:tcPr>
          <w:p w14:paraId="2243B677" w14:textId="77777777" w:rsidR="00A00259" w:rsidRDefault="00371282">
            <w:pPr>
              <w:pStyle w:val="P68B1DB1-Normal12"/>
              <w:spacing w:before="120" w:after="0" w:line="240" w:lineRule="auto"/>
              <w:rPr>
                <w:rFonts w:eastAsia="Times New Roman"/>
                <w:noProof/>
              </w:rPr>
            </w:pPr>
            <w:r>
              <w:rPr>
                <w:noProof/>
              </w:rPr>
              <w:t>T4</w:t>
            </w:r>
          </w:p>
        </w:tc>
        <w:tc>
          <w:tcPr>
            <w:tcW w:w="720" w:type="dxa"/>
            <w:shd w:val="clear" w:color="auto" w:fill="C6EFCE"/>
            <w:noWrap/>
          </w:tcPr>
          <w:p w14:paraId="1ABBA79C" w14:textId="77777777" w:rsidR="00A00259" w:rsidRDefault="00371282">
            <w:pPr>
              <w:pStyle w:val="P68B1DB1-Normal12"/>
              <w:spacing w:before="120" w:after="0" w:line="240" w:lineRule="auto"/>
              <w:rPr>
                <w:rFonts w:eastAsia="Times New Roman"/>
                <w:noProof/>
              </w:rPr>
            </w:pPr>
            <w:r>
              <w:rPr>
                <w:noProof/>
              </w:rPr>
              <w:t>2025</w:t>
            </w:r>
          </w:p>
        </w:tc>
        <w:tc>
          <w:tcPr>
            <w:tcW w:w="3997" w:type="dxa"/>
            <w:shd w:val="clear" w:color="auto" w:fill="C6EFCE"/>
            <w:noWrap/>
          </w:tcPr>
          <w:p w14:paraId="729608AC" w14:textId="5AF41C9C" w:rsidR="00A00259" w:rsidRDefault="00371282">
            <w:pPr>
              <w:pStyle w:val="P68B1DB1-Normal23"/>
              <w:spacing w:before="120" w:after="0" w:line="240" w:lineRule="auto"/>
              <w:rPr>
                <w:noProof/>
              </w:rPr>
            </w:pPr>
            <w:r>
              <w:rPr>
                <w:noProof/>
              </w:rPr>
              <w:t>Décisions de placement prises pour au moins 135 personnes âgées de moins de 26 ans et résidant actuellement dans des unités de protection de l'enfance (UPE), dans des appartements semi-indépendants.</w:t>
            </w:r>
          </w:p>
        </w:tc>
      </w:tr>
      <w:tr w:rsidR="00A00259" w14:paraId="5FC85ED4" w14:textId="77777777">
        <w:trPr>
          <w:trHeight w:val="313"/>
          <w:jc w:val="center"/>
        </w:trPr>
        <w:tc>
          <w:tcPr>
            <w:tcW w:w="604" w:type="dxa"/>
            <w:shd w:val="clear" w:color="auto" w:fill="C6EFCE"/>
            <w:noWrap/>
          </w:tcPr>
          <w:p w14:paraId="6C4453E5" w14:textId="77777777" w:rsidR="00A00259" w:rsidRDefault="00371282">
            <w:pPr>
              <w:pStyle w:val="P68B1DB1-Normal12"/>
              <w:spacing w:before="120" w:after="0" w:line="240" w:lineRule="auto"/>
              <w:rPr>
                <w:rFonts w:eastAsia="Times New Roman"/>
                <w:noProof/>
              </w:rPr>
            </w:pPr>
            <w:r>
              <w:rPr>
                <w:noProof/>
              </w:rPr>
              <w:t>179</w:t>
            </w:r>
          </w:p>
        </w:tc>
        <w:tc>
          <w:tcPr>
            <w:tcW w:w="2269" w:type="dxa"/>
            <w:shd w:val="clear" w:color="auto" w:fill="C6EFCE"/>
            <w:noWrap/>
          </w:tcPr>
          <w:p w14:paraId="14535974" w14:textId="77777777" w:rsidR="00A00259" w:rsidRDefault="00371282">
            <w:pPr>
              <w:pStyle w:val="P68B1DB1-Normal12"/>
              <w:spacing w:before="120" w:after="0" w:line="240" w:lineRule="auto"/>
              <w:rPr>
                <w:rFonts w:eastAsia="Times New Roman"/>
                <w:noProof/>
              </w:rPr>
            </w:pPr>
            <w:r>
              <w:rPr>
                <w:noProof/>
              </w:rPr>
              <w:t>11 - 3.4. Accroître l'accès à des politiques sociales efficaces et inclusives - 16904_ Handicap</w:t>
            </w:r>
          </w:p>
        </w:tc>
        <w:tc>
          <w:tcPr>
            <w:tcW w:w="1134" w:type="dxa"/>
            <w:shd w:val="clear" w:color="auto" w:fill="C6EFCE"/>
            <w:noWrap/>
          </w:tcPr>
          <w:p w14:paraId="5C9B6D50" w14:textId="77777777" w:rsidR="00A00259" w:rsidRDefault="00371282">
            <w:pPr>
              <w:pStyle w:val="P68B1DB1-Normal12"/>
              <w:spacing w:before="120" w:after="0" w:line="240" w:lineRule="auto"/>
              <w:rPr>
                <w:rFonts w:eastAsia="Times New Roman"/>
                <w:noProof/>
              </w:rPr>
            </w:pPr>
            <w:r>
              <w:rPr>
                <w:noProof/>
              </w:rPr>
              <w:t>Étape</w:t>
            </w:r>
          </w:p>
        </w:tc>
        <w:tc>
          <w:tcPr>
            <w:tcW w:w="1559" w:type="dxa"/>
            <w:shd w:val="clear" w:color="auto" w:fill="C6EFCE"/>
            <w:noWrap/>
          </w:tcPr>
          <w:p w14:paraId="51BD7C6A" w14:textId="3FC5B8DA" w:rsidR="00A00259" w:rsidRDefault="00371282">
            <w:pPr>
              <w:pStyle w:val="P68B1DB1-Normal12"/>
              <w:spacing w:before="120" w:after="0" w:line="240" w:lineRule="auto"/>
              <w:rPr>
                <w:rFonts w:eastAsia="Times New Roman"/>
                <w:noProof/>
              </w:rPr>
            </w:pPr>
            <w:r>
              <w:rPr>
                <w:noProof/>
              </w:rPr>
              <w:t xml:space="preserve">Déploiement national du programme d ' aide aux personnes handicapées et évaluation du programme pilote </w:t>
            </w:r>
          </w:p>
        </w:tc>
        <w:tc>
          <w:tcPr>
            <w:tcW w:w="1984" w:type="dxa"/>
            <w:shd w:val="clear" w:color="auto" w:fill="C6EFCE"/>
            <w:noWrap/>
          </w:tcPr>
          <w:p w14:paraId="6D5ACCFD" w14:textId="07B71859" w:rsidR="00A00259" w:rsidRDefault="00371282">
            <w:pPr>
              <w:pStyle w:val="P68B1DB1-Normal12"/>
              <w:spacing w:before="120" w:after="0" w:line="240" w:lineRule="auto"/>
              <w:rPr>
                <w:rFonts w:eastAsia="Times New Roman"/>
                <w:noProof/>
              </w:rPr>
            </w:pPr>
            <w:r>
              <w:rPr>
                <w:noProof/>
              </w:rPr>
              <w:t xml:space="preserve">a) Entrée en vigueur d'un acte juridique pour le déploiement national permanent et b) rapport d'évaluation du système pilote et d'évaluation avec statistiques et recommandations. </w:t>
            </w:r>
          </w:p>
        </w:tc>
        <w:tc>
          <w:tcPr>
            <w:tcW w:w="993" w:type="dxa"/>
            <w:shd w:val="clear" w:color="auto" w:fill="C6EFCE"/>
            <w:noWrap/>
          </w:tcPr>
          <w:p w14:paraId="4F7707FC"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247A34FA"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7F4F19E8"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961" w:type="dxa"/>
            <w:shd w:val="clear" w:color="auto" w:fill="C6EFCE"/>
            <w:noWrap/>
          </w:tcPr>
          <w:p w14:paraId="18A1D73D" w14:textId="77777777" w:rsidR="00A00259" w:rsidRDefault="00371282">
            <w:pPr>
              <w:pStyle w:val="P68B1DB1-Normal12"/>
              <w:spacing w:before="120" w:after="0" w:line="240" w:lineRule="auto"/>
              <w:rPr>
                <w:rFonts w:eastAsia="Times New Roman"/>
                <w:noProof/>
              </w:rPr>
            </w:pPr>
            <w:r>
              <w:rPr>
                <w:noProof/>
              </w:rPr>
              <w:t>T4</w:t>
            </w:r>
          </w:p>
        </w:tc>
        <w:tc>
          <w:tcPr>
            <w:tcW w:w="720" w:type="dxa"/>
            <w:shd w:val="clear" w:color="auto" w:fill="C6EFCE"/>
            <w:noWrap/>
          </w:tcPr>
          <w:p w14:paraId="13CAFFAD" w14:textId="77777777" w:rsidR="00A00259" w:rsidRDefault="00371282">
            <w:pPr>
              <w:pStyle w:val="P68B1DB1-Normal12"/>
              <w:spacing w:before="120" w:after="0" w:line="240" w:lineRule="auto"/>
              <w:rPr>
                <w:rFonts w:eastAsia="Times New Roman"/>
                <w:noProof/>
              </w:rPr>
            </w:pPr>
            <w:r>
              <w:rPr>
                <w:noProof/>
              </w:rPr>
              <w:t>2025</w:t>
            </w:r>
          </w:p>
        </w:tc>
        <w:tc>
          <w:tcPr>
            <w:tcW w:w="3997" w:type="dxa"/>
            <w:shd w:val="clear" w:color="auto" w:fill="C6EFCE"/>
            <w:noWrap/>
          </w:tcPr>
          <w:p w14:paraId="6DBF5262" w14:textId="45A5A386" w:rsidR="00A00259" w:rsidRDefault="00371282">
            <w:pPr>
              <w:pStyle w:val="P68B1DB1-Normal12"/>
              <w:spacing w:before="120" w:after="0" w:line="240" w:lineRule="auto"/>
              <w:rPr>
                <w:rFonts w:eastAsia="Times New Roman"/>
                <w:noProof/>
              </w:rPr>
            </w:pPr>
            <w:r>
              <w:rPr>
                <w:noProof/>
              </w:rPr>
              <w:t>Entrée en vigueur d’un acte juridique visant à permettre le déploiement permanent du régime d’aide aux personnes handicapées à l’échelle nationale, y compris le processus d’évaluation médicale et fonctionnelle et la présentation d’un rapport d’évaluation du régime pilote assorti de statistiques et de recommandations.</w:t>
            </w:r>
          </w:p>
        </w:tc>
      </w:tr>
      <w:tr w:rsidR="00A00259" w14:paraId="0F06420C" w14:textId="77777777">
        <w:trPr>
          <w:trHeight w:val="313"/>
          <w:jc w:val="center"/>
        </w:trPr>
        <w:tc>
          <w:tcPr>
            <w:tcW w:w="604" w:type="dxa"/>
            <w:shd w:val="clear" w:color="auto" w:fill="C6EFCE"/>
            <w:noWrap/>
          </w:tcPr>
          <w:p w14:paraId="24EAD424" w14:textId="77777777" w:rsidR="00A00259" w:rsidRDefault="00371282">
            <w:pPr>
              <w:pStyle w:val="P68B1DB1-Normal12"/>
              <w:spacing w:before="120" w:after="0" w:line="240" w:lineRule="auto"/>
              <w:rPr>
                <w:noProof/>
              </w:rPr>
            </w:pPr>
            <w:r>
              <w:rPr>
                <w:noProof/>
              </w:rPr>
              <w:t>181</w:t>
            </w:r>
          </w:p>
        </w:tc>
        <w:tc>
          <w:tcPr>
            <w:tcW w:w="2269" w:type="dxa"/>
            <w:shd w:val="clear" w:color="auto" w:fill="C6EFCE"/>
            <w:noWrap/>
          </w:tcPr>
          <w:p w14:paraId="5FD93CD9" w14:textId="77777777" w:rsidR="00A00259" w:rsidRDefault="00371282">
            <w:pPr>
              <w:pStyle w:val="P68B1DB1-Normal12"/>
              <w:spacing w:before="120" w:after="0" w:line="240" w:lineRule="auto"/>
              <w:rPr>
                <w:noProof/>
              </w:rPr>
            </w:pPr>
            <w:r>
              <w:rPr>
                <w:noProof/>
              </w:rPr>
              <w:t>11 – 3.4 Accroître l’accès à des politiques sociales efficaces et inclusives – 16402_Logement social et abordable</w:t>
            </w:r>
          </w:p>
        </w:tc>
        <w:tc>
          <w:tcPr>
            <w:tcW w:w="1134" w:type="dxa"/>
            <w:shd w:val="clear" w:color="auto" w:fill="C6EFCE"/>
            <w:noWrap/>
          </w:tcPr>
          <w:p w14:paraId="2C002D85" w14:textId="77777777" w:rsidR="00A00259" w:rsidRDefault="00371282">
            <w:pPr>
              <w:pStyle w:val="P68B1DB1-Normal12"/>
              <w:spacing w:before="120" w:after="0" w:line="240" w:lineRule="auto"/>
              <w:rPr>
                <w:noProof/>
              </w:rPr>
            </w:pPr>
            <w:r>
              <w:rPr>
                <w:noProof/>
              </w:rPr>
              <w:t>Étape</w:t>
            </w:r>
          </w:p>
        </w:tc>
        <w:tc>
          <w:tcPr>
            <w:tcW w:w="1559" w:type="dxa"/>
            <w:shd w:val="clear" w:color="auto" w:fill="C6EFCE"/>
            <w:noWrap/>
          </w:tcPr>
          <w:p w14:paraId="1DDF153F" w14:textId="77777777" w:rsidR="00A00259" w:rsidRDefault="00371282">
            <w:pPr>
              <w:pStyle w:val="P68B1DB1-Normal12"/>
              <w:spacing w:before="120" w:after="0" w:line="240" w:lineRule="auto"/>
              <w:rPr>
                <w:noProof/>
              </w:rPr>
            </w:pPr>
            <w:r>
              <w:rPr>
                <w:noProof/>
              </w:rPr>
              <w:t xml:space="preserve">Stratégie nationale sur le logement </w:t>
            </w:r>
          </w:p>
        </w:tc>
        <w:tc>
          <w:tcPr>
            <w:tcW w:w="1984" w:type="dxa"/>
            <w:shd w:val="clear" w:color="auto" w:fill="C6EFCE"/>
            <w:noWrap/>
          </w:tcPr>
          <w:p w14:paraId="123EC1C5" w14:textId="1E85723F" w:rsidR="00A00259" w:rsidRDefault="00371282">
            <w:pPr>
              <w:pStyle w:val="P68B1DB1-Normal12"/>
              <w:spacing w:before="120" w:after="0" w:line="240" w:lineRule="auto"/>
              <w:rPr>
                <w:noProof/>
              </w:rPr>
            </w:pPr>
            <w:r>
              <w:rPr>
                <w:noProof/>
              </w:rPr>
              <w:t xml:space="preserve">Approbation de la Stratégie du logement par le Comité gouvernemental pour la politique du logement, par le biais d'une loi publiée au Journal officiel. Publication de la Stratégie du logement sur le site officiel du Ministère de la cohésion sociale et des affaires familiales. </w:t>
            </w:r>
          </w:p>
        </w:tc>
        <w:tc>
          <w:tcPr>
            <w:tcW w:w="993" w:type="dxa"/>
            <w:shd w:val="clear" w:color="auto" w:fill="C6EFCE"/>
            <w:noWrap/>
          </w:tcPr>
          <w:p w14:paraId="0C9C58AB" w14:textId="77777777" w:rsidR="00A00259" w:rsidRDefault="00A00259">
            <w:pPr>
              <w:spacing w:before="120" w:after="0" w:line="240" w:lineRule="auto"/>
              <w:rPr>
                <w:rFonts w:ascii="Times New Roman" w:hAnsi="Times New Roman" w:cs="Times New Roman"/>
                <w:noProof/>
                <w:color w:val="006100"/>
                <w:sz w:val="18"/>
                <w:szCs w:val="18"/>
              </w:rPr>
            </w:pPr>
          </w:p>
        </w:tc>
        <w:tc>
          <w:tcPr>
            <w:tcW w:w="992" w:type="dxa"/>
            <w:shd w:val="clear" w:color="auto" w:fill="C6EFCE"/>
            <w:noWrap/>
          </w:tcPr>
          <w:p w14:paraId="65025124" w14:textId="77777777" w:rsidR="00A00259" w:rsidRDefault="00A00259">
            <w:pPr>
              <w:spacing w:before="120" w:after="0" w:line="240" w:lineRule="auto"/>
              <w:rPr>
                <w:rFonts w:ascii="Times New Roman" w:hAnsi="Times New Roman" w:cs="Times New Roman"/>
                <w:noProof/>
                <w:color w:val="006100"/>
                <w:sz w:val="18"/>
                <w:szCs w:val="18"/>
              </w:rPr>
            </w:pPr>
          </w:p>
        </w:tc>
        <w:tc>
          <w:tcPr>
            <w:tcW w:w="850" w:type="dxa"/>
            <w:shd w:val="clear" w:color="auto" w:fill="C6EFCE"/>
            <w:noWrap/>
          </w:tcPr>
          <w:p w14:paraId="24EFB4B0" w14:textId="77777777" w:rsidR="00A00259" w:rsidRDefault="00A00259">
            <w:pPr>
              <w:spacing w:before="120" w:after="0" w:line="240" w:lineRule="auto"/>
              <w:rPr>
                <w:rFonts w:ascii="Times New Roman" w:hAnsi="Times New Roman" w:cs="Times New Roman"/>
                <w:noProof/>
                <w:color w:val="006100"/>
                <w:sz w:val="18"/>
                <w:szCs w:val="18"/>
              </w:rPr>
            </w:pPr>
          </w:p>
        </w:tc>
        <w:tc>
          <w:tcPr>
            <w:tcW w:w="961" w:type="dxa"/>
            <w:shd w:val="clear" w:color="auto" w:fill="C6EFCE"/>
            <w:noWrap/>
          </w:tcPr>
          <w:p w14:paraId="1AF378EA" w14:textId="77777777" w:rsidR="00A00259" w:rsidRDefault="00371282">
            <w:pPr>
              <w:pStyle w:val="P68B1DB1-Normal12"/>
              <w:spacing w:before="120" w:after="0" w:line="240" w:lineRule="auto"/>
              <w:rPr>
                <w:noProof/>
              </w:rPr>
            </w:pPr>
            <w:r>
              <w:rPr>
                <w:noProof/>
              </w:rPr>
              <w:t>T1</w:t>
            </w:r>
          </w:p>
        </w:tc>
        <w:tc>
          <w:tcPr>
            <w:tcW w:w="720" w:type="dxa"/>
            <w:shd w:val="clear" w:color="auto" w:fill="C6EFCE"/>
            <w:noWrap/>
          </w:tcPr>
          <w:p w14:paraId="09726C99" w14:textId="77777777" w:rsidR="00A00259" w:rsidRDefault="00371282">
            <w:pPr>
              <w:pStyle w:val="P68B1DB1-Normal12"/>
              <w:spacing w:before="120" w:after="0" w:line="240" w:lineRule="auto"/>
              <w:rPr>
                <w:noProof/>
              </w:rPr>
            </w:pPr>
            <w:r>
              <w:rPr>
                <w:noProof/>
              </w:rPr>
              <w:t>2026</w:t>
            </w:r>
          </w:p>
        </w:tc>
        <w:tc>
          <w:tcPr>
            <w:tcW w:w="3997" w:type="dxa"/>
            <w:shd w:val="clear" w:color="auto" w:fill="C6EFCE"/>
            <w:noWrap/>
          </w:tcPr>
          <w:p w14:paraId="05BCD6EB" w14:textId="77777777" w:rsidR="00A00259" w:rsidRDefault="00371282">
            <w:pPr>
              <w:pStyle w:val="P68B1DB1-Normal12"/>
              <w:spacing w:before="120" w:after="0" w:line="240" w:lineRule="auto"/>
              <w:rPr>
                <w:noProof/>
              </w:rPr>
            </w:pPr>
            <w:r>
              <w:rPr>
                <w:noProof/>
              </w:rPr>
              <w:t>Adoption de la stratégie nationale en matière de logement, à la suite d’une consultation publique, qui comprend:</w:t>
            </w:r>
          </w:p>
          <w:p w14:paraId="388DA4BA" w14:textId="77777777" w:rsidR="00A00259" w:rsidRDefault="00371282">
            <w:pPr>
              <w:pStyle w:val="P68B1DB1-ListParagraph34"/>
              <w:numPr>
                <w:ilvl w:val="0"/>
                <w:numId w:val="52"/>
              </w:numPr>
              <w:spacing w:before="120" w:after="0" w:line="240" w:lineRule="auto"/>
              <w:ind w:left="414" w:hanging="357"/>
              <w:rPr>
                <w:noProof/>
              </w:rPr>
            </w:pPr>
            <w:r>
              <w:rPr>
                <w:noProof/>
              </w:rPr>
              <w:t>Une analyse du fonctionnement du marché du logement.</w:t>
            </w:r>
          </w:p>
          <w:p w14:paraId="2CF5459E" w14:textId="77777777" w:rsidR="00A00259" w:rsidRDefault="00371282">
            <w:pPr>
              <w:pStyle w:val="P68B1DB1-ListParagraph34"/>
              <w:numPr>
                <w:ilvl w:val="0"/>
                <w:numId w:val="52"/>
              </w:numPr>
              <w:spacing w:before="120" w:after="0" w:line="240" w:lineRule="auto"/>
              <w:ind w:left="414" w:hanging="357"/>
              <w:rPr>
                <w:noProof/>
              </w:rPr>
            </w:pPr>
            <w:r>
              <w:rPr>
                <w:noProof/>
              </w:rPr>
              <w:t>une cartographie du parc immobilier au niveau régional, y compris les propriétés privées qui ne sont pas occupées et les propriétés appartenant à l’État qui sont ou peuvent devenir disponibles à des fins de logement social, accompagnée d’une analyse de l’évolution des prix du logement et de leurs déterminants, étayée par des données et des indicateurs statistiques;</w:t>
            </w:r>
          </w:p>
          <w:p w14:paraId="587C9444" w14:textId="77777777" w:rsidR="00A00259" w:rsidRDefault="00371282">
            <w:pPr>
              <w:pStyle w:val="P68B1DB1-ListParagraph34"/>
              <w:numPr>
                <w:ilvl w:val="0"/>
                <w:numId w:val="52"/>
              </w:numPr>
              <w:spacing w:before="120" w:after="0" w:line="240" w:lineRule="auto"/>
              <w:ind w:left="414" w:hanging="357"/>
              <w:rPr>
                <w:noProof/>
              </w:rPr>
            </w:pPr>
            <w:r>
              <w:rPr>
                <w:noProof/>
              </w:rPr>
              <w:t xml:space="preserve">une analyse des besoins en logement par segments de population (c’est-à-dire groupes de population présentant des caractéristiques distinctes telles que l’âge, le revenu disponible, la composition de la famille, aux niveaux municipal et régional, dans les zones rurales ou urbaines, les petites villes ou les grandes villes); </w:t>
            </w:r>
          </w:p>
          <w:p w14:paraId="3E50D4B0" w14:textId="77777777" w:rsidR="00A00259" w:rsidRDefault="00371282">
            <w:pPr>
              <w:pStyle w:val="P68B1DB1-ListParagraph34"/>
              <w:numPr>
                <w:ilvl w:val="0"/>
                <w:numId w:val="52"/>
              </w:numPr>
              <w:spacing w:before="120" w:after="0" w:line="240" w:lineRule="auto"/>
              <w:ind w:left="414" w:hanging="357"/>
              <w:rPr>
                <w:noProof/>
              </w:rPr>
            </w:pPr>
            <w:r>
              <w:rPr>
                <w:noProof/>
              </w:rPr>
              <w:t xml:space="preserve">les détails des différentes actions politiques de mise en œuvre, y compris pour chaque autorité responsable, le budget et la source de financement, la hiérarchisation des priorités et les bénéficiaires escomptés; </w:t>
            </w:r>
          </w:p>
          <w:p w14:paraId="3DFC3190" w14:textId="77777777" w:rsidR="00A00259" w:rsidRDefault="00371282">
            <w:pPr>
              <w:pStyle w:val="P68B1DB1-ListParagraph34"/>
              <w:numPr>
                <w:ilvl w:val="0"/>
                <w:numId w:val="52"/>
              </w:numPr>
              <w:spacing w:before="120" w:after="0" w:line="240" w:lineRule="auto"/>
              <w:ind w:left="414" w:hanging="357"/>
              <w:rPr>
                <w:noProof/>
              </w:rPr>
            </w:pPr>
            <w:r>
              <w:rPr>
                <w:noProof/>
              </w:rPr>
              <w:t>Une description de la structure de gouvernance qui sera responsable de la mise en œuvre et des mises à jour futures de la stratégie, ainsi qu'une description du calendrier de mise en œuvre.</w:t>
            </w:r>
          </w:p>
        </w:tc>
      </w:tr>
      <w:tr w:rsidR="00A00259" w14:paraId="293BE78D" w14:textId="77777777">
        <w:trPr>
          <w:trHeight w:val="313"/>
          <w:jc w:val="center"/>
        </w:trPr>
        <w:tc>
          <w:tcPr>
            <w:tcW w:w="604" w:type="dxa"/>
            <w:shd w:val="clear" w:color="auto" w:fill="C6EFCE"/>
            <w:noWrap/>
          </w:tcPr>
          <w:p w14:paraId="7E208CF0" w14:textId="77777777" w:rsidR="00A00259" w:rsidRDefault="00371282">
            <w:pPr>
              <w:pStyle w:val="P68B1DB1-Normal12"/>
              <w:spacing w:before="120" w:after="0" w:line="240" w:lineRule="auto"/>
              <w:rPr>
                <w:noProof/>
              </w:rPr>
            </w:pPr>
            <w:r>
              <w:rPr>
                <w:noProof/>
              </w:rPr>
              <w:t>181 bis</w:t>
            </w:r>
          </w:p>
        </w:tc>
        <w:tc>
          <w:tcPr>
            <w:tcW w:w="2269" w:type="dxa"/>
            <w:shd w:val="clear" w:color="auto" w:fill="C6EFCE"/>
            <w:noWrap/>
          </w:tcPr>
          <w:p w14:paraId="41CBD770" w14:textId="77777777" w:rsidR="00A00259" w:rsidRDefault="00371282">
            <w:pPr>
              <w:pStyle w:val="P68B1DB1-Normal12"/>
              <w:spacing w:before="120" w:after="0" w:line="240" w:lineRule="auto"/>
              <w:rPr>
                <w:noProof/>
              </w:rPr>
            </w:pPr>
            <w:r>
              <w:rPr>
                <w:noProof/>
              </w:rPr>
              <w:t xml:space="preserve">11 – 3.4 Accroître l’accès à des politiques sociales efficaces et inclusives – 16402_Logement social et abordable </w:t>
            </w:r>
          </w:p>
        </w:tc>
        <w:tc>
          <w:tcPr>
            <w:tcW w:w="1134" w:type="dxa"/>
            <w:shd w:val="clear" w:color="auto" w:fill="C6EFCE"/>
            <w:noWrap/>
          </w:tcPr>
          <w:p w14:paraId="4414AE17" w14:textId="77777777" w:rsidR="00A00259" w:rsidRDefault="00371282">
            <w:pPr>
              <w:pStyle w:val="P68B1DB1-Normal12"/>
              <w:spacing w:before="120" w:after="0" w:line="240" w:lineRule="auto"/>
              <w:rPr>
                <w:noProof/>
              </w:rPr>
            </w:pPr>
            <w:r>
              <w:rPr>
                <w:noProof/>
              </w:rPr>
              <w:t>Étape</w:t>
            </w:r>
          </w:p>
        </w:tc>
        <w:tc>
          <w:tcPr>
            <w:tcW w:w="1559" w:type="dxa"/>
            <w:shd w:val="clear" w:color="auto" w:fill="C6EFCE"/>
            <w:noWrap/>
          </w:tcPr>
          <w:p w14:paraId="6867905B" w14:textId="77777777" w:rsidR="00A00259" w:rsidRDefault="00371282">
            <w:pPr>
              <w:pStyle w:val="P68B1DB1-Normal12"/>
              <w:spacing w:before="120" w:after="0" w:line="240" w:lineRule="auto"/>
              <w:rPr>
                <w:noProof/>
              </w:rPr>
            </w:pPr>
            <w:r>
              <w:rPr>
                <w:noProof/>
              </w:rPr>
              <w:t>Modification d'un acte juridique</w:t>
            </w:r>
          </w:p>
        </w:tc>
        <w:tc>
          <w:tcPr>
            <w:tcW w:w="1984" w:type="dxa"/>
            <w:shd w:val="clear" w:color="auto" w:fill="C6EFCE"/>
            <w:noWrap/>
          </w:tcPr>
          <w:p w14:paraId="6819D164" w14:textId="77777777" w:rsidR="00A00259" w:rsidRDefault="00371282">
            <w:pPr>
              <w:pStyle w:val="P68B1DB1-Normal12"/>
              <w:rPr>
                <w:noProof/>
              </w:rPr>
            </w:pPr>
            <w:r>
              <w:rPr>
                <w:noProof/>
              </w:rPr>
              <w:t>Entrée en vigueur de l'acte juridique</w:t>
            </w:r>
          </w:p>
        </w:tc>
        <w:tc>
          <w:tcPr>
            <w:tcW w:w="993" w:type="dxa"/>
            <w:shd w:val="clear" w:color="auto" w:fill="C6EFCE"/>
            <w:noWrap/>
          </w:tcPr>
          <w:p w14:paraId="4182DD78" w14:textId="77777777" w:rsidR="00A00259" w:rsidRDefault="00A00259">
            <w:pPr>
              <w:spacing w:before="120" w:after="0" w:line="240" w:lineRule="auto"/>
              <w:rPr>
                <w:rFonts w:ascii="Times New Roman" w:hAnsi="Times New Roman" w:cs="Times New Roman"/>
                <w:noProof/>
                <w:color w:val="006100"/>
                <w:sz w:val="18"/>
                <w:szCs w:val="18"/>
              </w:rPr>
            </w:pPr>
          </w:p>
        </w:tc>
        <w:tc>
          <w:tcPr>
            <w:tcW w:w="992" w:type="dxa"/>
            <w:shd w:val="clear" w:color="auto" w:fill="C6EFCE"/>
            <w:noWrap/>
          </w:tcPr>
          <w:p w14:paraId="54770CE6" w14:textId="77777777" w:rsidR="00A00259" w:rsidRDefault="00A00259">
            <w:pPr>
              <w:spacing w:before="120" w:after="0" w:line="240" w:lineRule="auto"/>
              <w:rPr>
                <w:rFonts w:ascii="Times New Roman" w:hAnsi="Times New Roman" w:cs="Times New Roman"/>
                <w:noProof/>
                <w:color w:val="006100"/>
                <w:sz w:val="18"/>
                <w:szCs w:val="18"/>
              </w:rPr>
            </w:pPr>
          </w:p>
        </w:tc>
        <w:tc>
          <w:tcPr>
            <w:tcW w:w="850" w:type="dxa"/>
            <w:shd w:val="clear" w:color="auto" w:fill="C6EFCE"/>
            <w:noWrap/>
          </w:tcPr>
          <w:p w14:paraId="7636B841" w14:textId="77777777" w:rsidR="00A00259" w:rsidRDefault="00A00259">
            <w:pPr>
              <w:spacing w:before="120" w:after="0" w:line="240" w:lineRule="auto"/>
              <w:rPr>
                <w:rFonts w:ascii="Times New Roman" w:hAnsi="Times New Roman" w:cs="Times New Roman"/>
                <w:noProof/>
                <w:color w:val="006100"/>
                <w:sz w:val="18"/>
                <w:szCs w:val="18"/>
              </w:rPr>
            </w:pPr>
          </w:p>
        </w:tc>
        <w:tc>
          <w:tcPr>
            <w:tcW w:w="961" w:type="dxa"/>
            <w:shd w:val="clear" w:color="auto" w:fill="C6EFCE"/>
            <w:noWrap/>
          </w:tcPr>
          <w:p w14:paraId="2C479A9D" w14:textId="77777777" w:rsidR="00A00259" w:rsidRDefault="00371282">
            <w:pPr>
              <w:pStyle w:val="P68B1DB1-Normal12"/>
              <w:spacing w:before="120" w:after="0" w:line="240" w:lineRule="auto"/>
              <w:rPr>
                <w:noProof/>
              </w:rPr>
            </w:pPr>
            <w:r>
              <w:rPr>
                <w:noProof/>
              </w:rPr>
              <w:t>T1</w:t>
            </w:r>
          </w:p>
        </w:tc>
        <w:tc>
          <w:tcPr>
            <w:tcW w:w="720" w:type="dxa"/>
            <w:shd w:val="clear" w:color="auto" w:fill="C6EFCE"/>
            <w:noWrap/>
          </w:tcPr>
          <w:p w14:paraId="52033C65" w14:textId="77777777" w:rsidR="00A00259" w:rsidRDefault="00371282">
            <w:pPr>
              <w:pStyle w:val="P68B1DB1-Normal12"/>
              <w:spacing w:before="120" w:after="0" w:line="240" w:lineRule="auto"/>
              <w:rPr>
                <w:noProof/>
              </w:rPr>
            </w:pPr>
            <w:r>
              <w:rPr>
                <w:noProof/>
              </w:rPr>
              <w:t>2025</w:t>
            </w:r>
          </w:p>
        </w:tc>
        <w:tc>
          <w:tcPr>
            <w:tcW w:w="3997" w:type="dxa"/>
            <w:shd w:val="clear" w:color="auto" w:fill="C6EFCE"/>
            <w:noWrap/>
          </w:tcPr>
          <w:p w14:paraId="6130D3D8" w14:textId="77777777" w:rsidR="00A00259" w:rsidRDefault="00371282">
            <w:pPr>
              <w:pStyle w:val="P68B1DB1-Normal12"/>
              <w:spacing w:line="240" w:lineRule="auto"/>
              <w:rPr>
                <w:noProof/>
              </w:rPr>
            </w:pPr>
            <w:r>
              <w:rPr>
                <w:noProof/>
              </w:rPr>
              <w:t>Un acte juridique est entré en vigueur pour inciter les promoteurs du secteur privé à investir dans de nouvelles constructions ou rénovations d’actifs immobiliers appartenant à l’État, la possibilité de recevoir la propriété d’une partie du bien, y compris à des fins commerciales, tout en convertissant une partie des biens en logements sociaux et abordables. Les promoteurs immobiliers privés sont invités, dans le cadre d’un processus transparent et concurrentiel, à entreprendre le développement ou la rénovation d’actifs immobiliers appartenant à l’État. La loi précise les rôles du ministère de la cohésion sociale et des affaires familiales en tant qu’autorité centrale pour la gestion du programme d’échanges réciproques de biens publics («Kinoniki Antiparochi»).</w:t>
            </w:r>
          </w:p>
        </w:tc>
      </w:tr>
    </w:tbl>
    <w:p w14:paraId="7A2EDD24" w14:textId="239BD88E" w:rsidR="00A00259" w:rsidRDefault="00A00259">
      <w:pPr>
        <w:spacing w:before="120" w:after="120" w:line="240" w:lineRule="auto"/>
        <w:jc w:val="both"/>
        <w:rPr>
          <w:rFonts w:ascii="Times New Roman" w:hAnsi="Times New Roman" w:cs="Times New Roman"/>
          <w:noProof/>
          <w:sz w:val="24"/>
          <w:szCs w:val="24"/>
        </w:rPr>
      </w:pPr>
    </w:p>
    <w:p w14:paraId="72E6B4DF" w14:textId="2CCF8EF0" w:rsidR="00A00259" w:rsidRDefault="00371282">
      <w:pPr>
        <w:rPr>
          <w:rFonts w:ascii="Cambria" w:eastAsia="Times New Roman" w:hAnsi="Cambria"/>
          <w:noProof/>
          <w:color w:val="365F91"/>
          <w:sz w:val="24"/>
        </w:rPr>
      </w:pPr>
      <w:r>
        <w:rPr>
          <w:noProof/>
        </w:rPr>
        <w:br w:type="page"/>
      </w:r>
      <w:r>
        <w:rPr>
          <w:rFonts w:ascii="Cambria" w:hAnsi="Cambria"/>
          <w:noProof/>
          <w:color w:val="365F91"/>
          <w:sz w:val="24"/>
        </w:rPr>
        <w:t>Groupe 16: Accroître l'accès à des politiques sociales efficaces et inclusives - Migration &amp; Asile</w:t>
      </w:r>
    </w:p>
    <w:p w14:paraId="17B5C686" w14:textId="77777777" w:rsidR="00A00259" w:rsidRDefault="00371282">
      <w:pPr>
        <w:pStyle w:val="P68B1DB1-Normal5"/>
        <w:numPr>
          <w:ilvl w:val="0"/>
          <w:numId w:val="53"/>
        </w:numPr>
        <w:spacing w:before="120" w:after="0" w:line="240" w:lineRule="auto"/>
        <w:ind w:left="0"/>
        <w:jc w:val="both"/>
        <w:rPr>
          <w:rFonts w:cs="Times New Roman"/>
          <w:noProof/>
        </w:rPr>
      </w:pPr>
      <w:r>
        <w:rPr>
          <w:noProof/>
        </w:rPr>
        <w:t>Numérisation du système de migration et d’asile (ID: 16763)</w:t>
      </w:r>
    </w:p>
    <w:p w14:paraId="338DD1BB" w14:textId="77777777" w:rsidR="00A00259" w:rsidRDefault="00371282">
      <w:pPr>
        <w:pStyle w:val="P68B1DB1-Normal5"/>
        <w:numPr>
          <w:ilvl w:val="0"/>
          <w:numId w:val="53"/>
        </w:numPr>
        <w:spacing w:before="120" w:after="0" w:line="240" w:lineRule="auto"/>
        <w:ind w:left="0"/>
        <w:jc w:val="both"/>
        <w:rPr>
          <w:rFonts w:cs="Times New Roman"/>
          <w:noProof/>
        </w:rPr>
      </w:pPr>
      <w:r>
        <w:rPr>
          <w:noProof/>
        </w:rPr>
        <w:t>Transformation numérique du système de soutien social (ID: 16925)</w:t>
      </w:r>
    </w:p>
    <w:p w14:paraId="62B3BE9C" w14:textId="77777777" w:rsidR="00A00259" w:rsidRDefault="00371282">
      <w:pPr>
        <w:pStyle w:val="P68B1DB1-Normal5"/>
        <w:numPr>
          <w:ilvl w:val="0"/>
          <w:numId w:val="53"/>
        </w:numPr>
        <w:spacing w:before="120" w:after="0" w:line="240" w:lineRule="auto"/>
        <w:ind w:left="0"/>
        <w:jc w:val="both"/>
        <w:rPr>
          <w:rFonts w:cs="Times New Roman"/>
          <w:noProof/>
        </w:rPr>
      </w:pPr>
      <w:r>
        <w:rPr>
          <w:noProof/>
        </w:rPr>
        <w:t>Sensibilisation à la diversité (ID: 16685)</w:t>
      </w:r>
    </w:p>
    <w:p w14:paraId="24A4520C" w14:textId="77777777" w:rsidR="00A00259" w:rsidRDefault="00371282">
      <w:pPr>
        <w:pStyle w:val="P68B1DB1-Normal5"/>
        <w:numPr>
          <w:ilvl w:val="0"/>
          <w:numId w:val="53"/>
        </w:numPr>
        <w:spacing w:before="120" w:after="0" w:line="240" w:lineRule="auto"/>
        <w:ind w:left="0" w:hanging="357"/>
        <w:jc w:val="both"/>
        <w:rPr>
          <w:rFonts w:cs="Times New Roman"/>
          <w:noProof/>
        </w:rPr>
      </w:pPr>
      <w:r>
        <w:rPr>
          <w:noProof/>
        </w:rPr>
        <w:t>Intégration sociale (ID: 16922)</w:t>
      </w:r>
    </w:p>
    <w:p w14:paraId="4EEC5500" w14:textId="77777777" w:rsidR="00A00259" w:rsidRDefault="00371282">
      <w:pPr>
        <w:pStyle w:val="P68B1DB1-Normal5"/>
        <w:numPr>
          <w:ilvl w:val="0"/>
          <w:numId w:val="53"/>
        </w:numPr>
        <w:spacing w:before="120" w:after="120" w:line="240" w:lineRule="auto"/>
        <w:ind w:left="0"/>
        <w:jc w:val="both"/>
        <w:rPr>
          <w:rFonts w:cs="Times New Roman"/>
          <w:noProof/>
        </w:rPr>
      </w:pPr>
      <w:r>
        <w:rPr>
          <w:noProof/>
        </w:rPr>
        <w:t>Promouvoir l'intégration de la population réfugiée sur le marché du travail (ID: 16688)</w:t>
      </w:r>
    </w:p>
    <w:tbl>
      <w:tblPr>
        <w:tblW w:w="1576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582"/>
        <w:gridCol w:w="1942"/>
        <w:gridCol w:w="1099"/>
        <w:gridCol w:w="2107"/>
        <w:gridCol w:w="1766"/>
        <w:gridCol w:w="1404"/>
        <w:gridCol w:w="1035"/>
        <w:gridCol w:w="1097"/>
        <w:gridCol w:w="986"/>
        <w:gridCol w:w="783"/>
        <w:gridCol w:w="3117"/>
      </w:tblGrid>
      <w:tr w:rsidR="00A00259" w14:paraId="14F57502" w14:textId="77777777">
        <w:trPr>
          <w:trHeight w:val="927"/>
          <w:tblHeader/>
          <w:jc w:val="center"/>
        </w:trPr>
        <w:tc>
          <w:tcPr>
            <w:tcW w:w="566" w:type="dxa"/>
            <w:vMerge w:val="restart"/>
            <w:shd w:val="clear" w:color="auto" w:fill="BDD7EE"/>
            <w:vAlign w:val="center"/>
            <w:hideMark/>
          </w:tcPr>
          <w:p w14:paraId="5B85B525" w14:textId="77777777" w:rsidR="00A00259" w:rsidRDefault="00371282">
            <w:pPr>
              <w:pStyle w:val="P68B1DB1-Normal10"/>
              <w:spacing w:before="120" w:after="0" w:line="240" w:lineRule="auto"/>
              <w:jc w:val="center"/>
              <w:rPr>
                <w:rFonts w:eastAsia="Times New Roman" w:cs="Times New Roman"/>
                <w:bCs/>
                <w:noProof/>
                <w:szCs w:val="18"/>
              </w:rPr>
            </w:pPr>
            <w:r>
              <w:rPr>
                <w:noProof/>
              </w:rPr>
              <w:t xml:space="preserve">Seq. </w:t>
            </w:r>
            <w:r>
              <w:rPr>
                <w:noProof/>
              </w:rPr>
              <w:br/>
              <w:t>Non.</w:t>
            </w:r>
          </w:p>
        </w:tc>
        <w:tc>
          <w:tcPr>
            <w:tcW w:w="1942" w:type="dxa"/>
            <w:vMerge w:val="restart"/>
            <w:shd w:val="clear" w:color="auto" w:fill="BDD7EE"/>
            <w:vAlign w:val="center"/>
            <w:hideMark/>
          </w:tcPr>
          <w:p w14:paraId="3383259B" w14:textId="77777777" w:rsidR="00A00259" w:rsidRDefault="00371282">
            <w:pPr>
              <w:pStyle w:val="P68B1DB1-Normal10"/>
              <w:spacing w:before="120" w:after="0" w:line="240" w:lineRule="auto"/>
              <w:jc w:val="center"/>
              <w:rPr>
                <w:rFonts w:eastAsia="Times New Roman" w:cs="Times New Roman"/>
                <w:bCs/>
                <w:noProof/>
                <w:szCs w:val="18"/>
              </w:rPr>
            </w:pPr>
            <w:r>
              <w:rPr>
                <w:noProof/>
              </w:rPr>
              <w:t>Mesure connexe (réforme ou investissement)</w:t>
            </w:r>
          </w:p>
        </w:tc>
        <w:tc>
          <w:tcPr>
            <w:tcW w:w="1099" w:type="dxa"/>
            <w:vMerge w:val="restart"/>
            <w:shd w:val="clear" w:color="auto" w:fill="BDD7EE"/>
            <w:vAlign w:val="center"/>
            <w:hideMark/>
          </w:tcPr>
          <w:p w14:paraId="49468AFE" w14:textId="77777777" w:rsidR="00A00259" w:rsidRDefault="00371282">
            <w:pPr>
              <w:pStyle w:val="P68B1DB1-Normal10"/>
              <w:spacing w:before="120" w:after="0" w:line="240" w:lineRule="auto"/>
              <w:jc w:val="center"/>
              <w:rPr>
                <w:rFonts w:eastAsia="Times New Roman" w:cs="Times New Roman"/>
                <w:bCs/>
                <w:noProof/>
                <w:szCs w:val="18"/>
              </w:rPr>
            </w:pPr>
            <w:r>
              <w:rPr>
                <w:noProof/>
              </w:rPr>
              <w:t>Étape/cible</w:t>
            </w:r>
          </w:p>
        </w:tc>
        <w:tc>
          <w:tcPr>
            <w:tcW w:w="2107" w:type="dxa"/>
            <w:vMerge w:val="restart"/>
            <w:shd w:val="clear" w:color="auto" w:fill="BDD7EE"/>
            <w:vAlign w:val="center"/>
            <w:hideMark/>
          </w:tcPr>
          <w:p w14:paraId="324F0A64" w14:textId="77777777" w:rsidR="00A00259" w:rsidRDefault="00371282">
            <w:pPr>
              <w:pStyle w:val="P68B1DB1-Normal10"/>
              <w:spacing w:before="120" w:after="0" w:line="240" w:lineRule="auto"/>
              <w:jc w:val="center"/>
              <w:rPr>
                <w:rFonts w:eastAsia="Times New Roman" w:cs="Times New Roman"/>
                <w:bCs/>
                <w:noProof/>
                <w:szCs w:val="18"/>
              </w:rPr>
            </w:pPr>
            <w:r>
              <w:rPr>
                <w:noProof/>
              </w:rPr>
              <w:t>Nom</w:t>
            </w:r>
          </w:p>
        </w:tc>
        <w:tc>
          <w:tcPr>
            <w:tcW w:w="1766" w:type="dxa"/>
            <w:vMerge w:val="restart"/>
            <w:shd w:val="clear" w:color="auto" w:fill="BDD7EE"/>
            <w:vAlign w:val="center"/>
            <w:hideMark/>
          </w:tcPr>
          <w:p w14:paraId="1D4E692F" w14:textId="77777777" w:rsidR="00A00259" w:rsidRDefault="00371282">
            <w:pPr>
              <w:pStyle w:val="P68B1DB1-Normal10"/>
              <w:spacing w:before="120" w:after="0" w:line="240" w:lineRule="auto"/>
              <w:jc w:val="center"/>
              <w:rPr>
                <w:rFonts w:eastAsia="Times New Roman" w:cs="Times New Roman"/>
                <w:bCs/>
                <w:noProof/>
                <w:szCs w:val="18"/>
              </w:rPr>
            </w:pPr>
            <w:r>
              <w:rPr>
                <w:noProof/>
              </w:rPr>
              <w:t>Indicateurs qualitatifs (pour les jalons)</w:t>
            </w:r>
          </w:p>
        </w:tc>
        <w:tc>
          <w:tcPr>
            <w:tcW w:w="3536" w:type="dxa"/>
            <w:gridSpan w:val="3"/>
            <w:shd w:val="clear" w:color="auto" w:fill="BDD7EE"/>
            <w:vAlign w:val="center"/>
            <w:hideMark/>
          </w:tcPr>
          <w:p w14:paraId="6425F528" w14:textId="77777777" w:rsidR="00A00259" w:rsidRDefault="00371282">
            <w:pPr>
              <w:pStyle w:val="P68B1DB1-Normal10"/>
              <w:spacing w:before="120" w:after="0" w:line="240" w:lineRule="auto"/>
              <w:jc w:val="center"/>
              <w:rPr>
                <w:rFonts w:eastAsia="Times New Roman" w:cs="Times New Roman"/>
                <w:bCs/>
                <w:noProof/>
                <w:szCs w:val="18"/>
              </w:rPr>
            </w:pPr>
            <w:r>
              <w:rPr>
                <w:noProof/>
              </w:rPr>
              <w:t>Indicateurs quantitatifs (pour les objectifs)</w:t>
            </w:r>
          </w:p>
        </w:tc>
        <w:tc>
          <w:tcPr>
            <w:tcW w:w="1629" w:type="dxa"/>
            <w:gridSpan w:val="2"/>
            <w:shd w:val="clear" w:color="auto" w:fill="BDD7EE"/>
            <w:vAlign w:val="center"/>
            <w:hideMark/>
          </w:tcPr>
          <w:p w14:paraId="1F3AEB81" w14:textId="77777777" w:rsidR="00A00259" w:rsidRDefault="00371282">
            <w:pPr>
              <w:pStyle w:val="P68B1DB1-Normal10"/>
              <w:spacing w:before="120" w:after="0" w:line="240" w:lineRule="auto"/>
              <w:jc w:val="center"/>
              <w:rPr>
                <w:rFonts w:eastAsia="Times New Roman" w:cs="Times New Roman"/>
                <w:bCs/>
                <w:noProof/>
                <w:szCs w:val="18"/>
              </w:rPr>
            </w:pPr>
            <w:r>
              <w:rPr>
                <w:noProof/>
              </w:rPr>
              <w:t xml:space="preserve">Calendrier indicatif d'achèvement </w:t>
            </w:r>
          </w:p>
        </w:tc>
        <w:tc>
          <w:tcPr>
            <w:tcW w:w="3117" w:type="dxa"/>
            <w:vMerge w:val="restart"/>
            <w:shd w:val="clear" w:color="auto" w:fill="BDD7EE"/>
            <w:vAlign w:val="center"/>
            <w:hideMark/>
          </w:tcPr>
          <w:p w14:paraId="326983E3" w14:textId="77777777" w:rsidR="00A00259" w:rsidRDefault="00371282">
            <w:pPr>
              <w:pStyle w:val="P68B1DB1-Normal10"/>
              <w:spacing w:before="120" w:after="0" w:line="240" w:lineRule="auto"/>
              <w:jc w:val="center"/>
              <w:rPr>
                <w:rFonts w:eastAsia="Times New Roman" w:cs="Times New Roman"/>
                <w:bCs/>
                <w:noProof/>
                <w:szCs w:val="18"/>
              </w:rPr>
            </w:pPr>
            <w:r>
              <w:rPr>
                <w:noProof/>
              </w:rPr>
              <w:t>Description de chaque jalon et cible</w:t>
            </w:r>
          </w:p>
        </w:tc>
      </w:tr>
      <w:tr w:rsidR="00A00259" w14:paraId="1121F79C" w14:textId="77777777">
        <w:trPr>
          <w:trHeight w:val="654"/>
          <w:tblHeader/>
          <w:jc w:val="center"/>
        </w:trPr>
        <w:tc>
          <w:tcPr>
            <w:tcW w:w="566" w:type="dxa"/>
            <w:vMerge/>
            <w:vAlign w:val="center"/>
            <w:hideMark/>
          </w:tcPr>
          <w:p w14:paraId="27968387" w14:textId="77777777" w:rsidR="00A00259" w:rsidRDefault="00A00259">
            <w:pPr>
              <w:spacing w:before="120" w:after="0" w:line="240" w:lineRule="auto"/>
              <w:rPr>
                <w:rFonts w:ascii="Times New Roman" w:eastAsia="Times New Roman" w:hAnsi="Times New Roman" w:cs="Times New Roman"/>
                <w:b/>
                <w:noProof/>
                <w:sz w:val="18"/>
                <w:szCs w:val="18"/>
              </w:rPr>
            </w:pPr>
          </w:p>
        </w:tc>
        <w:tc>
          <w:tcPr>
            <w:tcW w:w="1942" w:type="dxa"/>
            <w:vMerge/>
            <w:vAlign w:val="center"/>
            <w:hideMark/>
          </w:tcPr>
          <w:p w14:paraId="5440958D" w14:textId="77777777" w:rsidR="00A00259" w:rsidRDefault="00A00259">
            <w:pPr>
              <w:spacing w:before="120" w:after="0" w:line="240" w:lineRule="auto"/>
              <w:rPr>
                <w:rFonts w:ascii="Times New Roman" w:eastAsia="Times New Roman" w:hAnsi="Times New Roman" w:cs="Times New Roman"/>
                <w:b/>
                <w:noProof/>
                <w:sz w:val="18"/>
                <w:szCs w:val="18"/>
              </w:rPr>
            </w:pPr>
          </w:p>
        </w:tc>
        <w:tc>
          <w:tcPr>
            <w:tcW w:w="1099" w:type="dxa"/>
            <w:vMerge/>
            <w:vAlign w:val="center"/>
            <w:hideMark/>
          </w:tcPr>
          <w:p w14:paraId="4CB63550" w14:textId="77777777" w:rsidR="00A00259" w:rsidRDefault="00A00259">
            <w:pPr>
              <w:spacing w:before="120" w:after="0" w:line="240" w:lineRule="auto"/>
              <w:rPr>
                <w:rFonts w:ascii="Times New Roman" w:eastAsia="Times New Roman" w:hAnsi="Times New Roman" w:cs="Times New Roman"/>
                <w:b/>
                <w:noProof/>
                <w:sz w:val="18"/>
                <w:szCs w:val="18"/>
              </w:rPr>
            </w:pPr>
          </w:p>
        </w:tc>
        <w:tc>
          <w:tcPr>
            <w:tcW w:w="2107" w:type="dxa"/>
            <w:vMerge/>
            <w:vAlign w:val="center"/>
            <w:hideMark/>
          </w:tcPr>
          <w:p w14:paraId="052817E8" w14:textId="77777777" w:rsidR="00A00259" w:rsidRDefault="00A00259">
            <w:pPr>
              <w:spacing w:before="120" w:after="0" w:line="240" w:lineRule="auto"/>
              <w:rPr>
                <w:rFonts w:ascii="Times New Roman" w:eastAsia="Times New Roman" w:hAnsi="Times New Roman" w:cs="Times New Roman"/>
                <w:b/>
                <w:noProof/>
                <w:sz w:val="18"/>
                <w:szCs w:val="18"/>
              </w:rPr>
            </w:pPr>
          </w:p>
        </w:tc>
        <w:tc>
          <w:tcPr>
            <w:tcW w:w="1766" w:type="dxa"/>
            <w:vMerge/>
            <w:vAlign w:val="center"/>
            <w:hideMark/>
          </w:tcPr>
          <w:p w14:paraId="6E29CA96" w14:textId="77777777" w:rsidR="00A00259" w:rsidRDefault="00A00259">
            <w:pPr>
              <w:spacing w:before="120" w:after="0" w:line="240" w:lineRule="auto"/>
              <w:rPr>
                <w:rFonts w:ascii="Times New Roman" w:eastAsia="Times New Roman" w:hAnsi="Times New Roman" w:cs="Times New Roman"/>
                <w:b/>
                <w:noProof/>
                <w:sz w:val="18"/>
                <w:szCs w:val="18"/>
              </w:rPr>
            </w:pPr>
          </w:p>
        </w:tc>
        <w:tc>
          <w:tcPr>
            <w:tcW w:w="1404" w:type="dxa"/>
            <w:shd w:val="clear" w:color="auto" w:fill="BDD7EE"/>
            <w:vAlign w:val="center"/>
            <w:hideMark/>
          </w:tcPr>
          <w:p w14:paraId="544DDC3E" w14:textId="77777777" w:rsidR="00A00259" w:rsidRDefault="00371282">
            <w:pPr>
              <w:pStyle w:val="P68B1DB1-Normal10"/>
              <w:spacing w:before="120" w:after="0" w:line="240" w:lineRule="auto"/>
              <w:jc w:val="center"/>
              <w:rPr>
                <w:rFonts w:eastAsia="Times New Roman" w:cs="Times New Roman"/>
                <w:bCs/>
                <w:noProof/>
                <w:szCs w:val="18"/>
              </w:rPr>
            </w:pPr>
            <w:r>
              <w:rPr>
                <w:noProof/>
              </w:rPr>
              <w:t>Unité de mesure</w:t>
            </w:r>
          </w:p>
        </w:tc>
        <w:tc>
          <w:tcPr>
            <w:tcW w:w="1035" w:type="dxa"/>
            <w:shd w:val="clear" w:color="auto" w:fill="BDD7EE"/>
            <w:vAlign w:val="center"/>
            <w:hideMark/>
          </w:tcPr>
          <w:p w14:paraId="4A072B30" w14:textId="77777777" w:rsidR="00A00259" w:rsidRDefault="00371282">
            <w:pPr>
              <w:pStyle w:val="P68B1DB1-Normal10"/>
              <w:spacing w:before="120" w:after="0" w:line="240" w:lineRule="auto"/>
              <w:jc w:val="center"/>
              <w:rPr>
                <w:rFonts w:eastAsia="Times New Roman" w:cs="Times New Roman"/>
                <w:bCs/>
                <w:noProof/>
                <w:szCs w:val="18"/>
              </w:rPr>
            </w:pPr>
            <w:r>
              <w:rPr>
                <w:noProof/>
              </w:rPr>
              <w:t xml:space="preserve">Données de référence </w:t>
            </w:r>
          </w:p>
        </w:tc>
        <w:tc>
          <w:tcPr>
            <w:tcW w:w="1097" w:type="dxa"/>
            <w:shd w:val="clear" w:color="auto" w:fill="BDD7EE"/>
            <w:vAlign w:val="center"/>
            <w:hideMark/>
          </w:tcPr>
          <w:p w14:paraId="1010A329" w14:textId="77777777" w:rsidR="00A00259" w:rsidRDefault="00371282">
            <w:pPr>
              <w:pStyle w:val="P68B1DB1-Normal10"/>
              <w:spacing w:before="120" w:after="0" w:line="240" w:lineRule="auto"/>
              <w:jc w:val="center"/>
              <w:rPr>
                <w:rFonts w:eastAsia="Times New Roman" w:cs="Times New Roman"/>
                <w:bCs/>
                <w:noProof/>
                <w:szCs w:val="18"/>
              </w:rPr>
            </w:pPr>
            <w:r>
              <w:rPr>
                <w:noProof/>
              </w:rPr>
              <w:t xml:space="preserve">Objectif </w:t>
            </w:r>
          </w:p>
        </w:tc>
        <w:tc>
          <w:tcPr>
            <w:tcW w:w="846" w:type="dxa"/>
            <w:shd w:val="clear" w:color="auto" w:fill="BDD7EE"/>
            <w:vAlign w:val="center"/>
            <w:hideMark/>
          </w:tcPr>
          <w:p w14:paraId="695023C0" w14:textId="77777777" w:rsidR="00A00259" w:rsidRDefault="00371282">
            <w:pPr>
              <w:pStyle w:val="P68B1DB1-Normal10"/>
              <w:spacing w:before="120" w:after="0" w:line="240" w:lineRule="auto"/>
              <w:jc w:val="center"/>
              <w:rPr>
                <w:rFonts w:eastAsia="Times New Roman" w:cs="Times New Roman"/>
                <w:bCs/>
                <w:noProof/>
                <w:szCs w:val="18"/>
              </w:rPr>
            </w:pPr>
            <w:r>
              <w:rPr>
                <w:noProof/>
              </w:rPr>
              <w:t>Trimestre</w:t>
            </w:r>
          </w:p>
        </w:tc>
        <w:tc>
          <w:tcPr>
            <w:tcW w:w="783" w:type="dxa"/>
            <w:shd w:val="clear" w:color="auto" w:fill="BDD7EE"/>
            <w:vAlign w:val="center"/>
            <w:hideMark/>
          </w:tcPr>
          <w:p w14:paraId="42785E02" w14:textId="77777777" w:rsidR="00A00259" w:rsidRDefault="00371282">
            <w:pPr>
              <w:pStyle w:val="P68B1DB1-Normal10"/>
              <w:spacing w:before="120" w:after="0" w:line="240" w:lineRule="auto"/>
              <w:jc w:val="center"/>
              <w:rPr>
                <w:rFonts w:eastAsia="Times New Roman" w:cs="Times New Roman"/>
                <w:bCs/>
                <w:noProof/>
                <w:szCs w:val="18"/>
              </w:rPr>
            </w:pPr>
            <w:r>
              <w:rPr>
                <w:noProof/>
              </w:rPr>
              <w:t>Année</w:t>
            </w:r>
          </w:p>
        </w:tc>
        <w:tc>
          <w:tcPr>
            <w:tcW w:w="3117" w:type="dxa"/>
            <w:vMerge/>
            <w:vAlign w:val="center"/>
            <w:hideMark/>
          </w:tcPr>
          <w:p w14:paraId="1EBB43BA" w14:textId="77777777" w:rsidR="00A00259" w:rsidRDefault="00A00259">
            <w:pPr>
              <w:spacing w:before="120" w:after="0" w:line="240" w:lineRule="auto"/>
              <w:rPr>
                <w:rFonts w:ascii="Times New Roman" w:eastAsia="Times New Roman" w:hAnsi="Times New Roman" w:cs="Times New Roman"/>
                <w:b/>
                <w:noProof/>
                <w:sz w:val="18"/>
                <w:szCs w:val="18"/>
              </w:rPr>
            </w:pPr>
          </w:p>
        </w:tc>
      </w:tr>
      <w:tr w:rsidR="00A00259" w14:paraId="40A20070" w14:textId="77777777">
        <w:trPr>
          <w:trHeight w:val="309"/>
          <w:jc w:val="center"/>
        </w:trPr>
        <w:tc>
          <w:tcPr>
            <w:tcW w:w="566" w:type="dxa"/>
            <w:shd w:val="clear" w:color="auto" w:fill="C6EFCE"/>
            <w:noWrap/>
          </w:tcPr>
          <w:p w14:paraId="5F24E89F" w14:textId="77777777" w:rsidR="00A00259" w:rsidRDefault="00371282">
            <w:pPr>
              <w:pStyle w:val="P68B1DB1-Normal12"/>
              <w:spacing w:before="120" w:after="0" w:line="240" w:lineRule="auto"/>
              <w:rPr>
                <w:rFonts w:eastAsia="Times New Roman"/>
                <w:noProof/>
              </w:rPr>
            </w:pPr>
            <w:r>
              <w:rPr>
                <w:noProof/>
              </w:rPr>
              <w:t>182</w:t>
            </w:r>
          </w:p>
        </w:tc>
        <w:tc>
          <w:tcPr>
            <w:tcW w:w="1942" w:type="dxa"/>
            <w:shd w:val="clear" w:color="auto" w:fill="C6EFCE"/>
            <w:noWrap/>
          </w:tcPr>
          <w:p w14:paraId="25FD0A82" w14:textId="77777777" w:rsidR="00A00259" w:rsidRDefault="00371282">
            <w:pPr>
              <w:pStyle w:val="P68B1DB1-Normal12"/>
              <w:spacing w:before="120" w:after="0" w:line="240" w:lineRule="auto"/>
              <w:rPr>
                <w:rFonts w:eastAsia="Times New Roman"/>
                <w:noProof/>
              </w:rPr>
            </w:pPr>
            <w:r>
              <w:rPr>
                <w:noProof/>
              </w:rPr>
              <w:t>11 - 3.4. Améliorer l'accès à des politiques sociales efficaces et inclusives - 16925_Transformation numérique du système de soutien social</w:t>
            </w:r>
          </w:p>
        </w:tc>
        <w:tc>
          <w:tcPr>
            <w:tcW w:w="1099" w:type="dxa"/>
            <w:shd w:val="clear" w:color="auto" w:fill="C6EFCE"/>
            <w:noWrap/>
          </w:tcPr>
          <w:p w14:paraId="7788E288" w14:textId="77777777" w:rsidR="00A00259" w:rsidRDefault="00371282">
            <w:pPr>
              <w:pStyle w:val="P68B1DB1-Normal12"/>
              <w:spacing w:before="120" w:after="0" w:line="240" w:lineRule="auto"/>
              <w:rPr>
                <w:rFonts w:eastAsia="Times New Roman"/>
                <w:noProof/>
              </w:rPr>
            </w:pPr>
            <w:r>
              <w:rPr>
                <w:noProof/>
              </w:rPr>
              <w:t>Étape</w:t>
            </w:r>
          </w:p>
        </w:tc>
        <w:tc>
          <w:tcPr>
            <w:tcW w:w="2107" w:type="dxa"/>
            <w:shd w:val="clear" w:color="auto" w:fill="C6EFCE"/>
            <w:noWrap/>
          </w:tcPr>
          <w:p w14:paraId="59677C48" w14:textId="77777777" w:rsidR="00A00259" w:rsidRDefault="00371282">
            <w:pPr>
              <w:pStyle w:val="P68B1DB1-Normal12"/>
              <w:spacing w:before="120" w:after="0" w:line="240" w:lineRule="auto"/>
              <w:rPr>
                <w:rFonts w:eastAsia="Times New Roman"/>
                <w:noProof/>
              </w:rPr>
            </w:pPr>
            <w:r>
              <w:rPr>
                <w:noProof/>
              </w:rPr>
              <w:t>Délivrance de cartes d'invalidité aux bénéficiaires</w:t>
            </w:r>
          </w:p>
        </w:tc>
        <w:tc>
          <w:tcPr>
            <w:tcW w:w="1766" w:type="dxa"/>
            <w:shd w:val="clear" w:color="auto" w:fill="C6EFCE"/>
            <w:noWrap/>
          </w:tcPr>
          <w:p w14:paraId="7217C02D" w14:textId="77777777" w:rsidR="00A00259" w:rsidRDefault="00371282">
            <w:pPr>
              <w:pStyle w:val="P68B1DB1-Normal23"/>
              <w:spacing w:before="120" w:after="0" w:line="240" w:lineRule="auto"/>
              <w:rPr>
                <w:noProof/>
              </w:rPr>
            </w:pPr>
            <w:r>
              <w:rPr>
                <w:noProof/>
              </w:rPr>
              <w:t>Délivrance de cartes d'invalidité aux bénéficiaires</w:t>
            </w:r>
          </w:p>
        </w:tc>
        <w:tc>
          <w:tcPr>
            <w:tcW w:w="1404" w:type="dxa"/>
            <w:shd w:val="clear" w:color="auto" w:fill="C6EFCE"/>
            <w:noWrap/>
          </w:tcPr>
          <w:p w14:paraId="14347F61"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1035" w:type="dxa"/>
            <w:shd w:val="clear" w:color="auto" w:fill="C6EFCE"/>
            <w:noWrap/>
          </w:tcPr>
          <w:p w14:paraId="3D07579F"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1097" w:type="dxa"/>
            <w:shd w:val="clear" w:color="auto" w:fill="C6EFCE"/>
            <w:noWrap/>
          </w:tcPr>
          <w:p w14:paraId="5DB94F1E"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291D225E" w14:textId="77777777" w:rsidR="00A00259" w:rsidRDefault="00371282">
            <w:pPr>
              <w:pStyle w:val="P68B1DB1-Normal12"/>
              <w:spacing w:before="120" w:after="0" w:line="240" w:lineRule="auto"/>
              <w:rPr>
                <w:rFonts w:eastAsia="Times New Roman"/>
                <w:noProof/>
              </w:rPr>
            </w:pPr>
            <w:r>
              <w:rPr>
                <w:noProof/>
              </w:rPr>
              <w:t>T4</w:t>
            </w:r>
          </w:p>
        </w:tc>
        <w:tc>
          <w:tcPr>
            <w:tcW w:w="783" w:type="dxa"/>
            <w:shd w:val="clear" w:color="auto" w:fill="C6EFCE"/>
            <w:noWrap/>
          </w:tcPr>
          <w:p w14:paraId="5DBC3C46" w14:textId="77777777" w:rsidR="00A00259" w:rsidRDefault="00371282">
            <w:pPr>
              <w:pStyle w:val="P68B1DB1-Normal12"/>
              <w:spacing w:before="120" w:after="0" w:line="240" w:lineRule="auto"/>
              <w:rPr>
                <w:rFonts w:eastAsia="Times New Roman"/>
                <w:noProof/>
              </w:rPr>
            </w:pPr>
            <w:r>
              <w:rPr>
                <w:noProof/>
              </w:rPr>
              <w:t>2025</w:t>
            </w:r>
          </w:p>
        </w:tc>
        <w:tc>
          <w:tcPr>
            <w:tcW w:w="3117" w:type="dxa"/>
            <w:shd w:val="clear" w:color="auto" w:fill="C6EFCE"/>
            <w:noWrap/>
          </w:tcPr>
          <w:p w14:paraId="19613840" w14:textId="0E54207D" w:rsidR="00A00259" w:rsidRDefault="00371282">
            <w:pPr>
              <w:pStyle w:val="P68B1DB1-Normal12"/>
              <w:spacing w:before="120" w:after="0" w:line="240" w:lineRule="auto"/>
              <w:rPr>
                <w:rFonts w:eastAsia="Times New Roman"/>
                <w:noProof/>
              </w:rPr>
            </w:pPr>
            <w:r>
              <w:rPr>
                <w:noProof/>
              </w:rPr>
              <w:t>Délivrance de 120 000 cartes d'invalidité aux bénéficiaires</w:t>
            </w:r>
          </w:p>
          <w:p w14:paraId="41B7BB87" w14:textId="77777777" w:rsidR="00A00259" w:rsidRDefault="00371282">
            <w:pPr>
              <w:pStyle w:val="P68B1DB1-Normal12"/>
              <w:spacing w:before="120" w:after="0" w:line="240" w:lineRule="auto"/>
              <w:rPr>
                <w:rFonts w:eastAsia="Times New Roman"/>
                <w:noProof/>
              </w:rPr>
            </w:pPr>
            <w:r>
              <w:rPr>
                <w:noProof/>
              </w:rPr>
              <w:t xml:space="preserve">Les cartes d'invalidité doivent inclure des avantages culturels et de transport pour les personnes ayant une déficience. </w:t>
            </w:r>
          </w:p>
        </w:tc>
      </w:tr>
      <w:tr w:rsidR="00A00259" w14:paraId="3625FCC7" w14:textId="77777777">
        <w:trPr>
          <w:trHeight w:val="309"/>
          <w:jc w:val="center"/>
        </w:trPr>
        <w:tc>
          <w:tcPr>
            <w:tcW w:w="566" w:type="dxa"/>
            <w:shd w:val="clear" w:color="auto" w:fill="C6EFCE"/>
            <w:noWrap/>
          </w:tcPr>
          <w:p w14:paraId="21F78CB9" w14:textId="77777777" w:rsidR="00A00259" w:rsidRDefault="00371282">
            <w:pPr>
              <w:pStyle w:val="P68B1DB1-Normal12"/>
              <w:spacing w:before="120" w:after="0" w:line="240" w:lineRule="auto"/>
              <w:rPr>
                <w:rFonts w:eastAsia="Times New Roman"/>
                <w:noProof/>
              </w:rPr>
            </w:pPr>
            <w:r>
              <w:rPr>
                <w:noProof/>
              </w:rPr>
              <w:t>182a</w:t>
            </w:r>
          </w:p>
        </w:tc>
        <w:tc>
          <w:tcPr>
            <w:tcW w:w="1942" w:type="dxa"/>
            <w:shd w:val="clear" w:color="auto" w:fill="C6EFCE"/>
            <w:noWrap/>
          </w:tcPr>
          <w:p w14:paraId="30DE6C5A" w14:textId="77777777" w:rsidR="00A00259" w:rsidRDefault="00371282">
            <w:pPr>
              <w:pStyle w:val="P68B1DB1-Normal12"/>
              <w:spacing w:before="120" w:after="0" w:line="240" w:lineRule="auto"/>
              <w:rPr>
                <w:rFonts w:eastAsia="Times New Roman"/>
                <w:noProof/>
              </w:rPr>
            </w:pPr>
            <w:r>
              <w:rPr>
                <w:noProof/>
              </w:rPr>
              <w:t>11 - 3.4. Améliorer l'accès à des politiques sociales efficaces et inclusives - 16925_Transformation numérique du système de soutien social</w:t>
            </w:r>
          </w:p>
        </w:tc>
        <w:tc>
          <w:tcPr>
            <w:tcW w:w="1099" w:type="dxa"/>
            <w:shd w:val="clear" w:color="auto" w:fill="C6EFCE"/>
            <w:noWrap/>
          </w:tcPr>
          <w:p w14:paraId="5FEF75AF" w14:textId="77777777" w:rsidR="00A00259" w:rsidRDefault="00371282">
            <w:pPr>
              <w:pStyle w:val="P68B1DB1-Normal12"/>
              <w:spacing w:before="120" w:after="0" w:line="240" w:lineRule="auto"/>
              <w:rPr>
                <w:rFonts w:eastAsia="Times New Roman"/>
                <w:noProof/>
              </w:rPr>
            </w:pPr>
            <w:r>
              <w:rPr>
                <w:noProof/>
              </w:rPr>
              <w:t>Étape</w:t>
            </w:r>
          </w:p>
        </w:tc>
        <w:tc>
          <w:tcPr>
            <w:tcW w:w="2107" w:type="dxa"/>
            <w:shd w:val="clear" w:color="auto" w:fill="C6EFCE"/>
            <w:noWrap/>
          </w:tcPr>
          <w:p w14:paraId="0082B53C" w14:textId="77777777" w:rsidR="00A00259" w:rsidRDefault="00371282">
            <w:pPr>
              <w:pStyle w:val="P68B1DB1-Normal12"/>
              <w:spacing w:before="120" w:after="0" w:line="240" w:lineRule="auto"/>
              <w:rPr>
                <w:rFonts w:eastAsia="Times New Roman"/>
                <w:noProof/>
              </w:rPr>
            </w:pPr>
            <w:r>
              <w:rPr>
                <w:noProof/>
              </w:rPr>
              <w:t xml:space="preserve">Portail national du handicap </w:t>
            </w:r>
          </w:p>
        </w:tc>
        <w:tc>
          <w:tcPr>
            <w:tcW w:w="1766" w:type="dxa"/>
            <w:shd w:val="clear" w:color="auto" w:fill="C6EFCE"/>
            <w:noWrap/>
          </w:tcPr>
          <w:p w14:paraId="316F7F89" w14:textId="77777777" w:rsidR="00A00259" w:rsidRDefault="00371282">
            <w:pPr>
              <w:pStyle w:val="P68B1DB1-Normal12"/>
              <w:spacing w:before="120" w:after="0" w:line="240" w:lineRule="auto"/>
              <w:rPr>
                <w:rFonts w:eastAsia="Times New Roman"/>
                <w:noProof/>
              </w:rPr>
            </w:pPr>
            <w:r>
              <w:rPr>
                <w:noProof/>
              </w:rPr>
              <w:t xml:space="preserve">Mise en place du portail national sur le handicap </w:t>
            </w:r>
          </w:p>
        </w:tc>
        <w:tc>
          <w:tcPr>
            <w:tcW w:w="1404" w:type="dxa"/>
            <w:shd w:val="clear" w:color="auto" w:fill="C6EFCE"/>
            <w:noWrap/>
          </w:tcPr>
          <w:p w14:paraId="1D7C8237"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1035" w:type="dxa"/>
            <w:shd w:val="clear" w:color="auto" w:fill="C6EFCE"/>
            <w:noWrap/>
          </w:tcPr>
          <w:p w14:paraId="4C9C35FC"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1097" w:type="dxa"/>
            <w:shd w:val="clear" w:color="auto" w:fill="C6EFCE"/>
            <w:noWrap/>
          </w:tcPr>
          <w:p w14:paraId="1FCFD702"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03782A6B" w14:textId="77777777" w:rsidR="00A00259" w:rsidRDefault="00371282">
            <w:pPr>
              <w:pStyle w:val="P68B1DB1-Normal12"/>
              <w:spacing w:before="120" w:after="0" w:line="240" w:lineRule="auto"/>
              <w:rPr>
                <w:rFonts w:eastAsia="Times New Roman"/>
                <w:noProof/>
              </w:rPr>
            </w:pPr>
            <w:r>
              <w:rPr>
                <w:noProof/>
              </w:rPr>
              <w:t>T4</w:t>
            </w:r>
          </w:p>
        </w:tc>
        <w:tc>
          <w:tcPr>
            <w:tcW w:w="783" w:type="dxa"/>
            <w:shd w:val="clear" w:color="auto" w:fill="C6EFCE"/>
            <w:noWrap/>
          </w:tcPr>
          <w:p w14:paraId="33FFF14F" w14:textId="77777777" w:rsidR="00A00259" w:rsidRDefault="00371282">
            <w:pPr>
              <w:pStyle w:val="P68B1DB1-Normal12"/>
              <w:spacing w:before="120" w:after="0" w:line="240" w:lineRule="auto"/>
              <w:rPr>
                <w:rFonts w:eastAsia="Times New Roman"/>
                <w:noProof/>
              </w:rPr>
            </w:pPr>
            <w:r>
              <w:rPr>
                <w:noProof/>
              </w:rPr>
              <w:t>2025</w:t>
            </w:r>
          </w:p>
        </w:tc>
        <w:tc>
          <w:tcPr>
            <w:tcW w:w="3117" w:type="dxa"/>
            <w:shd w:val="clear" w:color="auto" w:fill="C6EFCE"/>
            <w:noWrap/>
          </w:tcPr>
          <w:p w14:paraId="7CD94481" w14:textId="77777777" w:rsidR="00A00259" w:rsidRDefault="00371282">
            <w:pPr>
              <w:pStyle w:val="P68B1DB1-Normal12"/>
              <w:spacing w:after="0" w:line="240" w:lineRule="auto"/>
              <w:jc w:val="both"/>
              <w:textAlignment w:val="baseline"/>
              <w:rPr>
                <w:rFonts w:eastAsia="Times New Roman"/>
                <w:noProof/>
              </w:rPr>
            </w:pPr>
            <w:r>
              <w:rPr>
                <w:noProof/>
              </w:rPr>
              <w:t>Un portail national du handicap permet aux utilisateurs d’accéder en ligne à leurs données à caractère personnel et aux avantages correspondant à leur handicap</w:t>
            </w:r>
          </w:p>
        </w:tc>
      </w:tr>
      <w:tr w:rsidR="00A00259" w14:paraId="6727E9A0" w14:textId="77777777">
        <w:trPr>
          <w:trHeight w:val="309"/>
          <w:jc w:val="center"/>
        </w:trPr>
        <w:tc>
          <w:tcPr>
            <w:tcW w:w="566" w:type="dxa"/>
            <w:shd w:val="clear" w:color="auto" w:fill="C6EFCE"/>
            <w:noWrap/>
          </w:tcPr>
          <w:p w14:paraId="2968900F" w14:textId="77777777" w:rsidR="00A00259" w:rsidRDefault="00371282">
            <w:pPr>
              <w:pStyle w:val="P68B1DB1-Normal12"/>
              <w:spacing w:before="120" w:after="0" w:line="240" w:lineRule="auto"/>
              <w:rPr>
                <w:rFonts w:eastAsia="Times New Roman"/>
                <w:noProof/>
              </w:rPr>
            </w:pPr>
            <w:r>
              <w:rPr>
                <w:noProof/>
              </w:rPr>
              <w:t>184</w:t>
            </w:r>
          </w:p>
        </w:tc>
        <w:tc>
          <w:tcPr>
            <w:tcW w:w="1942" w:type="dxa"/>
            <w:shd w:val="clear" w:color="auto" w:fill="C6EFCE"/>
            <w:noWrap/>
          </w:tcPr>
          <w:p w14:paraId="2B6B4B9E" w14:textId="77777777" w:rsidR="00A00259" w:rsidRDefault="00371282">
            <w:pPr>
              <w:pStyle w:val="P68B1DB1-Normal12"/>
              <w:spacing w:before="120" w:after="0" w:line="240" w:lineRule="auto"/>
              <w:rPr>
                <w:rFonts w:eastAsia="Times New Roman"/>
                <w:noProof/>
              </w:rPr>
            </w:pPr>
            <w:r>
              <w:rPr>
                <w:noProof/>
              </w:rPr>
              <w:t>11 - 3.4. Accroître l'accès à des politiques sociales efficaces et inclusives - 16685_Sensibilisation à la diversité</w:t>
            </w:r>
          </w:p>
        </w:tc>
        <w:tc>
          <w:tcPr>
            <w:tcW w:w="1099" w:type="dxa"/>
            <w:shd w:val="clear" w:color="auto" w:fill="C6EFCE"/>
            <w:noWrap/>
          </w:tcPr>
          <w:p w14:paraId="4E40C0C4" w14:textId="77777777" w:rsidR="00A00259" w:rsidRDefault="00371282">
            <w:pPr>
              <w:pStyle w:val="P68B1DB1-Normal12"/>
              <w:spacing w:before="120" w:after="0" w:line="240" w:lineRule="auto"/>
              <w:rPr>
                <w:rFonts w:eastAsia="Times New Roman"/>
                <w:noProof/>
              </w:rPr>
            </w:pPr>
            <w:r>
              <w:rPr>
                <w:noProof/>
              </w:rPr>
              <w:t>Étape</w:t>
            </w:r>
          </w:p>
        </w:tc>
        <w:tc>
          <w:tcPr>
            <w:tcW w:w="2107" w:type="dxa"/>
            <w:shd w:val="clear" w:color="auto" w:fill="C6EFCE"/>
            <w:noWrap/>
          </w:tcPr>
          <w:p w14:paraId="25300D46" w14:textId="77777777" w:rsidR="00A00259" w:rsidRDefault="00371282">
            <w:pPr>
              <w:pStyle w:val="P68B1DB1-Normal12"/>
              <w:spacing w:before="120" w:after="0" w:line="240" w:lineRule="auto"/>
              <w:rPr>
                <w:rFonts w:eastAsia="Times New Roman"/>
                <w:noProof/>
              </w:rPr>
            </w:pPr>
            <w:r>
              <w:rPr>
                <w:noProof/>
              </w:rPr>
              <w:t>Certificats de formation délivrés aux employés des entreprises du secteur privé</w:t>
            </w:r>
          </w:p>
        </w:tc>
        <w:tc>
          <w:tcPr>
            <w:tcW w:w="1766" w:type="dxa"/>
            <w:shd w:val="clear" w:color="auto" w:fill="C6EFCE"/>
            <w:noWrap/>
          </w:tcPr>
          <w:p w14:paraId="3F7A09C0" w14:textId="06000BE9" w:rsidR="00A00259" w:rsidRDefault="00371282">
            <w:pPr>
              <w:pStyle w:val="P68B1DB1-Normal12"/>
              <w:spacing w:before="120" w:after="0" w:line="240" w:lineRule="auto"/>
              <w:rPr>
                <w:rFonts w:eastAsia="Times New Roman"/>
                <w:noProof/>
              </w:rPr>
            </w:pPr>
            <w:r>
              <w:rPr>
                <w:noProof/>
              </w:rPr>
              <w:t xml:space="preserve">Certificats de formation à la sensibilisation à la diversité délivrés à 80 000 employés dans des entreprises du secteur privé </w:t>
            </w:r>
          </w:p>
        </w:tc>
        <w:tc>
          <w:tcPr>
            <w:tcW w:w="1404" w:type="dxa"/>
            <w:shd w:val="clear" w:color="auto" w:fill="C6EFCE"/>
            <w:noWrap/>
          </w:tcPr>
          <w:p w14:paraId="47D4E3FD"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1035" w:type="dxa"/>
            <w:shd w:val="clear" w:color="auto" w:fill="C6EFCE"/>
            <w:noWrap/>
          </w:tcPr>
          <w:p w14:paraId="4D3B4790"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1097" w:type="dxa"/>
            <w:shd w:val="clear" w:color="auto" w:fill="C6EFCE"/>
            <w:noWrap/>
          </w:tcPr>
          <w:p w14:paraId="7635334E"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71FE28ED" w14:textId="77777777" w:rsidR="00A00259" w:rsidRDefault="00371282">
            <w:pPr>
              <w:pStyle w:val="P68B1DB1-Normal12"/>
              <w:spacing w:before="120" w:after="0" w:line="240" w:lineRule="auto"/>
              <w:rPr>
                <w:rFonts w:eastAsia="Times New Roman"/>
                <w:noProof/>
              </w:rPr>
            </w:pPr>
            <w:r>
              <w:rPr>
                <w:noProof/>
              </w:rPr>
              <w:t>T3</w:t>
            </w:r>
          </w:p>
        </w:tc>
        <w:tc>
          <w:tcPr>
            <w:tcW w:w="783" w:type="dxa"/>
            <w:shd w:val="clear" w:color="auto" w:fill="C6EFCE"/>
            <w:noWrap/>
          </w:tcPr>
          <w:p w14:paraId="3E74F406" w14:textId="77777777" w:rsidR="00A00259" w:rsidRDefault="00371282">
            <w:pPr>
              <w:pStyle w:val="P68B1DB1-Normal12"/>
              <w:spacing w:before="120" w:after="0" w:line="240" w:lineRule="auto"/>
              <w:rPr>
                <w:rFonts w:eastAsia="Times New Roman"/>
                <w:noProof/>
              </w:rPr>
            </w:pPr>
            <w:r>
              <w:rPr>
                <w:noProof/>
              </w:rPr>
              <w:t>2024</w:t>
            </w:r>
          </w:p>
        </w:tc>
        <w:tc>
          <w:tcPr>
            <w:tcW w:w="3117" w:type="dxa"/>
            <w:shd w:val="clear" w:color="auto" w:fill="C6EFCE"/>
            <w:noWrap/>
          </w:tcPr>
          <w:p w14:paraId="27C2619F" w14:textId="13EA93C4" w:rsidR="00A00259" w:rsidRDefault="00371282">
            <w:pPr>
              <w:pStyle w:val="P68B1DB1-Normal12"/>
              <w:spacing w:before="120" w:after="0" w:line="240" w:lineRule="auto"/>
              <w:rPr>
                <w:rFonts w:eastAsia="Times New Roman"/>
                <w:noProof/>
              </w:rPr>
            </w:pPr>
            <w:r>
              <w:rPr>
                <w:noProof/>
              </w:rPr>
              <w:t xml:space="preserve">Certificats de formation à la sensibilisation à la diversité délivrés à 80 000 employés dans des entreprises du secteur privé </w:t>
            </w:r>
          </w:p>
        </w:tc>
      </w:tr>
      <w:tr w:rsidR="00A00259" w14:paraId="4BD3B7FE" w14:textId="77777777">
        <w:trPr>
          <w:trHeight w:val="309"/>
          <w:jc w:val="center"/>
        </w:trPr>
        <w:tc>
          <w:tcPr>
            <w:tcW w:w="566" w:type="dxa"/>
            <w:shd w:val="clear" w:color="auto" w:fill="C6EFCE"/>
            <w:noWrap/>
          </w:tcPr>
          <w:p w14:paraId="013A894D" w14:textId="77777777" w:rsidR="00A00259" w:rsidRDefault="00371282">
            <w:pPr>
              <w:pStyle w:val="P68B1DB1-Normal12"/>
              <w:spacing w:before="120" w:after="0" w:line="240" w:lineRule="auto"/>
              <w:rPr>
                <w:rFonts w:eastAsia="Times New Roman"/>
                <w:noProof/>
              </w:rPr>
            </w:pPr>
            <w:r>
              <w:rPr>
                <w:noProof/>
              </w:rPr>
              <w:t>184 bis</w:t>
            </w:r>
          </w:p>
        </w:tc>
        <w:tc>
          <w:tcPr>
            <w:tcW w:w="1942" w:type="dxa"/>
            <w:shd w:val="clear" w:color="auto" w:fill="C6EFCE"/>
            <w:noWrap/>
          </w:tcPr>
          <w:p w14:paraId="3DB21136" w14:textId="77777777" w:rsidR="00A00259" w:rsidRDefault="00371282">
            <w:pPr>
              <w:pStyle w:val="P68B1DB1-Normal12"/>
              <w:spacing w:before="120" w:after="0" w:line="240" w:lineRule="auto"/>
              <w:rPr>
                <w:rFonts w:eastAsia="Times New Roman"/>
                <w:noProof/>
              </w:rPr>
            </w:pPr>
            <w:r>
              <w:rPr>
                <w:noProof/>
              </w:rPr>
              <w:t>11 - 3.4. Accroître l'accès à des politiques sociales efficaces et inclusives - 16685_Sensibilisation à la diversité</w:t>
            </w:r>
          </w:p>
        </w:tc>
        <w:tc>
          <w:tcPr>
            <w:tcW w:w="1099" w:type="dxa"/>
            <w:shd w:val="clear" w:color="auto" w:fill="C6EFCE"/>
            <w:noWrap/>
          </w:tcPr>
          <w:p w14:paraId="734B0DF8" w14:textId="77777777" w:rsidR="00A00259" w:rsidRDefault="00371282">
            <w:pPr>
              <w:pStyle w:val="P68B1DB1-Normal12"/>
              <w:spacing w:before="120" w:after="0" w:line="240" w:lineRule="auto"/>
              <w:rPr>
                <w:rFonts w:eastAsia="Times New Roman"/>
                <w:noProof/>
              </w:rPr>
            </w:pPr>
            <w:r>
              <w:rPr>
                <w:noProof/>
              </w:rPr>
              <w:t>Étape</w:t>
            </w:r>
          </w:p>
        </w:tc>
        <w:tc>
          <w:tcPr>
            <w:tcW w:w="2107" w:type="dxa"/>
            <w:shd w:val="clear" w:color="auto" w:fill="C6EFCE"/>
            <w:noWrap/>
          </w:tcPr>
          <w:p w14:paraId="2163E818" w14:textId="77777777" w:rsidR="00A00259" w:rsidRDefault="00371282">
            <w:pPr>
              <w:pStyle w:val="P68B1DB1-Normal12"/>
              <w:spacing w:before="120" w:after="0" w:line="240" w:lineRule="auto"/>
              <w:rPr>
                <w:rFonts w:eastAsia="Times New Roman"/>
                <w:noProof/>
              </w:rPr>
            </w:pPr>
            <w:r>
              <w:rPr>
                <w:noProof/>
              </w:rPr>
              <w:t xml:space="preserve">Acte juridique précisant le rôle de l’Observatoire de l’égalité et acte juridique prévoyant le lancement d’un projet pilote pour le système d’évaluation et d’attribution pour les entreprises/organisations promouvant la diversité et l’inclusion </w:t>
            </w:r>
          </w:p>
        </w:tc>
        <w:tc>
          <w:tcPr>
            <w:tcW w:w="1766" w:type="dxa"/>
            <w:shd w:val="clear" w:color="auto" w:fill="C6EFCE"/>
            <w:noWrap/>
          </w:tcPr>
          <w:p w14:paraId="10CBA415" w14:textId="77777777" w:rsidR="00A00259" w:rsidRDefault="00371282">
            <w:pPr>
              <w:pStyle w:val="P68B1DB1-Normal12"/>
              <w:spacing w:before="120" w:after="0" w:line="240" w:lineRule="auto"/>
              <w:rPr>
                <w:rFonts w:eastAsia="Times New Roman"/>
                <w:noProof/>
              </w:rPr>
            </w:pPr>
            <w:r>
              <w:rPr>
                <w:noProof/>
              </w:rPr>
              <w:t>Disposition des actes juridiques indiquant l’entrée en vigueur des actes juridiques</w:t>
            </w:r>
          </w:p>
        </w:tc>
        <w:tc>
          <w:tcPr>
            <w:tcW w:w="1404" w:type="dxa"/>
            <w:shd w:val="clear" w:color="auto" w:fill="C6EFCE"/>
            <w:noWrap/>
          </w:tcPr>
          <w:p w14:paraId="6F62786B"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1035" w:type="dxa"/>
            <w:shd w:val="clear" w:color="auto" w:fill="C6EFCE"/>
            <w:noWrap/>
          </w:tcPr>
          <w:p w14:paraId="2FB282F4"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1097" w:type="dxa"/>
            <w:shd w:val="clear" w:color="auto" w:fill="C6EFCE"/>
            <w:noWrap/>
          </w:tcPr>
          <w:p w14:paraId="6E569BA3"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0B9DA39F" w14:textId="77777777" w:rsidR="00A00259" w:rsidRDefault="00371282">
            <w:pPr>
              <w:pStyle w:val="P68B1DB1-Normal12"/>
              <w:spacing w:before="120" w:after="0" w:line="240" w:lineRule="auto"/>
              <w:rPr>
                <w:rFonts w:eastAsia="Times New Roman"/>
                <w:noProof/>
              </w:rPr>
            </w:pPr>
            <w:r>
              <w:rPr>
                <w:noProof/>
              </w:rPr>
              <w:t>T1</w:t>
            </w:r>
          </w:p>
        </w:tc>
        <w:tc>
          <w:tcPr>
            <w:tcW w:w="783" w:type="dxa"/>
            <w:shd w:val="clear" w:color="auto" w:fill="C6EFCE"/>
            <w:noWrap/>
          </w:tcPr>
          <w:p w14:paraId="399AB15A" w14:textId="77777777" w:rsidR="00A00259" w:rsidRDefault="00371282">
            <w:pPr>
              <w:pStyle w:val="P68B1DB1-Normal12"/>
              <w:spacing w:before="120" w:after="0" w:line="240" w:lineRule="auto"/>
              <w:rPr>
                <w:rFonts w:eastAsia="Times New Roman"/>
                <w:noProof/>
              </w:rPr>
            </w:pPr>
            <w:r>
              <w:rPr>
                <w:noProof/>
              </w:rPr>
              <w:t>2025</w:t>
            </w:r>
          </w:p>
        </w:tc>
        <w:tc>
          <w:tcPr>
            <w:tcW w:w="3117" w:type="dxa"/>
            <w:shd w:val="clear" w:color="auto" w:fill="C6EFCE"/>
            <w:noWrap/>
          </w:tcPr>
          <w:p w14:paraId="7E929213" w14:textId="77777777" w:rsidR="00A00259" w:rsidRDefault="00371282">
            <w:pPr>
              <w:pStyle w:val="P68B1DB1-Normal12"/>
              <w:spacing w:before="120" w:after="0" w:line="240" w:lineRule="auto"/>
              <w:rPr>
                <w:noProof/>
              </w:rPr>
            </w:pPr>
            <w:r>
              <w:rPr>
                <w:noProof/>
              </w:rPr>
              <w:t>Entrée en vigueur d’un acte juridique précisant le rôle de l’Observatoire de l’égalité en tant qu’organe opérationnel du ministère de la cohésion sociale et des affaires familiales, et attribuant à l’Observatoire de l’égalité le rôle de publier des rapports évaluant l’état d’avancement de l’égalité des chances.</w:t>
            </w:r>
          </w:p>
          <w:p w14:paraId="57FACE93" w14:textId="77777777" w:rsidR="00A00259" w:rsidRDefault="00371282">
            <w:pPr>
              <w:pStyle w:val="P68B1DB1-Normal12"/>
              <w:spacing w:before="120" w:after="0" w:line="240" w:lineRule="auto"/>
              <w:rPr>
                <w:rFonts w:eastAsia="Times New Roman"/>
                <w:noProof/>
              </w:rPr>
            </w:pPr>
            <w:r>
              <w:rPr>
                <w:noProof/>
              </w:rPr>
              <w:t>Entrée en vigueur d’un acte juridique prévoyant le lancement d’un projet pilote pour l’évaluation d’un système d’attribution pour les entreprises/organisations promouvant la diversité et l’inclusion.</w:t>
            </w:r>
          </w:p>
        </w:tc>
      </w:tr>
      <w:tr w:rsidR="00A00259" w14:paraId="259C4231" w14:textId="77777777">
        <w:trPr>
          <w:trHeight w:val="309"/>
          <w:jc w:val="center"/>
        </w:trPr>
        <w:tc>
          <w:tcPr>
            <w:tcW w:w="566" w:type="dxa"/>
            <w:shd w:val="clear" w:color="auto" w:fill="C6EFCE"/>
            <w:noWrap/>
          </w:tcPr>
          <w:p w14:paraId="144655E8" w14:textId="77777777" w:rsidR="00A00259" w:rsidRDefault="00371282">
            <w:pPr>
              <w:pStyle w:val="P68B1DB1-Normal12"/>
              <w:spacing w:before="120" w:after="0" w:line="240" w:lineRule="auto"/>
              <w:rPr>
                <w:rFonts w:eastAsia="Times New Roman"/>
                <w:noProof/>
              </w:rPr>
            </w:pPr>
            <w:r>
              <w:rPr>
                <w:noProof/>
              </w:rPr>
              <w:t>185</w:t>
            </w:r>
          </w:p>
        </w:tc>
        <w:tc>
          <w:tcPr>
            <w:tcW w:w="1942" w:type="dxa"/>
            <w:shd w:val="clear" w:color="auto" w:fill="C6EFCE"/>
            <w:noWrap/>
          </w:tcPr>
          <w:p w14:paraId="695A5575" w14:textId="77777777" w:rsidR="00A00259" w:rsidRDefault="00371282">
            <w:pPr>
              <w:pStyle w:val="P68B1DB1-Normal12"/>
              <w:spacing w:before="120" w:after="0" w:line="240" w:lineRule="auto"/>
              <w:rPr>
                <w:rFonts w:eastAsia="Times New Roman"/>
                <w:noProof/>
              </w:rPr>
            </w:pPr>
            <w:r>
              <w:rPr>
                <w:noProof/>
              </w:rPr>
              <w:t>11 - 3.4. Améliorer l'accès à des politiques sociales efficaces et inclusives - 16763_Transformation numérique du système d'immigration et d'asile</w:t>
            </w:r>
          </w:p>
        </w:tc>
        <w:tc>
          <w:tcPr>
            <w:tcW w:w="1099" w:type="dxa"/>
            <w:shd w:val="clear" w:color="auto" w:fill="C6EFCE"/>
            <w:noWrap/>
          </w:tcPr>
          <w:p w14:paraId="498D61D7" w14:textId="77777777" w:rsidR="00A00259" w:rsidRDefault="00371282">
            <w:pPr>
              <w:pStyle w:val="P68B1DB1-Normal12"/>
              <w:spacing w:before="120" w:after="0" w:line="240" w:lineRule="auto"/>
              <w:rPr>
                <w:rFonts w:eastAsia="Times New Roman"/>
                <w:noProof/>
              </w:rPr>
            </w:pPr>
            <w:r>
              <w:rPr>
                <w:noProof/>
              </w:rPr>
              <w:t>Étape</w:t>
            </w:r>
          </w:p>
        </w:tc>
        <w:tc>
          <w:tcPr>
            <w:tcW w:w="2107" w:type="dxa"/>
            <w:shd w:val="clear" w:color="auto" w:fill="C6EFCE"/>
            <w:noWrap/>
          </w:tcPr>
          <w:p w14:paraId="4FEF4401" w14:textId="77777777" w:rsidR="00A00259" w:rsidRDefault="00371282">
            <w:pPr>
              <w:pStyle w:val="P68B1DB1-Normal12"/>
              <w:spacing w:before="120" w:after="0" w:line="240" w:lineRule="auto"/>
              <w:rPr>
                <w:rFonts w:eastAsia="Times New Roman"/>
                <w:noProof/>
              </w:rPr>
            </w:pPr>
            <w:r>
              <w:rPr>
                <w:noProof/>
              </w:rPr>
              <w:t xml:space="preserve">Numérisation du régime d’asile migratoire </w:t>
            </w:r>
          </w:p>
        </w:tc>
        <w:tc>
          <w:tcPr>
            <w:tcW w:w="1766" w:type="dxa"/>
            <w:shd w:val="clear" w:color="auto" w:fill="C6EFCE"/>
            <w:noWrap/>
          </w:tcPr>
          <w:p w14:paraId="2910BE78" w14:textId="77777777" w:rsidR="00A00259" w:rsidRDefault="00371282">
            <w:pPr>
              <w:pStyle w:val="P68B1DB1-Normal12"/>
              <w:spacing w:before="120" w:after="0" w:line="240" w:lineRule="auto"/>
              <w:rPr>
                <w:rFonts w:eastAsia="Times New Roman"/>
                <w:noProof/>
              </w:rPr>
            </w:pPr>
            <w:r>
              <w:rPr>
                <w:noProof/>
              </w:rPr>
              <w:t xml:space="preserve">Projets de numérisation pour le régime d’asile migratoire </w:t>
            </w:r>
          </w:p>
        </w:tc>
        <w:tc>
          <w:tcPr>
            <w:tcW w:w="1404" w:type="dxa"/>
            <w:shd w:val="clear" w:color="auto" w:fill="C6EFCE"/>
            <w:noWrap/>
          </w:tcPr>
          <w:p w14:paraId="0267CED9"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1035" w:type="dxa"/>
            <w:shd w:val="clear" w:color="auto" w:fill="C6EFCE"/>
            <w:noWrap/>
          </w:tcPr>
          <w:p w14:paraId="637718B9"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1097" w:type="dxa"/>
            <w:shd w:val="clear" w:color="auto" w:fill="C6EFCE"/>
            <w:noWrap/>
          </w:tcPr>
          <w:p w14:paraId="6AFC4C65"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6C0BB1B4" w14:textId="77777777" w:rsidR="00A00259" w:rsidRDefault="00371282">
            <w:pPr>
              <w:pStyle w:val="P68B1DB1-Normal12"/>
              <w:spacing w:before="120" w:after="0" w:line="240" w:lineRule="auto"/>
              <w:rPr>
                <w:rFonts w:eastAsia="Times New Roman"/>
                <w:noProof/>
              </w:rPr>
            </w:pPr>
            <w:r>
              <w:rPr>
                <w:noProof/>
              </w:rPr>
              <w:t>T2</w:t>
            </w:r>
          </w:p>
        </w:tc>
        <w:tc>
          <w:tcPr>
            <w:tcW w:w="783" w:type="dxa"/>
            <w:shd w:val="clear" w:color="auto" w:fill="C6EFCE"/>
            <w:noWrap/>
          </w:tcPr>
          <w:p w14:paraId="17AD3FB4" w14:textId="77777777" w:rsidR="00A00259" w:rsidRDefault="00371282">
            <w:pPr>
              <w:pStyle w:val="P68B1DB1-Normal12"/>
              <w:spacing w:before="120" w:after="0" w:line="240" w:lineRule="auto"/>
              <w:rPr>
                <w:rFonts w:eastAsia="Times New Roman"/>
                <w:noProof/>
              </w:rPr>
            </w:pPr>
            <w:r>
              <w:rPr>
                <w:noProof/>
              </w:rPr>
              <w:t>2025</w:t>
            </w:r>
          </w:p>
        </w:tc>
        <w:tc>
          <w:tcPr>
            <w:tcW w:w="3117" w:type="dxa"/>
            <w:shd w:val="clear" w:color="auto" w:fill="C6EFCE"/>
            <w:noWrap/>
          </w:tcPr>
          <w:p w14:paraId="6C7192DC" w14:textId="77777777" w:rsidR="00A00259" w:rsidRDefault="00371282">
            <w:pPr>
              <w:pStyle w:val="P68B1DB1-Normal12"/>
              <w:spacing w:before="120" w:after="0" w:line="240" w:lineRule="auto"/>
              <w:rPr>
                <w:noProof/>
              </w:rPr>
            </w:pPr>
            <w:r>
              <w:rPr>
                <w:noProof/>
              </w:rPr>
              <w:t>1. Système de numérisation et de gestion des documents sur la migration légale du ministère de la migration et de l’asile pour une gestion unifiée de l’ensemble du cycle de vie des procédures liées aux flux de réfugiés.</w:t>
            </w:r>
          </w:p>
          <w:p w14:paraId="5C1C0425" w14:textId="77777777" w:rsidR="00A00259" w:rsidRDefault="00371282">
            <w:pPr>
              <w:pStyle w:val="P68B1DB1-Normal12"/>
              <w:spacing w:before="120" w:after="0" w:line="240" w:lineRule="auto"/>
              <w:rPr>
                <w:rFonts w:eastAsia="Times New Roman"/>
                <w:noProof/>
              </w:rPr>
            </w:pPr>
            <w:r>
              <w:rPr>
                <w:noProof/>
              </w:rPr>
              <w:t>2. Création de services intégrés de migration numérique et de services d’infrastructure de cybersécurité pour la protection des infrastructures d’information du ministère de la migration et de l’asile</w:t>
            </w:r>
          </w:p>
          <w:p w14:paraId="39D7F3F5" w14:textId="77777777" w:rsidR="00A00259" w:rsidRDefault="00371282">
            <w:pPr>
              <w:pStyle w:val="P68B1DB1-Normal12"/>
              <w:spacing w:before="120" w:after="0" w:line="240" w:lineRule="auto"/>
              <w:rPr>
                <w:noProof/>
              </w:rPr>
            </w:pPr>
            <w:r>
              <w:rPr>
                <w:noProof/>
              </w:rPr>
              <w:t>3. Fourniture d’une connexion internet à haut débit aux structures d’hébergement temporaire (REA)</w:t>
            </w:r>
          </w:p>
          <w:p w14:paraId="2CB6C2CA" w14:textId="77777777" w:rsidR="00A00259" w:rsidRDefault="00371282">
            <w:pPr>
              <w:pStyle w:val="P68B1DB1-Normal12"/>
              <w:spacing w:before="120" w:after="0" w:line="240" w:lineRule="auto"/>
              <w:rPr>
                <w:noProof/>
              </w:rPr>
            </w:pPr>
            <w:r>
              <w:rPr>
                <w:noProof/>
              </w:rPr>
              <w:t>4. Création d'un système de gestion des demandeurs d'asile (HYPERION).</w:t>
            </w:r>
          </w:p>
          <w:p w14:paraId="7A5B8F7A" w14:textId="77777777" w:rsidR="00A00259" w:rsidRDefault="00371282">
            <w:pPr>
              <w:pStyle w:val="P68B1DB1-Normal12"/>
              <w:spacing w:before="120" w:after="0" w:line="240" w:lineRule="auto"/>
              <w:rPr>
                <w:noProof/>
              </w:rPr>
            </w:pPr>
            <w:r>
              <w:rPr>
                <w:noProof/>
              </w:rPr>
              <w:t>5. Création d'un système numérique intégré de gestion de la sécurité électronique et physique (KENTAVROS).</w:t>
            </w:r>
          </w:p>
        </w:tc>
      </w:tr>
      <w:tr w:rsidR="00A00259" w14:paraId="2B8631B0" w14:textId="77777777">
        <w:trPr>
          <w:trHeight w:val="425"/>
          <w:jc w:val="center"/>
        </w:trPr>
        <w:tc>
          <w:tcPr>
            <w:tcW w:w="566" w:type="dxa"/>
            <w:shd w:val="clear" w:color="auto" w:fill="C6EFCE"/>
            <w:noWrap/>
          </w:tcPr>
          <w:p w14:paraId="76A429D7" w14:textId="77777777" w:rsidR="00A00259" w:rsidRDefault="00371282">
            <w:pPr>
              <w:pStyle w:val="P68B1DB1-Normal12"/>
              <w:spacing w:before="120" w:after="0" w:line="240" w:lineRule="auto"/>
              <w:rPr>
                <w:rFonts w:eastAsia="Times New Roman"/>
                <w:noProof/>
              </w:rPr>
            </w:pPr>
            <w:r>
              <w:rPr>
                <w:noProof/>
              </w:rPr>
              <w:t>186</w:t>
            </w:r>
          </w:p>
        </w:tc>
        <w:tc>
          <w:tcPr>
            <w:tcW w:w="1942" w:type="dxa"/>
            <w:shd w:val="clear" w:color="auto" w:fill="C6EFCE"/>
            <w:noWrap/>
          </w:tcPr>
          <w:p w14:paraId="12E6075B" w14:textId="77777777" w:rsidR="00A00259" w:rsidRDefault="00371282">
            <w:pPr>
              <w:pStyle w:val="P68B1DB1-Normal12"/>
              <w:spacing w:before="120" w:after="0" w:line="240" w:lineRule="auto"/>
              <w:rPr>
                <w:rFonts w:eastAsia="Times New Roman"/>
                <w:noProof/>
              </w:rPr>
            </w:pPr>
            <w:r>
              <w:rPr>
                <w:noProof/>
              </w:rPr>
              <w:t>11 - 3.4. Accroître l'accès à des politiques sociales efficaces et inclusives - 16922_Intégration sociale</w:t>
            </w:r>
          </w:p>
        </w:tc>
        <w:tc>
          <w:tcPr>
            <w:tcW w:w="1099" w:type="dxa"/>
            <w:shd w:val="clear" w:color="auto" w:fill="C6EFCE"/>
            <w:noWrap/>
          </w:tcPr>
          <w:p w14:paraId="1DB4F76A" w14:textId="77777777" w:rsidR="00A00259" w:rsidRDefault="00371282">
            <w:pPr>
              <w:pStyle w:val="P68B1DB1-Normal12"/>
              <w:spacing w:before="120" w:after="0" w:line="240" w:lineRule="auto"/>
              <w:rPr>
                <w:rFonts w:eastAsia="Times New Roman"/>
                <w:noProof/>
              </w:rPr>
            </w:pPr>
            <w:r>
              <w:rPr>
                <w:noProof/>
              </w:rPr>
              <w:t>Objectif</w:t>
            </w:r>
          </w:p>
        </w:tc>
        <w:tc>
          <w:tcPr>
            <w:tcW w:w="2107" w:type="dxa"/>
            <w:shd w:val="clear" w:color="auto" w:fill="C6EFCE"/>
            <w:noWrap/>
          </w:tcPr>
          <w:p w14:paraId="428470AE" w14:textId="77777777" w:rsidR="00A00259" w:rsidRDefault="00371282">
            <w:pPr>
              <w:pStyle w:val="P68B1DB1-Normal12"/>
              <w:spacing w:before="120" w:after="0" w:line="240" w:lineRule="auto"/>
              <w:rPr>
                <w:rFonts w:eastAsia="Times New Roman"/>
                <w:noProof/>
              </w:rPr>
            </w:pPr>
            <w:r>
              <w:rPr>
                <w:noProof/>
              </w:rPr>
              <w:t xml:space="preserve">Achèvement de la rénovation d'appartements de logements sociaux </w:t>
            </w:r>
          </w:p>
        </w:tc>
        <w:tc>
          <w:tcPr>
            <w:tcW w:w="1766" w:type="dxa"/>
            <w:shd w:val="clear" w:color="auto" w:fill="C6EFCE"/>
            <w:noWrap/>
          </w:tcPr>
          <w:p w14:paraId="6DE38E83"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1404" w:type="dxa"/>
            <w:shd w:val="clear" w:color="auto" w:fill="C6EFCE"/>
            <w:noWrap/>
          </w:tcPr>
          <w:p w14:paraId="4DDF267C" w14:textId="77777777" w:rsidR="00A00259" w:rsidRDefault="00371282">
            <w:pPr>
              <w:pStyle w:val="P68B1DB1-Normal12"/>
              <w:spacing w:before="120" w:after="0" w:line="240" w:lineRule="auto"/>
              <w:rPr>
                <w:rFonts w:eastAsia="Times New Roman"/>
                <w:noProof/>
              </w:rPr>
            </w:pPr>
            <w:r>
              <w:rPr>
                <w:noProof/>
              </w:rPr>
              <w:t>Appartements rénovés</w:t>
            </w:r>
          </w:p>
        </w:tc>
        <w:tc>
          <w:tcPr>
            <w:tcW w:w="1035" w:type="dxa"/>
            <w:shd w:val="clear" w:color="auto" w:fill="C6EFCE"/>
            <w:noWrap/>
          </w:tcPr>
          <w:p w14:paraId="04D4364C" w14:textId="77777777" w:rsidR="00A00259" w:rsidRDefault="00371282">
            <w:pPr>
              <w:pStyle w:val="P68B1DB1-Normal12"/>
              <w:spacing w:before="120" w:after="0" w:line="240" w:lineRule="auto"/>
              <w:rPr>
                <w:rFonts w:eastAsia="Times New Roman"/>
                <w:noProof/>
              </w:rPr>
            </w:pPr>
            <w:r>
              <w:rPr>
                <w:noProof/>
              </w:rPr>
              <w:t>0</w:t>
            </w:r>
          </w:p>
        </w:tc>
        <w:tc>
          <w:tcPr>
            <w:tcW w:w="1097" w:type="dxa"/>
            <w:shd w:val="clear" w:color="auto" w:fill="C6EFCE"/>
            <w:noWrap/>
          </w:tcPr>
          <w:p w14:paraId="5C33AD84" w14:textId="77777777" w:rsidR="00A00259" w:rsidRDefault="00371282">
            <w:pPr>
              <w:pStyle w:val="P68B1DB1-Normal12"/>
              <w:spacing w:before="120" w:after="0" w:line="240" w:lineRule="auto"/>
              <w:rPr>
                <w:rFonts w:eastAsia="Times New Roman"/>
                <w:noProof/>
              </w:rPr>
            </w:pPr>
            <w:r>
              <w:rPr>
                <w:noProof/>
              </w:rPr>
              <w:t>50</w:t>
            </w:r>
          </w:p>
          <w:p w14:paraId="45948BBA"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6EC13230" w14:textId="77777777" w:rsidR="00A00259" w:rsidRDefault="00371282">
            <w:pPr>
              <w:pStyle w:val="P68B1DB1-Normal12"/>
              <w:spacing w:before="120" w:after="0" w:line="240" w:lineRule="auto"/>
              <w:rPr>
                <w:noProof/>
              </w:rPr>
            </w:pPr>
            <w:r>
              <w:rPr>
                <w:noProof/>
              </w:rPr>
              <w:t>T2</w:t>
            </w:r>
          </w:p>
        </w:tc>
        <w:tc>
          <w:tcPr>
            <w:tcW w:w="783" w:type="dxa"/>
            <w:shd w:val="clear" w:color="auto" w:fill="C6EFCE"/>
            <w:noWrap/>
          </w:tcPr>
          <w:p w14:paraId="04AF508E" w14:textId="77777777" w:rsidR="00A00259" w:rsidRDefault="00371282">
            <w:pPr>
              <w:pStyle w:val="P68B1DB1-Normal12"/>
              <w:spacing w:before="120" w:after="0" w:line="240" w:lineRule="auto"/>
              <w:rPr>
                <w:noProof/>
              </w:rPr>
            </w:pPr>
            <w:r>
              <w:rPr>
                <w:noProof/>
              </w:rPr>
              <w:t>2025</w:t>
            </w:r>
          </w:p>
        </w:tc>
        <w:tc>
          <w:tcPr>
            <w:tcW w:w="3117" w:type="dxa"/>
            <w:shd w:val="clear" w:color="auto" w:fill="C6EFCE"/>
            <w:noWrap/>
          </w:tcPr>
          <w:p w14:paraId="54B20777" w14:textId="77777777" w:rsidR="00A00259" w:rsidRDefault="00371282">
            <w:pPr>
              <w:pStyle w:val="P68B1DB1-Normal12"/>
              <w:spacing w:before="120" w:after="0" w:line="240" w:lineRule="auto"/>
              <w:rPr>
                <w:rFonts w:eastAsia="Times New Roman"/>
                <w:noProof/>
              </w:rPr>
            </w:pPr>
            <w:r>
              <w:rPr>
                <w:noProof/>
              </w:rPr>
              <w:t xml:space="preserve">50 appartements rénovés. </w:t>
            </w:r>
          </w:p>
          <w:p w14:paraId="4CD53CB1"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r>
      <w:tr w:rsidR="00A00259" w14:paraId="3192CAAA" w14:textId="77777777">
        <w:trPr>
          <w:trHeight w:val="309"/>
          <w:jc w:val="center"/>
        </w:trPr>
        <w:tc>
          <w:tcPr>
            <w:tcW w:w="566" w:type="dxa"/>
            <w:shd w:val="clear" w:color="auto" w:fill="C6EFCE"/>
            <w:noWrap/>
          </w:tcPr>
          <w:p w14:paraId="562CE92E" w14:textId="77777777" w:rsidR="00A00259" w:rsidRDefault="00371282">
            <w:pPr>
              <w:pStyle w:val="P68B1DB1-Normal12"/>
              <w:spacing w:before="120" w:after="0" w:line="240" w:lineRule="auto"/>
              <w:rPr>
                <w:rFonts w:eastAsia="Times New Roman"/>
                <w:noProof/>
              </w:rPr>
            </w:pPr>
            <w:r>
              <w:rPr>
                <w:noProof/>
              </w:rPr>
              <w:t>186a</w:t>
            </w:r>
          </w:p>
        </w:tc>
        <w:tc>
          <w:tcPr>
            <w:tcW w:w="1942" w:type="dxa"/>
            <w:shd w:val="clear" w:color="auto" w:fill="C6EFCE"/>
            <w:noWrap/>
          </w:tcPr>
          <w:p w14:paraId="13FA650D" w14:textId="77777777" w:rsidR="00A00259" w:rsidRDefault="00371282">
            <w:pPr>
              <w:pStyle w:val="P68B1DB1-Normal12"/>
              <w:spacing w:before="120" w:after="0" w:line="240" w:lineRule="auto"/>
              <w:rPr>
                <w:rFonts w:eastAsia="Times New Roman"/>
                <w:noProof/>
              </w:rPr>
            </w:pPr>
            <w:r>
              <w:rPr>
                <w:noProof/>
              </w:rPr>
              <w:t>11 - 3.4. Accroître l'accès à des politiques sociales efficaces et inclusives - 16922_Intégration sociale</w:t>
            </w:r>
          </w:p>
        </w:tc>
        <w:tc>
          <w:tcPr>
            <w:tcW w:w="1099" w:type="dxa"/>
            <w:shd w:val="clear" w:color="auto" w:fill="C6EFCE"/>
            <w:noWrap/>
          </w:tcPr>
          <w:p w14:paraId="08036750" w14:textId="77777777" w:rsidR="00A00259" w:rsidRDefault="00371282">
            <w:pPr>
              <w:pStyle w:val="P68B1DB1-Normal12"/>
              <w:spacing w:before="120" w:after="0" w:line="240" w:lineRule="auto"/>
              <w:rPr>
                <w:rFonts w:eastAsia="Times New Roman"/>
                <w:noProof/>
              </w:rPr>
            </w:pPr>
            <w:r>
              <w:rPr>
                <w:noProof/>
              </w:rPr>
              <w:t>Étape</w:t>
            </w:r>
          </w:p>
        </w:tc>
        <w:tc>
          <w:tcPr>
            <w:tcW w:w="2107" w:type="dxa"/>
            <w:shd w:val="clear" w:color="auto" w:fill="C6EFCE"/>
            <w:noWrap/>
          </w:tcPr>
          <w:p w14:paraId="059F1566" w14:textId="77777777" w:rsidR="00A00259" w:rsidRDefault="00371282">
            <w:pPr>
              <w:pStyle w:val="P68B1DB1-Normal12"/>
              <w:spacing w:before="120" w:after="0" w:line="240" w:lineRule="auto"/>
              <w:rPr>
                <w:rFonts w:eastAsia="Times New Roman"/>
                <w:noProof/>
              </w:rPr>
            </w:pPr>
            <w:r>
              <w:rPr>
                <w:noProof/>
              </w:rPr>
              <w:t>Intégration sociale des groupes vulnérables, formation numérique</w:t>
            </w:r>
          </w:p>
        </w:tc>
        <w:tc>
          <w:tcPr>
            <w:tcW w:w="1766" w:type="dxa"/>
            <w:shd w:val="clear" w:color="auto" w:fill="C6EFCE"/>
            <w:noWrap/>
          </w:tcPr>
          <w:p w14:paraId="43049969" w14:textId="77777777" w:rsidR="00A00259" w:rsidRDefault="00371282">
            <w:pPr>
              <w:pStyle w:val="P68B1DB1-Normal12"/>
              <w:spacing w:before="120" w:after="0" w:line="240" w:lineRule="auto"/>
              <w:rPr>
                <w:rFonts w:eastAsia="Times New Roman"/>
                <w:noProof/>
              </w:rPr>
            </w:pPr>
            <w:r>
              <w:rPr>
                <w:noProof/>
              </w:rPr>
              <w:t>Personnes âgées et personnes handicapées inscrites à une formation à la suite du lancement de l’appel à candidatures</w:t>
            </w:r>
          </w:p>
        </w:tc>
        <w:tc>
          <w:tcPr>
            <w:tcW w:w="1404" w:type="dxa"/>
            <w:shd w:val="clear" w:color="auto" w:fill="C6EFCE"/>
            <w:noWrap/>
          </w:tcPr>
          <w:p w14:paraId="227E2331"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1035" w:type="dxa"/>
            <w:shd w:val="clear" w:color="auto" w:fill="C6EFCE"/>
            <w:noWrap/>
          </w:tcPr>
          <w:p w14:paraId="5C18E4AB"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1097" w:type="dxa"/>
            <w:shd w:val="clear" w:color="auto" w:fill="C6EFCE"/>
            <w:noWrap/>
          </w:tcPr>
          <w:p w14:paraId="4209541B"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7AEC5D6E" w14:textId="77777777" w:rsidR="00A00259" w:rsidRDefault="00371282">
            <w:pPr>
              <w:pStyle w:val="P68B1DB1-Normal12"/>
              <w:spacing w:before="120" w:after="0" w:line="240" w:lineRule="auto"/>
              <w:rPr>
                <w:rFonts w:eastAsia="Times New Roman"/>
                <w:noProof/>
              </w:rPr>
            </w:pPr>
            <w:r>
              <w:rPr>
                <w:noProof/>
              </w:rPr>
              <w:t>T4</w:t>
            </w:r>
          </w:p>
        </w:tc>
        <w:tc>
          <w:tcPr>
            <w:tcW w:w="783" w:type="dxa"/>
            <w:shd w:val="clear" w:color="auto" w:fill="C6EFCE"/>
            <w:noWrap/>
          </w:tcPr>
          <w:p w14:paraId="58C94C0E" w14:textId="77777777" w:rsidR="00A00259" w:rsidRDefault="00371282">
            <w:pPr>
              <w:pStyle w:val="P68B1DB1-Normal12"/>
              <w:spacing w:before="120" w:after="0" w:line="240" w:lineRule="auto"/>
              <w:rPr>
                <w:rFonts w:eastAsia="Times New Roman"/>
                <w:noProof/>
              </w:rPr>
            </w:pPr>
            <w:r>
              <w:rPr>
                <w:noProof/>
              </w:rPr>
              <w:t>2025</w:t>
            </w:r>
          </w:p>
        </w:tc>
        <w:tc>
          <w:tcPr>
            <w:tcW w:w="3117" w:type="dxa"/>
            <w:shd w:val="clear" w:color="auto" w:fill="C6EFCE"/>
            <w:noWrap/>
          </w:tcPr>
          <w:p w14:paraId="3D77A21B" w14:textId="77777777" w:rsidR="00A00259" w:rsidRDefault="00371282">
            <w:pPr>
              <w:pStyle w:val="P68B1DB1-Normal12"/>
              <w:spacing w:before="120" w:after="0" w:line="240" w:lineRule="auto"/>
              <w:rPr>
                <w:rFonts w:eastAsia="Times New Roman"/>
                <w:noProof/>
              </w:rPr>
            </w:pPr>
            <w:r>
              <w:rPr>
                <w:noProof/>
              </w:rPr>
              <w:t xml:space="preserve">5 400 personnes âgées et personnes handicapées inscrites à une formation numérique </w:t>
            </w:r>
          </w:p>
        </w:tc>
      </w:tr>
      <w:tr w:rsidR="00A00259" w14:paraId="31A731C6" w14:textId="77777777">
        <w:trPr>
          <w:trHeight w:val="309"/>
          <w:jc w:val="center"/>
        </w:trPr>
        <w:tc>
          <w:tcPr>
            <w:tcW w:w="566" w:type="dxa"/>
            <w:shd w:val="clear" w:color="auto" w:fill="C6EFCE"/>
            <w:noWrap/>
          </w:tcPr>
          <w:p w14:paraId="6775A1F7" w14:textId="77777777" w:rsidR="00A00259" w:rsidRDefault="00371282">
            <w:pPr>
              <w:pStyle w:val="P68B1DB1-Normal12"/>
              <w:spacing w:before="120" w:after="0" w:line="240" w:lineRule="auto"/>
              <w:rPr>
                <w:rFonts w:eastAsia="Times New Roman"/>
                <w:noProof/>
              </w:rPr>
            </w:pPr>
            <w:r>
              <w:rPr>
                <w:noProof/>
              </w:rPr>
              <w:t>187</w:t>
            </w:r>
          </w:p>
        </w:tc>
        <w:tc>
          <w:tcPr>
            <w:tcW w:w="1942" w:type="dxa"/>
            <w:shd w:val="clear" w:color="auto" w:fill="C6EFCE"/>
            <w:noWrap/>
          </w:tcPr>
          <w:p w14:paraId="26D36224" w14:textId="77777777" w:rsidR="00A00259" w:rsidRDefault="00371282">
            <w:pPr>
              <w:pStyle w:val="P68B1DB1-Normal12"/>
              <w:spacing w:before="120" w:after="120" w:line="240" w:lineRule="auto"/>
              <w:rPr>
                <w:rFonts w:eastAsia="Times New Roman"/>
                <w:noProof/>
              </w:rPr>
            </w:pPr>
            <w:r>
              <w:rPr>
                <w:noProof/>
              </w:rPr>
              <w:t>11 - 3.4. Accroître l'accès à des politiques sociales efficaces et inclusives - 16688: Promouvoir l'intégration de la population réfugiée sur le marché du travail </w:t>
            </w:r>
          </w:p>
          <w:p w14:paraId="1668B7A7"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1099" w:type="dxa"/>
            <w:shd w:val="clear" w:color="auto" w:fill="C6EFCE"/>
            <w:noWrap/>
          </w:tcPr>
          <w:p w14:paraId="4A5A3A77" w14:textId="77777777" w:rsidR="00A00259" w:rsidRDefault="00371282">
            <w:pPr>
              <w:pStyle w:val="P68B1DB1-Normal12"/>
              <w:spacing w:before="120" w:after="0" w:line="240" w:lineRule="auto"/>
              <w:rPr>
                <w:rFonts w:eastAsia="Times New Roman"/>
                <w:noProof/>
              </w:rPr>
            </w:pPr>
            <w:r>
              <w:rPr>
                <w:noProof/>
              </w:rPr>
              <w:t>Étape</w:t>
            </w:r>
          </w:p>
        </w:tc>
        <w:tc>
          <w:tcPr>
            <w:tcW w:w="2107" w:type="dxa"/>
            <w:shd w:val="clear" w:color="auto" w:fill="C6EFCE"/>
            <w:noWrap/>
          </w:tcPr>
          <w:p w14:paraId="0281B4EF" w14:textId="77777777" w:rsidR="00A00259" w:rsidRDefault="00371282">
            <w:pPr>
              <w:pStyle w:val="P68B1DB1-Normal12"/>
              <w:spacing w:before="120" w:after="0" w:line="240" w:lineRule="auto"/>
              <w:rPr>
                <w:rFonts w:eastAsia="Times New Roman"/>
                <w:noProof/>
              </w:rPr>
            </w:pPr>
            <w:r>
              <w:rPr>
                <w:noProof/>
              </w:rPr>
              <w:t>Intégration des réfugiés sur le marché du travail</w:t>
            </w:r>
          </w:p>
        </w:tc>
        <w:tc>
          <w:tcPr>
            <w:tcW w:w="1766" w:type="dxa"/>
            <w:shd w:val="clear" w:color="auto" w:fill="C6EFCE"/>
            <w:noWrap/>
          </w:tcPr>
          <w:p w14:paraId="4506F629" w14:textId="77777777" w:rsidR="00A00259" w:rsidRDefault="00371282">
            <w:pPr>
              <w:pStyle w:val="P68B1DB1-Normal23"/>
              <w:spacing w:before="120" w:after="0" w:line="240" w:lineRule="auto"/>
              <w:rPr>
                <w:noProof/>
              </w:rPr>
            </w:pPr>
            <w:r>
              <w:rPr>
                <w:noProof/>
              </w:rPr>
              <w:t>Programme de formation professionnelle</w:t>
            </w:r>
          </w:p>
        </w:tc>
        <w:tc>
          <w:tcPr>
            <w:tcW w:w="1404" w:type="dxa"/>
            <w:shd w:val="clear" w:color="auto" w:fill="C6EFCE"/>
            <w:noWrap/>
          </w:tcPr>
          <w:p w14:paraId="371E6BB9" w14:textId="77777777" w:rsidR="00A00259" w:rsidRDefault="00371282">
            <w:pPr>
              <w:pStyle w:val="P68B1DB1-Normal12"/>
              <w:spacing w:before="120" w:after="0" w:line="240" w:lineRule="auto"/>
              <w:rPr>
                <w:rFonts w:eastAsia="Times New Roman"/>
                <w:noProof/>
              </w:rPr>
            </w:pPr>
            <w:r>
              <w:rPr>
                <w:noProof/>
              </w:rPr>
              <w:t xml:space="preserve"> </w:t>
            </w:r>
          </w:p>
        </w:tc>
        <w:tc>
          <w:tcPr>
            <w:tcW w:w="1035" w:type="dxa"/>
            <w:shd w:val="clear" w:color="auto" w:fill="C6EFCE"/>
            <w:noWrap/>
          </w:tcPr>
          <w:p w14:paraId="2517671C"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1097" w:type="dxa"/>
            <w:shd w:val="clear" w:color="auto" w:fill="C6EFCE"/>
            <w:noWrap/>
          </w:tcPr>
          <w:p w14:paraId="0DDB5AEB" w14:textId="77777777" w:rsidR="00A00259" w:rsidRDefault="00A00259">
            <w:pPr>
              <w:spacing w:before="120"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333B9043" w14:textId="77777777" w:rsidR="00A00259" w:rsidRDefault="00371282">
            <w:pPr>
              <w:pStyle w:val="P68B1DB1-Normal12"/>
              <w:spacing w:before="120" w:after="0" w:line="240" w:lineRule="auto"/>
              <w:rPr>
                <w:rFonts w:eastAsia="Times New Roman"/>
                <w:noProof/>
              </w:rPr>
            </w:pPr>
            <w:r>
              <w:rPr>
                <w:noProof/>
              </w:rPr>
              <w:t>T4</w:t>
            </w:r>
          </w:p>
        </w:tc>
        <w:tc>
          <w:tcPr>
            <w:tcW w:w="783" w:type="dxa"/>
            <w:shd w:val="clear" w:color="auto" w:fill="C6EFCE"/>
            <w:noWrap/>
          </w:tcPr>
          <w:p w14:paraId="0F1A183C" w14:textId="77777777" w:rsidR="00A00259" w:rsidRDefault="00371282">
            <w:pPr>
              <w:pStyle w:val="P68B1DB1-Normal12"/>
              <w:spacing w:before="120" w:after="0" w:line="240" w:lineRule="auto"/>
              <w:rPr>
                <w:rFonts w:eastAsia="Times New Roman"/>
                <w:noProof/>
              </w:rPr>
            </w:pPr>
            <w:r>
              <w:rPr>
                <w:noProof/>
              </w:rPr>
              <w:t>2025</w:t>
            </w:r>
          </w:p>
        </w:tc>
        <w:tc>
          <w:tcPr>
            <w:tcW w:w="3117" w:type="dxa"/>
            <w:shd w:val="clear" w:color="auto" w:fill="C6EFCE"/>
            <w:noWrap/>
          </w:tcPr>
          <w:p w14:paraId="77206A9E" w14:textId="4DA3C334" w:rsidR="00A00259" w:rsidRDefault="00371282">
            <w:pPr>
              <w:pStyle w:val="P68B1DB1-Normal12"/>
              <w:spacing w:before="120" w:after="0" w:line="240" w:lineRule="auto"/>
              <w:rPr>
                <w:rFonts w:eastAsia="Times New Roman"/>
                <w:noProof/>
                <w:highlight w:val="yellow"/>
              </w:rPr>
            </w:pPr>
            <w:r>
              <w:rPr>
                <w:noProof/>
              </w:rPr>
              <w:t>Fourniture de 7 800 formations professionnelles ou linguistiques à des réfugiés spécifiques, y compris des réfugiés reconnus (bénéficiaires d’une protection internationale) résidant soit dans des structures d’hébergement du ministère des migrations et de l’asile, soit dans la zone urbaine, bénéficiaires d’une protection temporaire, migrants en situation régulière et demandeurs d’asile. Parmi ces bénéficiaires, 618 ont signé des contrats de stage.</w:t>
            </w:r>
          </w:p>
        </w:tc>
      </w:tr>
    </w:tbl>
    <w:p w14:paraId="762D54DD" w14:textId="77777777" w:rsidR="00A00259" w:rsidRDefault="00A00259">
      <w:pPr>
        <w:tabs>
          <w:tab w:val="left" w:pos="3423"/>
        </w:tabs>
        <w:spacing w:before="120" w:after="120" w:line="240" w:lineRule="auto"/>
        <w:jc w:val="both"/>
        <w:rPr>
          <w:rFonts w:ascii="Times New Roman" w:hAnsi="Times New Roman" w:cs="Times New Roman"/>
          <w:noProof/>
          <w:sz w:val="24"/>
        </w:rPr>
        <w:sectPr w:rsidR="00A00259">
          <w:headerReference w:type="even" r:id="rId234"/>
          <w:headerReference w:type="default" r:id="rId235"/>
          <w:footerReference w:type="even" r:id="rId236"/>
          <w:footerReference w:type="default" r:id="rId237"/>
          <w:headerReference w:type="first" r:id="rId238"/>
          <w:footerReference w:type="first" r:id="rId239"/>
          <w:pgSz w:w="16839" w:h="11907" w:orient="landscape"/>
          <w:pgMar w:top="1134" w:right="1134" w:bottom="1134" w:left="1134" w:header="567" w:footer="567" w:gutter="0"/>
          <w:cols w:space="720"/>
          <w:docGrid w:linePitch="360"/>
        </w:sectPr>
      </w:pPr>
    </w:p>
    <w:p w14:paraId="441D9D9E" w14:textId="77777777" w:rsidR="00A00259" w:rsidRDefault="00371282">
      <w:pPr>
        <w:pStyle w:val="P68B1DB1-Normal19"/>
        <w:spacing w:before="120" w:after="120" w:line="240" w:lineRule="auto"/>
        <w:jc w:val="both"/>
        <w:rPr>
          <w:rFonts w:cs="Times New Roman"/>
          <w:bCs/>
          <w:i/>
          <w:iCs/>
          <w:noProof/>
          <w:color w:val="4F81BD"/>
        </w:rPr>
      </w:pPr>
      <w:r>
        <w:rPr>
          <w:noProof/>
        </w:rPr>
        <w:t xml:space="preserve">K.3. Description des réformes et des investissements pour le prêt </w:t>
      </w:r>
    </w:p>
    <w:p w14:paraId="3F348FA3"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Programme de logement abordable «My Home II» (mesure ID 16400)</w:t>
      </w:r>
    </w:p>
    <w:p w14:paraId="5E7746DD" w14:textId="42354502" w:rsidR="00A00259" w:rsidRDefault="00371282">
      <w:pPr>
        <w:pStyle w:val="P68B1DB1-Normal14"/>
        <w:spacing w:line="240" w:lineRule="auto"/>
        <w:jc w:val="both"/>
        <w:rPr>
          <w:rFonts w:ascii="Times New Roman" w:hAnsi="Times New Roman" w:cs="Times New Roman"/>
          <w:noProof/>
          <w:szCs w:val="24"/>
        </w:rPr>
      </w:pPr>
      <w:r>
        <w:rPr>
          <w:rFonts w:ascii="Times New Roman" w:hAnsi="Times New Roman" w:cs="Times New Roman"/>
          <w:noProof/>
          <w:szCs w:val="24"/>
        </w:rPr>
        <w:t>Cette mesure consistera en un investissement public dans le mécanisme «My</w:t>
      </w:r>
      <w:r>
        <w:rPr>
          <w:rFonts w:ascii="Times New Roman" w:hAnsi="Times New Roman"/>
          <w:noProof/>
        </w:rPr>
        <w:t xml:space="preserve"> Home II»,</w:t>
      </w:r>
      <w:r>
        <w:rPr>
          <w:rFonts w:ascii="Times New Roman" w:hAnsi="Times New Roman" w:cs="Times New Roman"/>
          <w:noProof/>
          <w:szCs w:val="24"/>
        </w:rPr>
        <w:t xml:space="preserve"> afin d’encourager l’investissement privé et d’améliorer l’accès au financement dans le secteur du logement en Grèce. La facilité fonctionne en accordant des prêts directement au secteur privé. Sur la base de l’investissement au titre de la FRR, la facilité «My</w:t>
      </w:r>
      <w:r>
        <w:rPr>
          <w:rFonts w:ascii="Times New Roman" w:hAnsi="Times New Roman"/>
          <w:noProof/>
        </w:rPr>
        <w:t xml:space="preserve"> Home II»</w:t>
      </w:r>
      <w:r>
        <w:rPr>
          <w:rFonts w:ascii="Times New Roman" w:hAnsi="Times New Roman" w:cs="Times New Roman"/>
          <w:noProof/>
          <w:szCs w:val="24"/>
        </w:rPr>
        <w:t xml:space="preserve"> vise à fournir initialement un financement d’au moins 760 000 000 EUR.</w:t>
      </w:r>
    </w:p>
    <w:p w14:paraId="20E686A5" w14:textId="77777777" w:rsidR="00A00259" w:rsidRDefault="00371282">
      <w:pPr>
        <w:pStyle w:val="P68B1DB1-Normal14"/>
        <w:spacing w:line="240" w:lineRule="auto"/>
        <w:jc w:val="both"/>
        <w:rPr>
          <w:rFonts w:ascii="Times New Roman" w:hAnsi="Times New Roman" w:cs="Times New Roman"/>
          <w:noProof/>
          <w:szCs w:val="24"/>
        </w:rPr>
      </w:pPr>
      <w:r>
        <w:rPr>
          <w:rFonts w:ascii="Times New Roman" w:hAnsi="Times New Roman" w:cs="Times New Roman"/>
          <w:noProof/>
          <w:szCs w:val="24"/>
        </w:rPr>
        <w:t>La facilité «My</w:t>
      </w:r>
      <w:r>
        <w:rPr>
          <w:rFonts w:ascii="Times New Roman" w:hAnsi="Times New Roman"/>
          <w:noProof/>
        </w:rPr>
        <w:t xml:space="preserve"> Home II»</w:t>
      </w:r>
      <w:r>
        <w:rPr>
          <w:rFonts w:ascii="Times New Roman" w:hAnsi="Times New Roman" w:cs="Times New Roman"/>
          <w:noProof/>
          <w:szCs w:val="24"/>
        </w:rPr>
        <w:t xml:space="preserve"> est gérée par la Banque hellénique de développement en tant que partenaire chargé de la mise en œuvre. La facilité comprend la gamme de produits suivante: </w:t>
      </w:r>
    </w:p>
    <w:p w14:paraId="46C8332B" w14:textId="77777777" w:rsidR="00A00259" w:rsidRDefault="00371282">
      <w:pPr>
        <w:pStyle w:val="P68B1DB1-LegalNumPar220"/>
        <w:numPr>
          <w:ilvl w:val="1"/>
          <w:numId w:val="24"/>
        </w:numPr>
        <w:jc w:val="both"/>
        <w:rPr>
          <w:noProof/>
        </w:rPr>
      </w:pPr>
      <w:r>
        <w:rPr>
          <w:noProof/>
        </w:rPr>
        <w:t>La Banque hellénique de développement sélectionne les banques commerciales en tant qu’intermédiaires financiers pour participer à la facilité, de manière ouverte, transparente et non discriminatoire, au moyen d’un appel ouvert. Les banques commerciales cofinancent les prêts accordés au titre de la facilité. Ces prêts seront accordés à des particuliers pour l'acquisition d'une résidence principale. La structure des prêts prévoit un financement sans intérêt de 50 % au titre du mécanisme «My Home II» et un financement de 50 % par les banques participantes aux taux du marché.</w:t>
      </w:r>
    </w:p>
    <w:p w14:paraId="095FE08D" w14:textId="77777777" w:rsidR="00A00259" w:rsidRDefault="00371282">
      <w:pPr>
        <w:pStyle w:val="P68B1DB1-Normal14"/>
        <w:spacing w:line="240" w:lineRule="auto"/>
        <w:jc w:val="both"/>
        <w:rPr>
          <w:rFonts w:ascii="Times New Roman" w:hAnsi="Times New Roman" w:cs="Times New Roman"/>
          <w:noProof/>
          <w:szCs w:val="24"/>
        </w:rPr>
      </w:pPr>
      <w:r>
        <w:rPr>
          <w:rFonts w:ascii="Times New Roman" w:hAnsi="Times New Roman" w:cs="Times New Roman"/>
          <w:noProof/>
          <w:szCs w:val="24"/>
        </w:rPr>
        <w:t>Afin de mettre en œuvre l’investissement dans la facilité «My</w:t>
      </w:r>
      <w:r>
        <w:rPr>
          <w:rFonts w:ascii="Times New Roman" w:hAnsi="Times New Roman"/>
          <w:noProof/>
        </w:rPr>
        <w:t xml:space="preserve"> Home II»,</w:t>
      </w:r>
      <w:r>
        <w:rPr>
          <w:rFonts w:ascii="Times New Roman" w:hAnsi="Times New Roman" w:cs="Times New Roman"/>
          <w:noProof/>
          <w:szCs w:val="24"/>
        </w:rPr>
        <w:t xml:space="preserve"> la Grèce et la Banque hellénique de développement signent un accord de mise en œuvre. L’accord de mise en œuvre contient les éléments suivants:</w:t>
      </w:r>
    </w:p>
    <w:p w14:paraId="3E36323A" w14:textId="77777777" w:rsidR="00A00259" w:rsidRDefault="00371282">
      <w:pPr>
        <w:pStyle w:val="P68B1DB1-LegalNumPar46"/>
        <w:numPr>
          <w:ilvl w:val="0"/>
          <w:numId w:val="54"/>
        </w:numPr>
        <w:jc w:val="both"/>
        <w:rPr>
          <w:rFonts w:ascii="Times New Roman" w:eastAsia="Times New Roman" w:hAnsi="Times New Roman" w:cs="Times New Roman"/>
          <w:noProof/>
          <w:szCs w:val="24"/>
        </w:rPr>
      </w:pPr>
      <w:r>
        <w:rPr>
          <w:rFonts w:ascii="Times New Roman" w:hAnsi="Times New Roman" w:cs="Times New Roman"/>
          <w:noProof/>
          <w:szCs w:val="24"/>
        </w:rPr>
        <w:t>Description du processus décisionnel de la facilité «My</w:t>
      </w:r>
      <w:r>
        <w:rPr>
          <w:rFonts w:ascii="Times New Roman" w:hAnsi="Times New Roman"/>
          <w:noProof/>
        </w:rPr>
        <w:t xml:space="preserve"> Home II».</w:t>
      </w:r>
      <w:r>
        <w:rPr>
          <w:rFonts w:ascii="Times New Roman" w:hAnsi="Times New Roman" w:cs="Times New Roman"/>
          <w:noProof/>
          <w:szCs w:val="24"/>
        </w:rPr>
        <w:t xml:space="preserve"> La décision finale d’investissement de la facilité est prise par un comité d’investissement ou un autre organe directeur équivalent compétent et approuvée à la majorité des voix des membres indépendants du gouvernement.</w:t>
      </w:r>
    </w:p>
    <w:p w14:paraId="4031ACF8" w14:textId="77777777" w:rsidR="00A00259" w:rsidRDefault="00371282">
      <w:pPr>
        <w:pStyle w:val="P68B1DB1-LegalNumPar21"/>
        <w:jc w:val="both"/>
        <w:rPr>
          <w:noProof/>
        </w:rPr>
      </w:pPr>
      <w:r>
        <w:rPr>
          <w:noProof/>
        </w:rPr>
        <w:t>Les principales exigences des produits financiers,</w:t>
      </w:r>
      <w:r>
        <w:rPr>
          <w:b/>
          <w:noProof/>
        </w:rPr>
        <w:t xml:space="preserve"> </w:t>
      </w:r>
      <w:r>
        <w:rPr>
          <w:noProof/>
        </w:rPr>
        <w:t>qui comprennent:</w:t>
      </w:r>
    </w:p>
    <w:p w14:paraId="4CC56E06" w14:textId="77777777" w:rsidR="00A00259" w:rsidRDefault="00371282">
      <w:pPr>
        <w:pStyle w:val="P68B1DB1-LegalNumPar220"/>
        <w:jc w:val="both"/>
        <w:rPr>
          <w:noProof/>
        </w:rPr>
      </w:pPr>
      <w:r>
        <w:rPr>
          <w:noProof/>
        </w:rPr>
        <w:t>Description des produits financiers et des bénéficiaires finaux éligibles.</w:t>
      </w:r>
    </w:p>
    <w:p w14:paraId="4D1AC468" w14:textId="77777777" w:rsidR="00A00259" w:rsidRDefault="00371282">
      <w:pPr>
        <w:pStyle w:val="P68B1DB1-LegalNumPar220"/>
        <w:jc w:val="both"/>
        <w:rPr>
          <w:noProof/>
        </w:rPr>
      </w:pPr>
      <w:r>
        <w:rPr>
          <w:noProof/>
        </w:rPr>
        <w:t>L'exigence que tous les investissements soutenus soient économiquement viables.</w:t>
      </w:r>
    </w:p>
    <w:p w14:paraId="16ED96A9" w14:textId="77777777" w:rsidR="00A00259" w:rsidRDefault="00371282">
      <w:pPr>
        <w:pStyle w:val="P68B1DB1-LegalNumPar220"/>
        <w:jc w:val="both"/>
        <w:rPr>
          <w:noProof/>
        </w:rPr>
      </w:pPr>
      <w:r>
        <w:rPr>
          <w:noProof/>
        </w:rPr>
        <w:t>L’exigence selon laquelle les bénéficiaires finaux de la facilité ne reçoivent pas de soutien d’autres instruments de l’Union pour couvrir le même coût.</w:t>
      </w:r>
    </w:p>
    <w:p w14:paraId="33B992CF" w14:textId="77777777" w:rsidR="00A00259" w:rsidRDefault="00371282">
      <w:pPr>
        <w:pStyle w:val="P68B1DB1-LegalNumPar22"/>
        <w:jc w:val="both"/>
        <w:rPr>
          <w:rFonts w:ascii="Times New Roman" w:hAnsi="Times New Roman" w:cs="Times New Roman"/>
          <w:noProof/>
        </w:rPr>
      </w:pPr>
      <w:r>
        <w:rPr>
          <w:rFonts w:ascii="Times New Roman" w:hAnsi="Times New Roman" w:cs="Times New Roman"/>
          <w:noProof/>
        </w:rPr>
        <w:t xml:space="preserve">Le montant couvert par l’accord de mise en œuvre, la structure des frais pour le partenaire chargé de la mise en œuvre et les intermédiaires financiers, et </w:t>
      </w:r>
      <w:r>
        <w:rPr>
          <w:rFonts w:ascii="Times New Roman" w:eastAsia="Times New Roman" w:hAnsi="Times New Roman" w:cs="Times New Roman"/>
          <w:noProof/>
          <w:color w:val="000000" w:themeColor="text1"/>
        </w:rPr>
        <w:t>l’obligation de réinvestir tout remboursement conformément à la politique d’investissement de la facilité, à moins qu’ils ne soient utilisés pour assurer le service des remboursements de prêts de la facilité pour la reprise et la résilience.</w:t>
      </w:r>
    </w:p>
    <w:p w14:paraId="7141D8A0" w14:textId="77777777" w:rsidR="00A00259" w:rsidRDefault="00371282">
      <w:pPr>
        <w:pStyle w:val="P68B1DB1-LegalNumPar21"/>
        <w:jc w:val="both"/>
        <w:rPr>
          <w:noProof/>
        </w:rPr>
      </w:pPr>
      <w:r>
        <w:rPr>
          <w:noProof/>
        </w:rPr>
        <w:t>Exigences en matière de suivi, d’audit et de contrôle, y compris la description des procédures du partenaire chargé de la mise en œuvre qui garantissent la prévention, la détection et la correction de la fraude, de la corruption et des conflits d’intérêts.</w:t>
      </w:r>
    </w:p>
    <w:p w14:paraId="062072A2" w14:textId="77777777" w:rsidR="00A00259" w:rsidRDefault="00371282">
      <w:pPr>
        <w:pStyle w:val="P68B1DB1-LegalNumPar21"/>
        <w:jc w:val="both"/>
        <w:rPr>
          <w:noProof/>
        </w:rPr>
      </w:pPr>
      <w:r>
        <w:rPr>
          <w:noProof/>
        </w:rPr>
        <w:t>La Banque hellénique de développement signe des accords de financement avec les intermédiaires financiers conformément aux exigences essentielles qui figurent en annexe de l’accord de mise en œuvre. Les principales exigences des accords de financement comprennent toutes les exigences en vertu desquelles la facilité fonctionne, y compris: </w:t>
      </w:r>
    </w:p>
    <w:p w14:paraId="25DA51BF" w14:textId="77777777" w:rsidR="00A00259" w:rsidRDefault="00371282">
      <w:pPr>
        <w:pStyle w:val="P68B1DB1-LegalNumPar220"/>
        <w:numPr>
          <w:ilvl w:val="1"/>
          <w:numId w:val="24"/>
        </w:numPr>
        <w:jc w:val="both"/>
        <w:rPr>
          <w:noProof/>
        </w:rPr>
      </w:pPr>
      <w:r>
        <w:rPr>
          <w:noProof/>
        </w:rPr>
        <w:t>La décision finale sur les émissions de prêts est prise par les intermédiaires financiers conformément à leurs politiques et procédures, indépendamment du gouvernement.</w:t>
      </w:r>
    </w:p>
    <w:p w14:paraId="437EDC43" w14:textId="77777777" w:rsidR="00A00259" w:rsidRDefault="00371282">
      <w:pPr>
        <w:pStyle w:val="P68B1DB1-LegalNumPar220"/>
        <w:numPr>
          <w:ilvl w:val="1"/>
          <w:numId w:val="24"/>
        </w:numPr>
        <w:jc w:val="both"/>
        <w:rPr>
          <w:noProof/>
        </w:rPr>
      </w:pPr>
      <w:r>
        <w:rPr>
          <w:noProof/>
        </w:rPr>
        <w:t xml:space="preserve">L'obligation pour les intermédiaires financiers de prendre leurs décisions en conformité </w:t>
      </w:r>
      <w:r>
        <w:rPr>
          <w:i/>
          <w:noProof/>
        </w:rPr>
        <w:t>mutatis mutandis</w:t>
      </w:r>
      <w:r>
        <w:rPr>
          <w:noProof/>
        </w:rPr>
        <w:t xml:space="preserve"> avec les exigences de la politique d'investissement spécifiées ci-dessus. </w:t>
      </w:r>
    </w:p>
    <w:p w14:paraId="74D4C1F1" w14:textId="77777777" w:rsidR="00A00259" w:rsidRDefault="00371282">
      <w:pPr>
        <w:pStyle w:val="P68B1DB1-LegalNumPar220"/>
        <w:numPr>
          <w:ilvl w:val="1"/>
          <w:numId w:val="24"/>
        </w:numPr>
        <w:jc w:val="both"/>
        <w:rPr>
          <w:noProof/>
        </w:rPr>
      </w:pPr>
      <w:r>
        <w:rPr>
          <w:noProof/>
        </w:rPr>
        <w:t>Exigences en matière de suivi, d’audit et de contrôle applicables aux intermédiaires financiers, notamment:</w:t>
      </w:r>
    </w:p>
    <w:p w14:paraId="21211EF5" w14:textId="77777777" w:rsidR="00A00259" w:rsidRDefault="00371282">
      <w:pPr>
        <w:pStyle w:val="P68B1DB1-LegalNumPar220"/>
        <w:numPr>
          <w:ilvl w:val="2"/>
          <w:numId w:val="26"/>
        </w:numPr>
        <w:jc w:val="both"/>
        <w:rPr>
          <w:noProof/>
        </w:rPr>
      </w:pPr>
      <w:r>
        <w:rPr>
          <w:noProof/>
        </w:rPr>
        <w:t>Description du système de suivi des intermédiaires financiers pour rendre compte de l’investissement mobilisé.</w:t>
      </w:r>
    </w:p>
    <w:p w14:paraId="0EAD5FC5" w14:textId="77777777" w:rsidR="00A00259" w:rsidRDefault="00371282">
      <w:pPr>
        <w:pStyle w:val="P68B1DB1-LegalNumPar220"/>
        <w:numPr>
          <w:ilvl w:val="2"/>
          <w:numId w:val="26"/>
        </w:numPr>
        <w:jc w:val="both"/>
        <w:rPr>
          <w:noProof/>
        </w:rPr>
      </w:pPr>
      <w:r>
        <w:rPr>
          <w:noProof/>
        </w:rPr>
        <w:t xml:space="preserve">Description des procédures des intermédiaires financiers qui assurent la prévention, la détection et la correction de la fraude, de la corruption et des conflits d’intérêts. </w:t>
      </w:r>
    </w:p>
    <w:p w14:paraId="2C3FB5F9" w14:textId="77777777" w:rsidR="00A00259" w:rsidRDefault="00371282">
      <w:pPr>
        <w:pStyle w:val="P68B1DB1-LegalNumPar220"/>
        <w:numPr>
          <w:ilvl w:val="2"/>
          <w:numId w:val="26"/>
        </w:numPr>
        <w:jc w:val="both"/>
        <w:rPr>
          <w:noProof/>
        </w:rPr>
      </w:pPr>
      <w:r>
        <w:rPr>
          <w:noProof/>
        </w:rPr>
        <w:t>L’obligation de vérifier l’éligibilité de chaque opération conformément aux exigences énoncées dans l’accord de mise en œuvre avant de s’engager à financer une opération.</w:t>
      </w:r>
    </w:p>
    <w:p w14:paraId="2334EE25" w14:textId="77777777" w:rsidR="00A00259" w:rsidRDefault="00371282">
      <w:pPr>
        <w:pStyle w:val="P68B1DB1-LegalNumPar220"/>
        <w:numPr>
          <w:ilvl w:val="2"/>
          <w:numId w:val="26"/>
        </w:numPr>
        <w:jc w:val="both"/>
        <w:rPr>
          <w:noProof/>
        </w:rPr>
      </w:pPr>
      <w:r>
        <w:rPr>
          <w:noProof/>
        </w:rPr>
        <w:t xml:space="preserve">L’obligation de réaliser des audits ex post fondés sur les risques conformément à un plan d’audit des intermédiaires financiers. Ces audits vérifient: i) que les systèmes de contrôle sont efficaces, y compris la détection de la fraude, de la corruption et des conflits d'intérêts; et ii) que l’exigence selon laquelle les bénéficiaires finaux de la facilité n’ont pas reçu d’aide d’autres instruments de l’Union pour couvrir le même coût soit respectée. Les audits vérifient également la légalité des opérations et le respect des conditions des accords applicables. </w:t>
      </w:r>
    </w:p>
    <w:p w14:paraId="40A0CF5E" w14:textId="77777777" w:rsidR="00A00259" w:rsidRDefault="00A00259">
      <w:pPr>
        <w:spacing w:before="120" w:after="120" w:line="240" w:lineRule="auto"/>
        <w:jc w:val="both"/>
        <w:rPr>
          <w:rFonts w:ascii="Times New Roman" w:hAnsi="Times New Roman"/>
          <w:b/>
          <w:noProof/>
          <w:sz w:val="24"/>
        </w:rPr>
        <w:sectPr w:rsidR="00A00259">
          <w:headerReference w:type="even" r:id="rId240"/>
          <w:headerReference w:type="default" r:id="rId241"/>
          <w:footerReference w:type="even" r:id="rId242"/>
          <w:footerReference w:type="default" r:id="rId243"/>
          <w:headerReference w:type="first" r:id="rId244"/>
          <w:footerReference w:type="first" r:id="rId245"/>
          <w:pgSz w:w="11906" w:h="16838"/>
          <w:pgMar w:top="1134" w:right="1134" w:bottom="1134" w:left="1134" w:header="567" w:footer="567" w:gutter="0"/>
          <w:cols w:space="708"/>
          <w:docGrid w:linePitch="360"/>
        </w:sectPr>
      </w:pPr>
    </w:p>
    <w:p w14:paraId="74401F63" w14:textId="77777777" w:rsidR="00A00259" w:rsidRDefault="00371282">
      <w:pPr>
        <w:pStyle w:val="P68B1DB1-Normal9"/>
        <w:keepNext/>
        <w:keepLines/>
        <w:spacing w:before="40" w:after="240" w:line="240" w:lineRule="auto"/>
        <w:jc w:val="both"/>
        <w:outlineLvl w:val="4"/>
        <w:rPr>
          <w:rFonts w:eastAsia="Times New Roman"/>
          <w:noProof/>
        </w:rPr>
      </w:pPr>
      <w:r>
        <w:rPr>
          <w:noProof/>
        </w:rPr>
        <w:t>Programme de logement abordable «My Home II» (16400)</w:t>
      </w:r>
    </w:p>
    <w:tbl>
      <w:tblPr>
        <w:tblW w:w="158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701"/>
        <w:gridCol w:w="1197"/>
        <w:gridCol w:w="1320"/>
        <w:gridCol w:w="1560"/>
        <w:gridCol w:w="1320"/>
        <w:gridCol w:w="1200"/>
        <w:gridCol w:w="960"/>
        <w:gridCol w:w="1080"/>
        <w:gridCol w:w="840"/>
        <w:gridCol w:w="4001"/>
      </w:tblGrid>
      <w:tr w:rsidR="00A00259" w14:paraId="76BDA53C" w14:textId="77777777">
        <w:trPr>
          <w:trHeight w:val="810"/>
          <w:tblHeader/>
          <w:jc w:val="center"/>
        </w:trPr>
        <w:tc>
          <w:tcPr>
            <w:tcW w:w="704" w:type="dxa"/>
            <w:vMerge w:val="restart"/>
            <w:shd w:val="clear" w:color="auto" w:fill="BDD7EE"/>
            <w:vAlign w:val="center"/>
            <w:hideMark/>
          </w:tcPr>
          <w:p w14:paraId="5B011BCA" w14:textId="77777777" w:rsidR="00A00259" w:rsidRDefault="00371282">
            <w:pPr>
              <w:pStyle w:val="P68B1DB1-Normal15"/>
              <w:spacing w:after="0" w:line="240" w:lineRule="auto"/>
              <w:jc w:val="center"/>
              <w:rPr>
                <w:rFonts w:eastAsia="Times New Roman"/>
                <w:noProof/>
              </w:rPr>
            </w:pPr>
            <w:r>
              <w:rPr>
                <w:noProof/>
              </w:rPr>
              <w:t>Seq. Non.</w:t>
            </w:r>
          </w:p>
        </w:tc>
        <w:tc>
          <w:tcPr>
            <w:tcW w:w="1701" w:type="dxa"/>
            <w:vMerge w:val="restart"/>
            <w:shd w:val="clear" w:color="auto" w:fill="BDD7EE"/>
            <w:vAlign w:val="center"/>
            <w:hideMark/>
          </w:tcPr>
          <w:p w14:paraId="5493F3EA" w14:textId="77777777" w:rsidR="00A00259" w:rsidRDefault="00371282">
            <w:pPr>
              <w:pStyle w:val="P68B1DB1-Normal15"/>
              <w:spacing w:after="0" w:line="240" w:lineRule="auto"/>
              <w:jc w:val="center"/>
              <w:rPr>
                <w:rFonts w:eastAsia="Times New Roman"/>
                <w:noProof/>
              </w:rPr>
            </w:pPr>
            <w:r>
              <w:rPr>
                <w:noProof/>
              </w:rPr>
              <w:t>Mesure connexe (réforme ou investissement)</w:t>
            </w:r>
          </w:p>
        </w:tc>
        <w:tc>
          <w:tcPr>
            <w:tcW w:w="1197" w:type="dxa"/>
            <w:vMerge w:val="restart"/>
            <w:shd w:val="clear" w:color="auto" w:fill="BDD7EE"/>
            <w:vAlign w:val="center"/>
            <w:hideMark/>
          </w:tcPr>
          <w:p w14:paraId="4B01488D" w14:textId="77777777" w:rsidR="00A00259" w:rsidRDefault="00371282">
            <w:pPr>
              <w:pStyle w:val="P68B1DB1-Normal15"/>
              <w:spacing w:after="0" w:line="240" w:lineRule="auto"/>
              <w:jc w:val="center"/>
              <w:rPr>
                <w:rFonts w:eastAsia="Times New Roman"/>
                <w:noProof/>
              </w:rPr>
            </w:pPr>
            <w:r>
              <w:rPr>
                <w:noProof/>
              </w:rPr>
              <w:t>Étape/cible</w:t>
            </w:r>
          </w:p>
        </w:tc>
        <w:tc>
          <w:tcPr>
            <w:tcW w:w="1320" w:type="dxa"/>
            <w:vMerge w:val="restart"/>
            <w:shd w:val="clear" w:color="auto" w:fill="BDD7EE"/>
            <w:vAlign w:val="center"/>
            <w:hideMark/>
          </w:tcPr>
          <w:p w14:paraId="0B491C52" w14:textId="77777777" w:rsidR="00A00259" w:rsidRDefault="00371282">
            <w:pPr>
              <w:pStyle w:val="P68B1DB1-Normal15"/>
              <w:spacing w:after="0" w:line="240" w:lineRule="auto"/>
              <w:jc w:val="center"/>
              <w:rPr>
                <w:rFonts w:eastAsia="Times New Roman"/>
                <w:noProof/>
              </w:rPr>
            </w:pPr>
            <w:r>
              <w:rPr>
                <w:noProof/>
              </w:rPr>
              <w:t>Nom</w:t>
            </w:r>
          </w:p>
        </w:tc>
        <w:tc>
          <w:tcPr>
            <w:tcW w:w="1560" w:type="dxa"/>
            <w:vMerge w:val="restart"/>
            <w:shd w:val="clear" w:color="auto" w:fill="BDD7EE"/>
            <w:vAlign w:val="center"/>
            <w:hideMark/>
          </w:tcPr>
          <w:p w14:paraId="0ED03A21" w14:textId="77777777" w:rsidR="00A00259" w:rsidRDefault="00371282">
            <w:pPr>
              <w:pStyle w:val="P68B1DB1-Normal15"/>
              <w:spacing w:after="0" w:line="240" w:lineRule="auto"/>
              <w:jc w:val="center"/>
              <w:rPr>
                <w:rFonts w:eastAsia="Times New Roman"/>
                <w:noProof/>
              </w:rPr>
            </w:pPr>
            <w:r>
              <w:rPr>
                <w:noProof/>
              </w:rPr>
              <w:t>Indicateurs qualitatifs (pour les jalons)</w:t>
            </w:r>
          </w:p>
        </w:tc>
        <w:tc>
          <w:tcPr>
            <w:tcW w:w="3480" w:type="dxa"/>
            <w:gridSpan w:val="3"/>
            <w:shd w:val="clear" w:color="auto" w:fill="BDD7EE"/>
            <w:vAlign w:val="center"/>
            <w:hideMark/>
          </w:tcPr>
          <w:p w14:paraId="6552AA46" w14:textId="77777777" w:rsidR="00A00259" w:rsidRDefault="00371282">
            <w:pPr>
              <w:pStyle w:val="P68B1DB1-Normal15"/>
              <w:spacing w:after="0" w:line="240" w:lineRule="auto"/>
              <w:jc w:val="center"/>
              <w:rPr>
                <w:rFonts w:eastAsia="Times New Roman"/>
                <w:noProof/>
              </w:rPr>
            </w:pPr>
            <w:r>
              <w:rPr>
                <w:noProof/>
              </w:rPr>
              <w:t>Indicateurs quantitatifs (pour les objectifs)</w:t>
            </w:r>
          </w:p>
        </w:tc>
        <w:tc>
          <w:tcPr>
            <w:tcW w:w="1920" w:type="dxa"/>
            <w:gridSpan w:val="2"/>
            <w:shd w:val="clear" w:color="auto" w:fill="BDD7EE"/>
            <w:vAlign w:val="center"/>
            <w:hideMark/>
          </w:tcPr>
          <w:p w14:paraId="2F5B38AA" w14:textId="77777777" w:rsidR="00A00259" w:rsidRDefault="00371282">
            <w:pPr>
              <w:pStyle w:val="P68B1DB1-Normal15"/>
              <w:spacing w:after="0" w:line="240" w:lineRule="auto"/>
              <w:jc w:val="center"/>
              <w:rPr>
                <w:rFonts w:eastAsia="Times New Roman"/>
                <w:noProof/>
              </w:rPr>
            </w:pPr>
            <w:r>
              <w:rPr>
                <w:noProof/>
              </w:rPr>
              <w:t>Calendrier indicatif d'achèvement</w:t>
            </w:r>
          </w:p>
        </w:tc>
        <w:tc>
          <w:tcPr>
            <w:tcW w:w="4001" w:type="dxa"/>
            <w:vMerge w:val="restart"/>
            <w:shd w:val="clear" w:color="auto" w:fill="BDD7EE"/>
            <w:vAlign w:val="center"/>
            <w:hideMark/>
          </w:tcPr>
          <w:p w14:paraId="5999A78D" w14:textId="77777777" w:rsidR="00A00259" w:rsidRDefault="00371282">
            <w:pPr>
              <w:pStyle w:val="P68B1DB1-Normal15"/>
              <w:spacing w:after="0" w:line="240" w:lineRule="auto"/>
              <w:jc w:val="center"/>
              <w:rPr>
                <w:rFonts w:eastAsia="Times New Roman"/>
                <w:noProof/>
              </w:rPr>
            </w:pPr>
            <w:r>
              <w:rPr>
                <w:noProof/>
              </w:rPr>
              <w:t>Description de chaque jalon et cible</w:t>
            </w:r>
          </w:p>
        </w:tc>
      </w:tr>
      <w:tr w:rsidR="00A00259" w14:paraId="177C6918" w14:textId="77777777">
        <w:trPr>
          <w:trHeight w:val="581"/>
          <w:tblHeader/>
          <w:jc w:val="center"/>
        </w:trPr>
        <w:tc>
          <w:tcPr>
            <w:tcW w:w="704" w:type="dxa"/>
            <w:vMerge/>
            <w:vAlign w:val="center"/>
            <w:hideMark/>
          </w:tcPr>
          <w:p w14:paraId="6478E6E8" w14:textId="77777777" w:rsidR="00A00259" w:rsidRDefault="00A00259">
            <w:pPr>
              <w:spacing w:after="0" w:line="240" w:lineRule="auto"/>
              <w:rPr>
                <w:rFonts w:ascii="Times New Roman" w:eastAsia="Times New Roman" w:hAnsi="Times New Roman" w:cs="Times New Roman"/>
                <w:b/>
                <w:noProof/>
                <w:sz w:val="18"/>
                <w:szCs w:val="18"/>
              </w:rPr>
            </w:pPr>
          </w:p>
        </w:tc>
        <w:tc>
          <w:tcPr>
            <w:tcW w:w="1701" w:type="dxa"/>
            <w:vMerge/>
            <w:vAlign w:val="center"/>
            <w:hideMark/>
          </w:tcPr>
          <w:p w14:paraId="0D3F32B8" w14:textId="77777777" w:rsidR="00A00259" w:rsidRDefault="00A00259">
            <w:pPr>
              <w:spacing w:after="0" w:line="240" w:lineRule="auto"/>
              <w:rPr>
                <w:rFonts w:ascii="Times New Roman" w:eastAsia="Times New Roman" w:hAnsi="Times New Roman" w:cs="Times New Roman"/>
                <w:b/>
                <w:noProof/>
                <w:sz w:val="18"/>
                <w:szCs w:val="18"/>
              </w:rPr>
            </w:pPr>
          </w:p>
        </w:tc>
        <w:tc>
          <w:tcPr>
            <w:tcW w:w="1197" w:type="dxa"/>
            <w:vMerge/>
            <w:vAlign w:val="center"/>
            <w:hideMark/>
          </w:tcPr>
          <w:p w14:paraId="4C89678D" w14:textId="77777777" w:rsidR="00A00259" w:rsidRDefault="00A00259">
            <w:pPr>
              <w:spacing w:after="0" w:line="240" w:lineRule="auto"/>
              <w:rPr>
                <w:rFonts w:ascii="Times New Roman" w:eastAsia="Times New Roman" w:hAnsi="Times New Roman" w:cs="Times New Roman"/>
                <w:b/>
                <w:noProof/>
                <w:sz w:val="18"/>
                <w:szCs w:val="18"/>
              </w:rPr>
            </w:pPr>
          </w:p>
        </w:tc>
        <w:tc>
          <w:tcPr>
            <w:tcW w:w="1320" w:type="dxa"/>
            <w:vMerge/>
            <w:vAlign w:val="center"/>
            <w:hideMark/>
          </w:tcPr>
          <w:p w14:paraId="4E567A97" w14:textId="77777777" w:rsidR="00A00259" w:rsidRDefault="00A00259">
            <w:pPr>
              <w:spacing w:after="0" w:line="240" w:lineRule="auto"/>
              <w:rPr>
                <w:rFonts w:ascii="Times New Roman" w:eastAsia="Times New Roman" w:hAnsi="Times New Roman" w:cs="Times New Roman"/>
                <w:b/>
                <w:noProof/>
                <w:sz w:val="18"/>
                <w:szCs w:val="18"/>
              </w:rPr>
            </w:pPr>
          </w:p>
        </w:tc>
        <w:tc>
          <w:tcPr>
            <w:tcW w:w="1560" w:type="dxa"/>
            <w:vMerge/>
            <w:vAlign w:val="center"/>
            <w:hideMark/>
          </w:tcPr>
          <w:p w14:paraId="66A9E20C" w14:textId="77777777" w:rsidR="00A00259" w:rsidRDefault="00A00259">
            <w:pPr>
              <w:spacing w:after="0" w:line="240" w:lineRule="auto"/>
              <w:rPr>
                <w:rFonts w:ascii="Times New Roman" w:eastAsia="Times New Roman" w:hAnsi="Times New Roman" w:cs="Times New Roman"/>
                <w:b/>
                <w:noProof/>
                <w:sz w:val="18"/>
                <w:szCs w:val="18"/>
              </w:rPr>
            </w:pPr>
          </w:p>
        </w:tc>
        <w:tc>
          <w:tcPr>
            <w:tcW w:w="1320" w:type="dxa"/>
            <w:shd w:val="clear" w:color="auto" w:fill="BDD7EE"/>
            <w:vAlign w:val="center"/>
            <w:hideMark/>
          </w:tcPr>
          <w:p w14:paraId="1E51D57B" w14:textId="77777777" w:rsidR="00A00259" w:rsidRDefault="00371282">
            <w:pPr>
              <w:pStyle w:val="P68B1DB1-Normal10"/>
              <w:spacing w:after="0" w:line="240" w:lineRule="auto"/>
              <w:jc w:val="center"/>
              <w:rPr>
                <w:rFonts w:eastAsia="Times New Roman" w:cs="Times New Roman"/>
                <w:noProof/>
                <w:szCs w:val="18"/>
              </w:rPr>
            </w:pPr>
            <w:r>
              <w:rPr>
                <w:noProof/>
              </w:rPr>
              <w:t>Unité de mesure</w:t>
            </w:r>
          </w:p>
        </w:tc>
        <w:tc>
          <w:tcPr>
            <w:tcW w:w="1200" w:type="dxa"/>
            <w:shd w:val="clear" w:color="auto" w:fill="BDD7EE"/>
            <w:vAlign w:val="center"/>
            <w:hideMark/>
          </w:tcPr>
          <w:p w14:paraId="44779178" w14:textId="77777777" w:rsidR="00A00259" w:rsidRDefault="00371282">
            <w:pPr>
              <w:pStyle w:val="P68B1DB1-Normal10"/>
              <w:spacing w:after="0" w:line="240" w:lineRule="auto"/>
              <w:jc w:val="center"/>
              <w:rPr>
                <w:rFonts w:eastAsia="Times New Roman" w:cs="Times New Roman"/>
                <w:noProof/>
                <w:szCs w:val="18"/>
              </w:rPr>
            </w:pPr>
            <w:r>
              <w:rPr>
                <w:noProof/>
              </w:rPr>
              <w:t>Données de référence</w:t>
            </w:r>
          </w:p>
        </w:tc>
        <w:tc>
          <w:tcPr>
            <w:tcW w:w="960" w:type="dxa"/>
            <w:shd w:val="clear" w:color="auto" w:fill="BDD7EE"/>
            <w:vAlign w:val="center"/>
            <w:hideMark/>
          </w:tcPr>
          <w:p w14:paraId="3A1494DE" w14:textId="77777777" w:rsidR="00A00259" w:rsidRDefault="00371282">
            <w:pPr>
              <w:pStyle w:val="P68B1DB1-Normal10"/>
              <w:spacing w:after="0" w:line="240" w:lineRule="auto"/>
              <w:jc w:val="center"/>
              <w:rPr>
                <w:rFonts w:eastAsia="Times New Roman" w:cs="Times New Roman"/>
                <w:noProof/>
                <w:szCs w:val="18"/>
              </w:rPr>
            </w:pPr>
            <w:r>
              <w:rPr>
                <w:noProof/>
              </w:rPr>
              <w:t>Objectif</w:t>
            </w:r>
          </w:p>
        </w:tc>
        <w:tc>
          <w:tcPr>
            <w:tcW w:w="1080" w:type="dxa"/>
            <w:shd w:val="clear" w:color="auto" w:fill="BDD7EE"/>
            <w:vAlign w:val="center"/>
            <w:hideMark/>
          </w:tcPr>
          <w:p w14:paraId="429FCE2F" w14:textId="77777777" w:rsidR="00A00259" w:rsidRDefault="00371282">
            <w:pPr>
              <w:pStyle w:val="P68B1DB1-Normal10"/>
              <w:spacing w:after="0" w:line="240" w:lineRule="auto"/>
              <w:jc w:val="center"/>
              <w:rPr>
                <w:rFonts w:eastAsia="Times New Roman" w:cs="Times New Roman"/>
                <w:noProof/>
                <w:szCs w:val="18"/>
              </w:rPr>
            </w:pPr>
            <w:r>
              <w:rPr>
                <w:noProof/>
              </w:rPr>
              <w:t>Trimestre</w:t>
            </w:r>
          </w:p>
        </w:tc>
        <w:tc>
          <w:tcPr>
            <w:tcW w:w="840" w:type="dxa"/>
            <w:shd w:val="clear" w:color="auto" w:fill="BDD7EE"/>
            <w:vAlign w:val="center"/>
            <w:hideMark/>
          </w:tcPr>
          <w:p w14:paraId="07B5AA22" w14:textId="77777777" w:rsidR="00A00259" w:rsidRDefault="00371282">
            <w:pPr>
              <w:pStyle w:val="P68B1DB1-Normal10"/>
              <w:spacing w:after="0" w:line="240" w:lineRule="auto"/>
              <w:jc w:val="center"/>
              <w:rPr>
                <w:rFonts w:eastAsia="Times New Roman" w:cs="Times New Roman"/>
                <w:noProof/>
                <w:szCs w:val="18"/>
              </w:rPr>
            </w:pPr>
            <w:r>
              <w:rPr>
                <w:noProof/>
              </w:rPr>
              <w:t>Année</w:t>
            </w:r>
          </w:p>
        </w:tc>
        <w:tc>
          <w:tcPr>
            <w:tcW w:w="4001" w:type="dxa"/>
            <w:vMerge/>
            <w:vAlign w:val="center"/>
            <w:hideMark/>
          </w:tcPr>
          <w:p w14:paraId="5F4C91A6" w14:textId="77777777" w:rsidR="00A00259" w:rsidRDefault="00A00259">
            <w:pPr>
              <w:spacing w:after="0" w:line="240" w:lineRule="auto"/>
              <w:rPr>
                <w:rFonts w:ascii="Times New Roman" w:eastAsia="Times New Roman" w:hAnsi="Times New Roman" w:cs="Times New Roman"/>
                <w:b/>
                <w:noProof/>
                <w:sz w:val="18"/>
                <w:szCs w:val="18"/>
              </w:rPr>
            </w:pPr>
          </w:p>
        </w:tc>
      </w:tr>
      <w:tr w:rsidR="00A00259" w14:paraId="6CE4E806" w14:textId="77777777">
        <w:trPr>
          <w:trHeight w:val="314"/>
          <w:jc w:val="center"/>
        </w:trPr>
        <w:tc>
          <w:tcPr>
            <w:tcW w:w="704" w:type="dxa"/>
            <w:shd w:val="clear" w:color="auto" w:fill="C6EFCE"/>
            <w:noWrap/>
          </w:tcPr>
          <w:p w14:paraId="1AD884C1" w14:textId="77777777" w:rsidR="00A00259" w:rsidRDefault="00371282">
            <w:pPr>
              <w:pStyle w:val="P68B1DB1-Normal12"/>
              <w:spacing w:after="0" w:line="240" w:lineRule="auto"/>
              <w:rPr>
                <w:noProof/>
              </w:rPr>
            </w:pPr>
            <w:r>
              <w:rPr>
                <w:noProof/>
              </w:rPr>
              <w:t>378</w:t>
            </w:r>
          </w:p>
        </w:tc>
        <w:tc>
          <w:tcPr>
            <w:tcW w:w="1701" w:type="dxa"/>
            <w:shd w:val="clear" w:color="auto" w:fill="C6EFCE"/>
            <w:noWrap/>
          </w:tcPr>
          <w:p w14:paraId="7F699B14" w14:textId="77777777" w:rsidR="00A00259" w:rsidRDefault="00371282">
            <w:pPr>
              <w:pStyle w:val="P68B1DB1-Normal12"/>
              <w:spacing w:after="0" w:line="240" w:lineRule="auto"/>
              <w:rPr>
                <w:rFonts w:eastAsia="Times New Roman"/>
                <w:noProof/>
              </w:rPr>
            </w:pPr>
            <w:r>
              <w:rPr>
                <w:noProof/>
              </w:rPr>
              <w:t>11 - 3.4. «Améliorer l’accès à des politiques sociales efficaces et inclusives» - 16400_ Programme de logement abordable «My Home II»</w:t>
            </w:r>
          </w:p>
        </w:tc>
        <w:tc>
          <w:tcPr>
            <w:tcW w:w="1197" w:type="dxa"/>
            <w:shd w:val="clear" w:color="auto" w:fill="C6EFCE"/>
            <w:noWrap/>
          </w:tcPr>
          <w:p w14:paraId="116F4C99" w14:textId="77777777" w:rsidR="00A00259" w:rsidRDefault="00371282">
            <w:pPr>
              <w:pStyle w:val="P68B1DB1-Normal12"/>
              <w:spacing w:after="0" w:line="240" w:lineRule="auto"/>
              <w:rPr>
                <w:rFonts w:eastAsia="Times New Roman"/>
                <w:noProof/>
              </w:rPr>
            </w:pPr>
            <w:r>
              <w:rPr>
                <w:noProof/>
              </w:rPr>
              <w:t>Étape</w:t>
            </w:r>
          </w:p>
        </w:tc>
        <w:tc>
          <w:tcPr>
            <w:tcW w:w="1320" w:type="dxa"/>
            <w:shd w:val="clear" w:color="auto" w:fill="C6EFCE"/>
            <w:noWrap/>
          </w:tcPr>
          <w:p w14:paraId="75DA46A5" w14:textId="77777777" w:rsidR="00A00259" w:rsidRDefault="00371282">
            <w:pPr>
              <w:pStyle w:val="P68B1DB1-Normal12"/>
              <w:spacing w:after="0" w:line="240" w:lineRule="auto"/>
              <w:rPr>
                <w:rFonts w:eastAsia="Times New Roman"/>
                <w:noProof/>
              </w:rPr>
            </w:pPr>
            <w:r>
              <w:rPr>
                <w:noProof/>
              </w:rPr>
              <w:t>My Home II - Accord de mise en œuvre entre la Banque hellénique de développement et le ministère des finances</w:t>
            </w:r>
          </w:p>
        </w:tc>
        <w:tc>
          <w:tcPr>
            <w:tcW w:w="1560" w:type="dxa"/>
            <w:shd w:val="clear" w:color="auto" w:fill="C6EFCE"/>
            <w:noWrap/>
          </w:tcPr>
          <w:p w14:paraId="51D52991" w14:textId="77777777" w:rsidR="00A00259" w:rsidRDefault="00371282">
            <w:pPr>
              <w:pStyle w:val="P68B1DB1-Normal12"/>
              <w:spacing w:after="0" w:line="240" w:lineRule="auto"/>
              <w:rPr>
                <w:rFonts w:eastAsia="Times New Roman"/>
                <w:noProof/>
              </w:rPr>
            </w:pPr>
            <w:r>
              <w:rPr>
                <w:noProof/>
              </w:rPr>
              <w:t>Entrée en vigueur de l'accord de mise en œuvre</w:t>
            </w:r>
          </w:p>
        </w:tc>
        <w:tc>
          <w:tcPr>
            <w:tcW w:w="1320" w:type="dxa"/>
            <w:shd w:val="clear" w:color="auto" w:fill="C6EFCE"/>
            <w:noWrap/>
          </w:tcPr>
          <w:p w14:paraId="79A882C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200" w:type="dxa"/>
            <w:shd w:val="clear" w:color="auto" w:fill="C6EFCE"/>
            <w:noWrap/>
          </w:tcPr>
          <w:p w14:paraId="50AEFE9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0" w:type="dxa"/>
            <w:shd w:val="clear" w:color="auto" w:fill="C6EFCE"/>
            <w:noWrap/>
          </w:tcPr>
          <w:p w14:paraId="6469B41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80" w:type="dxa"/>
            <w:shd w:val="clear" w:color="auto" w:fill="C6EFCE"/>
            <w:noWrap/>
          </w:tcPr>
          <w:p w14:paraId="462F5410" w14:textId="77777777" w:rsidR="00A00259" w:rsidRDefault="00371282">
            <w:pPr>
              <w:pStyle w:val="P68B1DB1-Normal12"/>
              <w:spacing w:after="0" w:line="240" w:lineRule="auto"/>
              <w:rPr>
                <w:rFonts w:eastAsia="Times New Roman"/>
                <w:noProof/>
              </w:rPr>
            </w:pPr>
            <w:r>
              <w:rPr>
                <w:noProof/>
              </w:rPr>
              <w:t>T4</w:t>
            </w:r>
          </w:p>
        </w:tc>
        <w:tc>
          <w:tcPr>
            <w:tcW w:w="840" w:type="dxa"/>
            <w:shd w:val="clear" w:color="auto" w:fill="C6EFCE"/>
            <w:noWrap/>
          </w:tcPr>
          <w:p w14:paraId="20B8C501" w14:textId="77777777" w:rsidR="00A00259" w:rsidRDefault="00371282">
            <w:pPr>
              <w:pStyle w:val="P68B1DB1-Normal12"/>
              <w:spacing w:after="0" w:line="240" w:lineRule="auto"/>
              <w:rPr>
                <w:rFonts w:eastAsia="Times New Roman"/>
                <w:noProof/>
              </w:rPr>
            </w:pPr>
            <w:r>
              <w:rPr>
                <w:noProof/>
              </w:rPr>
              <w:t>2024</w:t>
            </w:r>
          </w:p>
        </w:tc>
        <w:tc>
          <w:tcPr>
            <w:tcW w:w="4001" w:type="dxa"/>
            <w:shd w:val="clear" w:color="auto" w:fill="C6EFCE"/>
            <w:noWrap/>
          </w:tcPr>
          <w:p w14:paraId="6B6A6D02" w14:textId="77777777" w:rsidR="00A00259" w:rsidRDefault="00371282">
            <w:pPr>
              <w:pStyle w:val="P68B1DB1-Normal12"/>
              <w:spacing w:after="0" w:line="240" w:lineRule="auto"/>
              <w:rPr>
                <w:rFonts w:eastAsia="Times New Roman"/>
                <w:noProof/>
              </w:rPr>
            </w:pPr>
            <w:r>
              <w:rPr>
                <w:noProof/>
              </w:rPr>
              <w:t>Entrée en vigueur de l'accord de mise en œuvre.</w:t>
            </w:r>
          </w:p>
        </w:tc>
      </w:tr>
      <w:tr w:rsidR="00A00259" w14:paraId="48FC959A" w14:textId="77777777">
        <w:trPr>
          <w:trHeight w:val="314"/>
          <w:jc w:val="center"/>
        </w:trPr>
        <w:tc>
          <w:tcPr>
            <w:tcW w:w="704" w:type="dxa"/>
            <w:shd w:val="clear" w:color="auto" w:fill="C6EFCE"/>
            <w:noWrap/>
            <w:hideMark/>
          </w:tcPr>
          <w:p w14:paraId="24A62997" w14:textId="77777777" w:rsidR="00A00259" w:rsidRDefault="00371282">
            <w:pPr>
              <w:pStyle w:val="P68B1DB1-Normal12"/>
              <w:spacing w:after="0" w:line="240" w:lineRule="auto"/>
              <w:rPr>
                <w:noProof/>
              </w:rPr>
            </w:pPr>
            <w:r>
              <w:rPr>
                <w:noProof/>
              </w:rPr>
              <w:t>379</w:t>
            </w:r>
          </w:p>
        </w:tc>
        <w:tc>
          <w:tcPr>
            <w:tcW w:w="1701" w:type="dxa"/>
            <w:shd w:val="clear" w:color="auto" w:fill="C6EFCE"/>
            <w:noWrap/>
            <w:hideMark/>
          </w:tcPr>
          <w:p w14:paraId="15963FA1" w14:textId="77777777" w:rsidR="00A00259" w:rsidRDefault="00371282">
            <w:pPr>
              <w:pStyle w:val="P68B1DB1-Normal12"/>
              <w:spacing w:after="0" w:line="240" w:lineRule="auto"/>
              <w:rPr>
                <w:rFonts w:eastAsia="Times New Roman"/>
                <w:noProof/>
              </w:rPr>
            </w:pPr>
            <w:r>
              <w:rPr>
                <w:noProof/>
              </w:rPr>
              <w:t>11 - 3.4. «Améliorer l’accès à des politiques sociales efficaces et inclusives» - 16400_ Programme de logement abordable «My Home II»</w:t>
            </w:r>
          </w:p>
        </w:tc>
        <w:tc>
          <w:tcPr>
            <w:tcW w:w="1197" w:type="dxa"/>
            <w:shd w:val="clear" w:color="auto" w:fill="C6EFCE"/>
            <w:noWrap/>
          </w:tcPr>
          <w:p w14:paraId="4013B8B0" w14:textId="77777777" w:rsidR="00A00259" w:rsidRDefault="00371282">
            <w:pPr>
              <w:pStyle w:val="P68B1DB1-Normal23"/>
              <w:spacing w:after="0" w:line="240" w:lineRule="auto"/>
              <w:rPr>
                <w:noProof/>
              </w:rPr>
            </w:pPr>
            <w:r>
              <w:rPr>
                <w:noProof/>
              </w:rPr>
              <w:t>Objectif</w:t>
            </w:r>
          </w:p>
        </w:tc>
        <w:tc>
          <w:tcPr>
            <w:tcW w:w="1320" w:type="dxa"/>
            <w:shd w:val="clear" w:color="auto" w:fill="C6EFCE"/>
            <w:noWrap/>
          </w:tcPr>
          <w:p w14:paraId="4FA1106D" w14:textId="77777777" w:rsidR="00A00259" w:rsidRDefault="00371282">
            <w:pPr>
              <w:pStyle w:val="P68B1DB1-Normal12"/>
              <w:spacing w:after="0" w:line="240" w:lineRule="auto"/>
              <w:rPr>
                <w:rFonts w:eastAsia="Times New Roman"/>
                <w:noProof/>
              </w:rPr>
            </w:pPr>
            <w:r>
              <w:rPr>
                <w:noProof/>
              </w:rPr>
              <w:t>My Home II - Conventions juridiques signées avec les bénéficiaires finaux - 50%</w:t>
            </w:r>
          </w:p>
        </w:tc>
        <w:tc>
          <w:tcPr>
            <w:tcW w:w="1560" w:type="dxa"/>
            <w:shd w:val="clear" w:color="auto" w:fill="C6EFCE"/>
            <w:noWrap/>
          </w:tcPr>
          <w:p w14:paraId="7100134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320" w:type="dxa"/>
            <w:shd w:val="clear" w:color="auto" w:fill="C6EFCE"/>
            <w:noWrap/>
          </w:tcPr>
          <w:p w14:paraId="2AF0FB17" w14:textId="77777777" w:rsidR="00A00259" w:rsidRDefault="00371282">
            <w:pPr>
              <w:pStyle w:val="P68B1DB1-Normal12"/>
              <w:spacing w:after="0" w:line="240" w:lineRule="auto"/>
              <w:rPr>
                <w:rFonts w:eastAsia="Times New Roman"/>
                <w:noProof/>
              </w:rPr>
            </w:pPr>
            <w:r>
              <w:rPr>
                <w:noProof/>
              </w:rPr>
              <w:t>Pourcentage (%)</w:t>
            </w:r>
          </w:p>
        </w:tc>
        <w:tc>
          <w:tcPr>
            <w:tcW w:w="1200" w:type="dxa"/>
            <w:shd w:val="clear" w:color="auto" w:fill="C6EFCE"/>
            <w:noWrap/>
          </w:tcPr>
          <w:p w14:paraId="79DD68E9" w14:textId="77777777" w:rsidR="00A00259" w:rsidRDefault="00371282">
            <w:pPr>
              <w:pStyle w:val="P68B1DB1-Normal12"/>
              <w:spacing w:after="0" w:line="240" w:lineRule="auto"/>
              <w:rPr>
                <w:rFonts w:eastAsia="Times New Roman"/>
                <w:noProof/>
              </w:rPr>
            </w:pPr>
            <w:r>
              <w:rPr>
                <w:noProof/>
              </w:rPr>
              <w:t>0%</w:t>
            </w:r>
          </w:p>
        </w:tc>
        <w:tc>
          <w:tcPr>
            <w:tcW w:w="960" w:type="dxa"/>
            <w:shd w:val="clear" w:color="auto" w:fill="C6EFCE"/>
            <w:noWrap/>
          </w:tcPr>
          <w:p w14:paraId="3E0E9E64" w14:textId="77777777" w:rsidR="00A00259" w:rsidRDefault="00371282">
            <w:pPr>
              <w:pStyle w:val="P68B1DB1-Normal12"/>
              <w:spacing w:after="0" w:line="240" w:lineRule="auto"/>
              <w:rPr>
                <w:rFonts w:eastAsia="Times New Roman"/>
                <w:noProof/>
              </w:rPr>
            </w:pPr>
            <w:r>
              <w:rPr>
                <w:noProof/>
              </w:rPr>
              <w:t>50%</w:t>
            </w:r>
          </w:p>
        </w:tc>
        <w:tc>
          <w:tcPr>
            <w:tcW w:w="1080" w:type="dxa"/>
            <w:shd w:val="clear" w:color="auto" w:fill="C6EFCE"/>
            <w:noWrap/>
          </w:tcPr>
          <w:p w14:paraId="51DF43F5" w14:textId="77777777" w:rsidR="00A00259" w:rsidRDefault="00371282">
            <w:pPr>
              <w:pStyle w:val="P68B1DB1-Normal12"/>
              <w:spacing w:after="0" w:line="240" w:lineRule="auto"/>
              <w:rPr>
                <w:rFonts w:eastAsia="Times New Roman"/>
                <w:noProof/>
              </w:rPr>
            </w:pPr>
            <w:r>
              <w:rPr>
                <w:noProof/>
              </w:rPr>
              <w:t>T4</w:t>
            </w:r>
          </w:p>
        </w:tc>
        <w:tc>
          <w:tcPr>
            <w:tcW w:w="840" w:type="dxa"/>
            <w:shd w:val="clear" w:color="auto" w:fill="C6EFCE"/>
            <w:noWrap/>
          </w:tcPr>
          <w:p w14:paraId="7D3F01D7" w14:textId="77777777" w:rsidR="00A00259" w:rsidRDefault="00371282">
            <w:pPr>
              <w:pStyle w:val="P68B1DB1-Normal12"/>
              <w:spacing w:after="0" w:line="240" w:lineRule="auto"/>
              <w:rPr>
                <w:rFonts w:eastAsia="Times New Roman"/>
                <w:noProof/>
              </w:rPr>
            </w:pPr>
            <w:r>
              <w:rPr>
                <w:noProof/>
              </w:rPr>
              <w:t>2025</w:t>
            </w:r>
          </w:p>
        </w:tc>
        <w:tc>
          <w:tcPr>
            <w:tcW w:w="4001" w:type="dxa"/>
            <w:shd w:val="clear" w:color="auto" w:fill="C6EFCE"/>
            <w:noWrap/>
          </w:tcPr>
          <w:p w14:paraId="75368E43" w14:textId="77777777" w:rsidR="00A00259" w:rsidRDefault="00371282">
            <w:pPr>
              <w:pStyle w:val="P68B1DB1-Normal12"/>
              <w:spacing w:after="0" w:line="240" w:lineRule="auto"/>
              <w:rPr>
                <w:rFonts w:eastAsia="Times New Roman"/>
                <w:noProof/>
              </w:rPr>
            </w:pPr>
            <w:r>
              <w:rPr>
                <w:noProof/>
              </w:rPr>
              <w:t>Les intermédiaires financiers doivent avoir conclu des conventions de financement légales avec les bénéficiaires finaux pour un montant nécessaire à l’utilisation d’au moins 50 % de l’investissement de la FRR dans la facilité «My Home II» (en tenant compte des frais de gestion).</w:t>
            </w:r>
          </w:p>
        </w:tc>
      </w:tr>
      <w:tr w:rsidR="00A00259" w14:paraId="7BE01A7F" w14:textId="77777777">
        <w:trPr>
          <w:trHeight w:val="314"/>
          <w:jc w:val="center"/>
        </w:trPr>
        <w:tc>
          <w:tcPr>
            <w:tcW w:w="704" w:type="dxa"/>
            <w:shd w:val="clear" w:color="auto" w:fill="C6EFCE"/>
            <w:noWrap/>
          </w:tcPr>
          <w:p w14:paraId="1D041920" w14:textId="77777777" w:rsidR="00A00259" w:rsidRDefault="00371282">
            <w:pPr>
              <w:pStyle w:val="P68B1DB1-Normal12"/>
              <w:spacing w:after="0" w:line="240" w:lineRule="auto"/>
              <w:rPr>
                <w:noProof/>
              </w:rPr>
            </w:pPr>
            <w:r>
              <w:rPr>
                <w:noProof/>
              </w:rPr>
              <w:t>380</w:t>
            </w:r>
          </w:p>
        </w:tc>
        <w:tc>
          <w:tcPr>
            <w:tcW w:w="1701" w:type="dxa"/>
            <w:shd w:val="clear" w:color="auto" w:fill="C6EFCE"/>
            <w:noWrap/>
          </w:tcPr>
          <w:p w14:paraId="4144B4D8" w14:textId="77777777" w:rsidR="00A00259" w:rsidRDefault="00371282">
            <w:pPr>
              <w:pStyle w:val="P68B1DB1-Normal12"/>
              <w:spacing w:after="0" w:line="240" w:lineRule="auto"/>
              <w:rPr>
                <w:noProof/>
              </w:rPr>
            </w:pPr>
            <w:r>
              <w:rPr>
                <w:noProof/>
              </w:rPr>
              <w:t>11 - 3.4. «Améliorer l’accès à des politiques sociales efficaces et inclusives» - 16400_ Programme de logement abordable «My Home II»</w:t>
            </w:r>
          </w:p>
        </w:tc>
        <w:tc>
          <w:tcPr>
            <w:tcW w:w="1197" w:type="dxa"/>
            <w:shd w:val="clear" w:color="auto" w:fill="C6EFCE"/>
            <w:noWrap/>
          </w:tcPr>
          <w:p w14:paraId="03DAA29B" w14:textId="77777777" w:rsidR="00A00259" w:rsidRDefault="00371282">
            <w:pPr>
              <w:pStyle w:val="P68B1DB1-Normal23"/>
              <w:spacing w:after="0" w:line="240" w:lineRule="auto"/>
              <w:rPr>
                <w:noProof/>
              </w:rPr>
            </w:pPr>
            <w:r>
              <w:rPr>
                <w:noProof/>
              </w:rPr>
              <w:t>Objectif</w:t>
            </w:r>
          </w:p>
        </w:tc>
        <w:tc>
          <w:tcPr>
            <w:tcW w:w="1320" w:type="dxa"/>
            <w:shd w:val="clear" w:color="auto" w:fill="C6EFCE"/>
            <w:noWrap/>
          </w:tcPr>
          <w:p w14:paraId="759CC981" w14:textId="6EE4398C" w:rsidR="00A00259" w:rsidRDefault="00371282">
            <w:pPr>
              <w:pStyle w:val="P68B1DB1-Normal12"/>
              <w:spacing w:after="0" w:line="240" w:lineRule="auto"/>
              <w:rPr>
                <w:rFonts w:eastAsia="Times New Roman"/>
                <w:noProof/>
              </w:rPr>
            </w:pPr>
            <w:r>
              <w:rPr>
                <w:noProof/>
              </w:rPr>
              <w:t>My Home II - Conventions juridiques signées avec les bénéficiaires finaux - 100%</w:t>
            </w:r>
          </w:p>
        </w:tc>
        <w:tc>
          <w:tcPr>
            <w:tcW w:w="1560" w:type="dxa"/>
            <w:shd w:val="clear" w:color="auto" w:fill="C6EFCE"/>
            <w:noWrap/>
          </w:tcPr>
          <w:p w14:paraId="1AEB58B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320" w:type="dxa"/>
            <w:shd w:val="clear" w:color="auto" w:fill="C6EFCE"/>
            <w:noWrap/>
          </w:tcPr>
          <w:p w14:paraId="51B75240" w14:textId="514555CA" w:rsidR="00A00259" w:rsidRDefault="00371282">
            <w:pPr>
              <w:pStyle w:val="P68B1DB1-Normal12"/>
              <w:spacing w:after="0" w:line="240" w:lineRule="auto"/>
              <w:rPr>
                <w:rFonts w:eastAsia="Times New Roman"/>
                <w:noProof/>
              </w:rPr>
            </w:pPr>
            <w:r>
              <w:rPr>
                <w:noProof/>
              </w:rPr>
              <w:t>Pourcentage (%)</w:t>
            </w:r>
          </w:p>
        </w:tc>
        <w:tc>
          <w:tcPr>
            <w:tcW w:w="1200" w:type="dxa"/>
            <w:shd w:val="clear" w:color="auto" w:fill="C6EFCE"/>
            <w:noWrap/>
          </w:tcPr>
          <w:p w14:paraId="00DB3F10" w14:textId="264BA82A" w:rsidR="00A00259" w:rsidRDefault="00371282">
            <w:pPr>
              <w:pStyle w:val="P68B1DB1-Normal12"/>
              <w:spacing w:after="0" w:line="240" w:lineRule="auto"/>
              <w:rPr>
                <w:rFonts w:eastAsia="Times New Roman"/>
                <w:noProof/>
              </w:rPr>
            </w:pPr>
            <w:r>
              <w:rPr>
                <w:noProof/>
              </w:rPr>
              <w:t>50%</w:t>
            </w:r>
          </w:p>
        </w:tc>
        <w:tc>
          <w:tcPr>
            <w:tcW w:w="960" w:type="dxa"/>
            <w:shd w:val="clear" w:color="auto" w:fill="C6EFCE"/>
            <w:noWrap/>
          </w:tcPr>
          <w:p w14:paraId="760F0C2C" w14:textId="19B5C9F6" w:rsidR="00A00259" w:rsidRDefault="00371282">
            <w:pPr>
              <w:pStyle w:val="P68B1DB1-Normal12"/>
              <w:spacing w:after="0" w:line="240" w:lineRule="auto"/>
              <w:rPr>
                <w:rFonts w:eastAsia="Times New Roman"/>
                <w:noProof/>
              </w:rPr>
            </w:pPr>
            <w:r>
              <w:rPr>
                <w:noProof/>
              </w:rPr>
              <w:t>100%</w:t>
            </w:r>
          </w:p>
        </w:tc>
        <w:tc>
          <w:tcPr>
            <w:tcW w:w="1080" w:type="dxa"/>
            <w:shd w:val="clear" w:color="auto" w:fill="C6EFCE"/>
            <w:noWrap/>
          </w:tcPr>
          <w:p w14:paraId="3A52D924" w14:textId="77777777" w:rsidR="00A00259" w:rsidRDefault="00371282">
            <w:pPr>
              <w:pStyle w:val="P68B1DB1-Normal12"/>
              <w:spacing w:after="0" w:line="240" w:lineRule="auto"/>
              <w:rPr>
                <w:rFonts w:eastAsia="Times New Roman"/>
                <w:noProof/>
              </w:rPr>
            </w:pPr>
            <w:r>
              <w:rPr>
                <w:noProof/>
              </w:rPr>
              <w:t>T2</w:t>
            </w:r>
          </w:p>
        </w:tc>
        <w:tc>
          <w:tcPr>
            <w:tcW w:w="840" w:type="dxa"/>
            <w:shd w:val="clear" w:color="auto" w:fill="C6EFCE"/>
            <w:noWrap/>
          </w:tcPr>
          <w:p w14:paraId="17610156" w14:textId="77777777" w:rsidR="00A00259" w:rsidRDefault="00371282">
            <w:pPr>
              <w:pStyle w:val="P68B1DB1-Normal12"/>
              <w:spacing w:after="0" w:line="240" w:lineRule="auto"/>
              <w:rPr>
                <w:rFonts w:eastAsia="Times New Roman"/>
                <w:noProof/>
              </w:rPr>
            </w:pPr>
            <w:r>
              <w:rPr>
                <w:noProof/>
              </w:rPr>
              <w:t>2026</w:t>
            </w:r>
          </w:p>
        </w:tc>
        <w:tc>
          <w:tcPr>
            <w:tcW w:w="4001" w:type="dxa"/>
            <w:shd w:val="clear" w:color="auto" w:fill="C6EFCE"/>
            <w:noWrap/>
          </w:tcPr>
          <w:p w14:paraId="7F7D101D" w14:textId="0142C24E" w:rsidR="00A00259" w:rsidRDefault="00371282">
            <w:pPr>
              <w:pStyle w:val="P68B1DB1-Normal12"/>
              <w:spacing w:after="0" w:line="240" w:lineRule="auto"/>
              <w:rPr>
                <w:rFonts w:eastAsia="Times New Roman"/>
                <w:noProof/>
              </w:rPr>
            </w:pPr>
            <w:r>
              <w:rPr>
                <w:noProof/>
              </w:rPr>
              <w:t>Les intermédiaires financiers ont conclu des conventions de financement légales avec les bénéficiaires finaux pour un montant nécessaire à l’utilisation de 100 % de l’investissement de la FRR dans la facilité «My Home II» (en tenant compte des frais de gestion).</w:t>
            </w:r>
          </w:p>
        </w:tc>
      </w:tr>
      <w:tr w:rsidR="00A00259" w14:paraId="5E2F5ADA" w14:textId="77777777">
        <w:trPr>
          <w:trHeight w:val="314"/>
          <w:jc w:val="center"/>
        </w:trPr>
        <w:tc>
          <w:tcPr>
            <w:tcW w:w="704" w:type="dxa"/>
            <w:shd w:val="clear" w:color="auto" w:fill="C6EFCE"/>
            <w:noWrap/>
          </w:tcPr>
          <w:p w14:paraId="5F6584FA" w14:textId="77777777" w:rsidR="00A00259" w:rsidRDefault="00371282">
            <w:pPr>
              <w:pStyle w:val="P68B1DB1-Normal12"/>
              <w:spacing w:after="0" w:line="240" w:lineRule="auto"/>
              <w:rPr>
                <w:rFonts w:eastAsia="Times New Roman"/>
                <w:noProof/>
              </w:rPr>
            </w:pPr>
            <w:r>
              <w:rPr>
                <w:noProof/>
              </w:rPr>
              <w:t>381</w:t>
            </w:r>
          </w:p>
        </w:tc>
        <w:tc>
          <w:tcPr>
            <w:tcW w:w="1701" w:type="dxa"/>
            <w:shd w:val="clear" w:color="auto" w:fill="C6EFCE"/>
            <w:noWrap/>
          </w:tcPr>
          <w:p w14:paraId="54AB5AFD" w14:textId="16C10F3E" w:rsidR="00A00259" w:rsidRDefault="00371282">
            <w:pPr>
              <w:pStyle w:val="P68B1DB1-Normal12"/>
              <w:spacing w:after="0" w:line="240" w:lineRule="auto"/>
              <w:rPr>
                <w:noProof/>
              </w:rPr>
            </w:pPr>
            <w:r>
              <w:rPr>
                <w:noProof/>
              </w:rPr>
              <w:t>11 - 3.4. «Améliorer l’accès à des politiques sociales efficaces et inclusives» – 16 400 _ Programme de logement abordable «My Home II»</w:t>
            </w:r>
          </w:p>
        </w:tc>
        <w:tc>
          <w:tcPr>
            <w:tcW w:w="1197" w:type="dxa"/>
            <w:shd w:val="clear" w:color="auto" w:fill="C6EFCE"/>
            <w:noWrap/>
          </w:tcPr>
          <w:p w14:paraId="4CCE7287" w14:textId="77777777" w:rsidR="00A00259" w:rsidRDefault="00371282">
            <w:pPr>
              <w:pStyle w:val="P68B1DB1-Normal12"/>
              <w:spacing w:after="0" w:line="240" w:lineRule="auto"/>
              <w:rPr>
                <w:rFonts w:eastAsia="Times New Roman"/>
                <w:noProof/>
              </w:rPr>
            </w:pPr>
            <w:r>
              <w:rPr>
                <w:noProof/>
              </w:rPr>
              <w:t>Étape</w:t>
            </w:r>
          </w:p>
        </w:tc>
        <w:tc>
          <w:tcPr>
            <w:tcW w:w="1320" w:type="dxa"/>
            <w:shd w:val="clear" w:color="auto" w:fill="C6EFCE"/>
            <w:noWrap/>
          </w:tcPr>
          <w:p w14:paraId="270C7DFC" w14:textId="77777777" w:rsidR="00A00259" w:rsidRDefault="00371282">
            <w:pPr>
              <w:pStyle w:val="P68B1DB1-Normal12"/>
              <w:spacing w:after="0" w:line="240" w:lineRule="auto"/>
              <w:rPr>
                <w:rFonts w:eastAsia="Times New Roman"/>
                <w:noProof/>
              </w:rPr>
            </w:pPr>
            <w:r>
              <w:rPr>
                <w:noProof/>
              </w:rPr>
              <w:t>My Home II - Le ministère des Finances a terminé l'investissement</w:t>
            </w:r>
          </w:p>
        </w:tc>
        <w:tc>
          <w:tcPr>
            <w:tcW w:w="1560" w:type="dxa"/>
            <w:shd w:val="clear" w:color="auto" w:fill="C6EFCE"/>
            <w:noWrap/>
          </w:tcPr>
          <w:p w14:paraId="2549F754" w14:textId="77777777" w:rsidR="00A00259" w:rsidRDefault="00371282">
            <w:pPr>
              <w:pStyle w:val="P68B1DB1-Normal12"/>
              <w:spacing w:after="0" w:line="240" w:lineRule="auto"/>
              <w:rPr>
                <w:rFonts w:eastAsia="Times New Roman"/>
                <w:noProof/>
              </w:rPr>
            </w:pPr>
            <w:r>
              <w:rPr>
                <w:noProof/>
              </w:rPr>
              <w:t xml:space="preserve">Certificat de transfert </w:t>
            </w:r>
          </w:p>
        </w:tc>
        <w:tc>
          <w:tcPr>
            <w:tcW w:w="1320" w:type="dxa"/>
            <w:shd w:val="clear" w:color="auto" w:fill="C6EFCE"/>
            <w:noWrap/>
          </w:tcPr>
          <w:p w14:paraId="21A20FA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200" w:type="dxa"/>
            <w:shd w:val="clear" w:color="auto" w:fill="C6EFCE"/>
            <w:noWrap/>
          </w:tcPr>
          <w:p w14:paraId="613E839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0" w:type="dxa"/>
            <w:shd w:val="clear" w:color="auto" w:fill="C6EFCE"/>
            <w:noWrap/>
          </w:tcPr>
          <w:p w14:paraId="364ABAC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80" w:type="dxa"/>
            <w:shd w:val="clear" w:color="auto" w:fill="C6EFCE"/>
            <w:noWrap/>
          </w:tcPr>
          <w:p w14:paraId="6BEC415A" w14:textId="77777777" w:rsidR="00A00259" w:rsidRDefault="00371282">
            <w:pPr>
              <w:pStyle w:val="P68B1DB1-Normal12"/>
              <w:spacing w:after="0" w:line="240" w:lineRule="auto"/>
              <w:rPr>
                <w:rFonts w:eastAsia="Times New Roman"/>
                <w:noProof/>
              </w:rPr>
            </w:pPr>
            <w:r>
              <w:rPr>
                <w:noProof/>
              </w:rPr>
              <w:t>T2</w:t>
            </w:r>
          </w:p>
        </w:tc>
        <w:tc>
          <w:tcPr>
            <w:tcW w:w="840" w:type="dxa"/>
            <w:shd w:val="clear" w:color="auto" w:fill="C6EFCE"/>
            <w:noWrap/>
          </w:tcPr>
          <w:p w14:paraId="61940A76" w14:textId="77777777" w:rsidR="00A00259" w:rsidRDefault="00371282">
            <w:pPr>
              <w:pStyle w:val="P68B1DB1-Normal12"/>
              <w:spacing w:after="0" w:line="240" w:lineRule="auto"/>
              <w:rPr>
                <w:rFonts w:eastAsia="Times New Roman"/>
                <w:noProof/>
              </w:rPr>
            </w:pPr>
            <w:r>
              <w:rPr>
                <w:noProof/>
              </w:rPr>
              <w:t>2026</w:t>
            </w:r>
          </w:p>
        </w:tc>
        <w:tc>
          <w:tcPr>
            <w:tcW w:w="4001" w:type="dxa"/>
            <w:shd w:val="clear" w:color="auto" w:fill="C6EFCE"/>
            <w:noWrap/>
          </w:tcPr>
          <w:p w14:paraId="076238F2" w14:textId="4520DD63" w:rsidR="00A00259" w:rsidRDefault="00371282">
            <w:pPr>
              <w:pStyle w:val="P68B1DB1-Normal12"/>
              <w:spacing w:after="0" w:line="240" w:lineRule="auto"/>
              <w:rPr>
                <w:rFonts w:eastAsia="Times New Roman"/>
                <w:noProof/>
              </w:rPr>
            </w:pPr>
            <w:r>
              <w:rPr>
                <w:noProof/>
              </w:rPr>
              <w:t>La Grèce transfère 760 000 000 EUR à la Banque hellénique de développement pour la facilité.</w:t>
            </w:r>
          </w:p>
        </w:tc>
      </w:tr>
    </w:tbl>
    <w:p w14:paraId="59BD4D36" w14:textId="77777777" w:rsidR="00A00259" w:rsidRDefault="00A00259">
      <w:pPr>
        <w:spacing w:before="120" w:after="120" w:line="240" w:lineRule="auto"/>
        <w:jc w:val="both"/>
        <w:rPr>
          <w:rFonts w:ascii="Times New Roman" w:hAnsi="Times New Roman" w:cs="Times New Roman"/>
          <w:noProof/>
          <w:sz w:val="24"/>
        </w:rPr>
        <w:sectPr w:rsidR="00A00259">
          <w:headerReference w:type="even" r:id="rId246"/>
          <w:headerReference w:type="default" r:id="rId247"/>
          <w:footerReference w:type="even" r:id="rId248"/>
          <w:footerReference w:type="default" r:id="rId249"/>
          <w:headerReference w:type="first" r:id="rId250"/>
          <w:footerReference w:type="first" r:id="rId251"/>
          <w:pgSz w:w="16839" w:h="11907" w:orient="landscape"/>
          <w:pgMar w:top="1134" w:right="1134" w:bottom="1134" w:left="1134" w:header="567" w:footer="567" w:gutter="0"/>
          <w:cols w:space="720"/>
          <w:docGrid w:linePitch="360"/>
        </w:sectPr>
      </w:pPr>
    </w:p>
    <w:p w14:paraId="4E47FFA9" w14:textId="77777777" w:rsidR="00A00259" w:rsidRDefault="00371282">
      <w:pPr>
        <w:pStyle w:val="P68B1DB1-Normal17"/>
        <w:spacing w:before="120" w:after="120" w:line="240" w:lineRule="auto"/>
        <w:ind w:firstLine="6"/>
        <w:jc w:val="both"/>
        <w:outlineLvl w:val="3"/>
        <w:rPr>
          <w:rFonts w:cs="Times New Roman"/>
          <w:noProof/>
          <w:szCs w:val="24"/>
        </w:rPr>
      </w:pPr>
      <w:r>
        <w:rPr>
          <w:noProof/>
        </w:rPr>
        <w:t>L. ÉLÉMENT 4.1: AMÉLIORER LA CROISSANCE DES TAXES ET AMÉLIORER L'ADMINISTRATION ET LA COLLECTION DES TAXES</w:t>
      </w:r>
    </w:p>
    <w:p w14:paraId="3B27D794" w14:textId="77777777" w:rsidR="00A00259" w:rsidRDefault="00371282">
      <w:pPr>
        <w:pStyle w:val="P68B1DB1-Normal5"/>
        <w:spacing w:before="120" w:after="120" w:line="240" w:lineRule="auto"/>
        <w:jc w:val="both"/>
        <w:rPr>
          <w:rFonts w:cs="Times New Roman"/>
          <w:noProof/>
        </w:rPr>
      </w:pPr>
      <w:r>
        <w:rPr>
          <w:noProof/>
        </w:rPr>
        <w:t>Ce volet du plan grec pour la reprise et la résilience comprend des réformes et des investissements ciblés visant à continuer d’améliorer le fonctionnement de l’administration des recettes publiques et à lutter contre l’évasion fiscale. Premièrement, cette composante comprend des réformes de la politique fiscale, afin de faciliter la codification de la législation fiscale, ainsi que d’introduire des incitations pour renforcer les transactions électroniques, promouvoir les investissements privés verts et numériques et accroître la taille des entreprises. Deuxièmement, le volet comprend des réformes et des investissements visant à transformer l’administration des recettes publiques, grâce à la numérisation des processus et à l’introduction d’initiatives législatives visant à lutter contre la contrebande et à promouvoir l’accélération des remboursements de TVA.</w:t>
      </w:r>
    </w:p>
    <w:p w14:paraId="028612CD" w14:textId="77777777" w:rsidR="00A00259" w:rsidRDefault="00371282">
      <w:pPr>
        <w:pStyle w:val="P68B1DB1-Normal7"/>
        <w:spacing w:before="120" w:after="120" w:line="240" w:lineRule="auto"/>
        <w:jc w:val="both"/>
        <w:rPr>
          <w:rFonts w:cs="Times New Roman"/>
          <w:noProof/>
        </w:rPr>
      </w:pPr>
      <w:r>
        <w:rPr>
          <w:noProof/>
        </w:rPr>
        <w:t>Ce volet contribue à la transition numérique, grâce au remplacement et à la mise à niveau des systèmes numériques de base de l’Autorité indépendante des recettes publiques (IAPR), à l’introduction de processus bureautiques et de travail automatisés, à la numérisation des audits et des contrôles, ainsi qu’à la mise à jour et à l’amélioration des services en ligne destinés aux contribuables.</w:t>
      </w:r>
    </w:p>
    <w:p w14:paraId="6C8BE144" w14:textId="77777777" w:rsidR="00A00259" w:rsidRDefault="00371282">
      <w:pPr>
        <w:pStyle w:val="P68B1DB1-Normal5"/>
        <w:spacing w:before="120" w:after="120" w:line="240" w:lineRule="auto"/>
        <w:jc w:val="both"/>
        <w:rPr>
          <w:rFonts w:cs="Times New Roman"/>
          <w:noProof/>
          <w:szCs w:val="24"/>
        </w:rPr>
      </w:pPr>
      <w:r>
        <w:rPr>
          <w:noProof/>
        </w:rPr>
        <w:t>Ce volet soutient la mise en œuvre des recommandations par pays concernant les investissements publics et privés (recommandation par pays no 3 de 2020), les réformes structurelles visant à améliorer le fonctionnement de l’économie (recommandation par pays no 4 de 2020) et la politique fiscale et l’administration fiscale (recommandation par pays no 1 de 2022 et recommandation par pays no 1 de 2023). 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4D4DE0A5" w14:textId="77777777" w:rsidR="00A00259" w:rsidRDefault="00371282">
      <w:pPr>
        <w:pStyle w:val="P68B1DB1-Normal6"/>
        <w:spacing w:before="120" w:after="120" w:line="240" w:lineRule="auto"/>
        <w:jc w:val="both"/>
        <w:rPr>
          <w:rFonts w:cs="Times New Roman"/>
          <w:bCs/>
          <w:i/>
          <w:iCs/>
          <w:noProof/>
          <w:color w:val="4F81BD"/>
        </w:rPr>
      </w:pPr>
      <w:r>
        <w:rPr>
          <w:noProof/>
        </w:rPr>
        <w:t>L.1. Description des réformes et des investissements pour le soutien financier non remboursable</w:t>
      </w:r>
    </w:p>
    <w:p w14:paraId="3FAFFCEC"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Transformation numérique des contrôles fiscaux (mesure ID 16611)</w:t>
      </w:r>
    </w:p>
    <w:p w14:paraId="5D86C18D" w14:textId="77777777" w:rsidR="00A00259" w:rsidRDefault="00371282">
      <w:pPr>
        <w:pStyle w:val="P68B1DB1-Normal8"/>
        <w:spacing w:before="120" w:after="120" w:line="240" w:lineRule="auto"/>
        <w:jc w:val="both"/>
        <w:rPr>
          <w:rFonts w:ascii="Times New Roman" w:hAnsi="Times New Roman"/>
          <w:noProof/>
        </w:rPr>
      </w:pPr>
      <w:r>
        <w:rPr>
          <w:rFonts w:ascii="Times New Roman" w:hAnsi="Times New Roman"/>
          <w:noProof/>
        </w:rPr>
        <w:t>L’objectif de l’investissement est i) de faciliter le remplissage automatique des déclarations fiscales, ii) d’améliorer l’efficacité des contrôles fiscaux et de la perception des recettes publiques et iii) d’accroître l’efficacité des contrôles fiscaux et de lutter contre la contrebande.</w:t>
      </w:r>
      <w:r>
        <w:rPr>
          <w:rFonts w:asciiTheme="minorHAnsi" w:eastAsiaTheme="minorEastAsia" w:hAnsiTheme="minorHAnsi" w:cstheme="minorBidi"/>
          <w:noProof/>
        </w:rPr>
        <w:t xml:space="preserve"> </w:t>
      </w:r>
      <w:r>
        <w:rPr>
          <w:rFonts w:ascii="Times New Roman" w:hAnsi="Times New Roman"/>
          <w:noProof/>
        </w:rPr>
        <w:t>La mesure consiste à fournir le système d’intelligence d’affaires/d’analyse de données et à mettre en service le système «ELEGXOSlive».</w:t>
      </w:r>
    </w:p>
    <w:p w14:paraId="15BC1392"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Codification et simplification de la législation fiscale (mesure ID 16643)</w:t>
      </w:r>
    </w:p>
    <w:p w14:paraId="6B47773E" w14:textId="77777777" w:rsidR="00A00259" w:rsidRDefault="00371282">
      <w:pPr>
        <w:pStyle w:val="P68B1DB1-Normal7"/>
        <w:spacing w:before="120" w:after="120" w:line="240" w:lineRule="auto"/>
        <w:jc w:val="both"/>
        <w:rPr>
          <w:noProof/>
        </w:rPr>
      </w:pPr>
      <w:r>
        <w:rPr>
          <w:noProof/>
        </w:rPr>
        <w:t xml:space="preserve">L’objectif de la mesure est de renforcer la transparence de la législation fiscale et douanière et de garantir la sécurité juridique pour l’administration fiscale, les contribuables et les entreprises. </w:t>
      </w:r>
    </w:p>
    <w:p w14:paraId="2FB66FFF" w14:textId="77777777" w:rsidR="00A00259" w:rsidRDefault="00371282">
      <w:pPr>
        <w:pStyle w:val="P68B1DB1-Normal7"/>
        <w:spacing w:before="120" w:after="120" w:line="240" w:lineRule="auto"/>
        <w:jc w:val="both"/>
        <w:rPr>
          <w:noProof/>
        </w:rPr>
      </w:pPr>
      <w:r>
        <w:rPr>
          <w:noProof/>
        </w:rPr>
        <w:t>La mesure consiste en la codification de la législation fiscale et douanière primaire et secondaire et sa publication sur un site web dédié aux contribuables.</w:t>
      </w:r>
    </w:p>
    <w:p w14:paraId="04F367D3"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Promouvoir l'accélération des remboursements de TVA (mesure ID 16610)</w:t>
      </w:r>
    </w:p>
    <w:p w14:paraId="08E2C97F" w14:textId="77777777" w:rsidR="00A00259" w:rsidRDefault="00371282">
      <w:pPr>
        <w:pStyle w:val="P68B1DB1-Normal7"/>
        <w:spacing w:before="120" w:after="120" w:line="240" w:lineRule="auto"/>
        <w:jc w:val="both"/>
        <w:rPr>
          <w:rFonts w:ascii="card" w:hAnsi="card" w:cs="Times New Roman"/>
          <w:noProof/>
        </w:rPr>
      </w:pPr>
      <w:r>
        <w:rPr>
          <w:noProof/>
        </w:rPr>
        <w:t>L’IAPR simplifie les processus administratifs des remboursements de TVA pour les entreprises, grâce à la mise en œuvre de procédures automatisées de remboursement de la TVA, à la soumission électronique et à la facilitation d’un processus d’analyse des risques pour les demandes de remboursement. Le nouveau processus vise à limiter l'intervention humaine par le biais de transactions numériques et à lutter contre les retards dans les remboursements de TVA. La réforme doit être conforme à la directive sur le remboursement de la TVA (directive 2008/9/CE du Conseil). La mise en œuvre de la réforme est achevée au plus tard le 31 décembre 2023.</w:t>
      </w:r>
    </w:p>
    <w:p w14:paraId="7F58B751"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Adoption de mesures et d’incitations visant à accroître les transactions électroniques (mesure ID 16616)</w:t>
      </w:r>
    </w:p>
    <w:p w14:paraId="097DA8BF" w14:textId="77777777" w:rsidR="00A00259" w:rsidRDefault="00371282">
      <w:pPr>
        <w:pStyle w:val="P68B1DB1-Normal5"/>
        <w:spacing w:before="120" w:after="120" w:line="240" w:lineRule="auto"/>
        <w:jc w:val="both"/>
        <w:rPr>
          <w:rFonts w:cs="Times New Roman"/>
          <w:noProof/>
        </w:rPr>
      </w:pPr>
      <w:r>
        <w:rPr>
          <w:noProof/>
        </w:rPr>
        <w:t>La réforme vise à alléger la charge administrative pesant sur les entreprises et à améliorer le respect des obligations fiscales en encourageant les transactions électroniques. L’IAPR utilisera le système myDATA pour la comptabilité électronique, la facturation électronique et la connexion de toutes les caisses enregistreuses fiscales à ses systèmes informatiques afin de faciliter le remplissage automatique des déclarations fiscales et d’améliorer l’efficacité des contrôles fiscaux. La mise en œuvre des incitations fiscales de la réforme est achevée au plus tard le 31 décembre 2023.</w:t>
      </w:r>
    </w:p>
    <w:p w14:paraId="34BF66DA"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Super-déduction des dépenses des PME en faveur de l’économie verte, de l’énergie et de la transition numérique (mesure ID 16863)</w:t>
      </w:r>
    </w:p>
    <w:p w14:paraId="2DD98D44" w14:textId="77777777" w:rsidR="00A00259" w:rsidRDefault="00371282">
      <w:pPr>
        <w:pStyle w:val="P68B1DB1-Normal5"/>
        <w:spacing w:before="120" w:after="120" w:line="240" w:lineRule="auto"/>
        <w:jc w:val="both"/>
        <w:rPr>
          <w:rFonts w:cs="Times New Roman"/>
          <w:noProof/>
        </w:rPr>
      </w:pPr>
      <w:r>
        <w:rPr>
          <w:noProof/>
        </w:rPr>
        <w:t>La réforme consiste en des incitations fiscales pour la super-déduction des dépenses afin de renforcer les investissements des petites et moyennes entreprises dans les équipements liés à l’adaptation au changement climatique, à la promotion de l’économie circulaire et à la numérisation. Elle est pleinement conforme aux règles de l’UE en matière d’aides d’État. La mise en œuvre des incitations fiscales de la réforme est achevée au plus tard le 31 décembre 2024.</w:t>
      </w:r>
    </w:p>
    <w:p w14:paraId="0E0D3BE7"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Nouveau cadre pour la lutte contre la contrebande, principalement pour les produits soumis à accises (tabac, alcool et énergie) (mesure ID 16656)</w:t>
      </w:r>
    </w:p>
    <w:p w14:paraId="2CBFCA5C" w14:textId="77777777" w:rsidR="00A00259" w:rsidRDefault="00371282">
      <w:pPr>
        <w:pStyle w:val="P68B1DB1-Normal5"/>
        <w:spacing w:before="120" w:after="120" w:line="240" w:lineRule="auto"/>
        <w:jc w:val="both"/>
        <w:rPr>
          <w:rFonts w:cs="Times New Roman"/>
          <w:noProof/>
        </w:rPr>
      </w:pPr>
      <w:r>
        <w:rPr>
          <w:noProof/>
        </w:rPr>
        <w:t>La réforme vise à soutenir la lutte contre la contrebande, en particulier pour les produits soumis à accises (tabac, alcool, énergie) par la modernisation des systèmes de suivi, des procédures d’audit et des équipements des douanes afin d’accroître l’efficacité des audits de fret. Cela nécessite également la mise à niveau des systèmes informatiques de l’IAPR nécessaires pour obtenir des informations à partir des bases de données européennes et nationales. La mise en œuvre de la réforme est achevée au plus tard le 31 décembre 2025.</w:t>
      </w:r>
    </w:p>
    <w:p w14:paraId="54C30329" w14:textId="77777777" w:rsidR="00A00259" w:rsidRDefault="00371282">
      <w:pPr>
        <w:pStyle w:val="P68B1DB1-Normal7"/>
        <w:spacing w:before="120" w:after="120" w:line="240" w:lineRule="auto"/>
        <w:jc w:val="both"/>
        <w:rPr>
          <w:rFonts w:cs="Times New Roman"/>
          <w:noProof/>
        </w:rPr>
      </w:pPr>
      <w:r>
        <w:rPr>
          <w:b/>
          <w:noProof/>
        </w:rPr>
        <w:t xml:space="preserve">Réforme: Caisses enregistreuses </w:t>
      </w:r>
      <w:r>
        <w:rPr>
          <w:noProof/>
        </w:rPr>
        <w:t>en ligne &amp; POS (mesure ID 16614)</w:t>
      </w:r>
    </w:p>
    <w:p w14:paraId="585D30A2" w14:textId="77777777" w:rsidR="00A00259" w:rsidRDefault="00371282">
      <w:pPr>
        <w:pStyle w:val="P68B1DB1-Normal7"/>
        <w:spacing w:before="120" w:after="120" w:line="240" w:lineRule="auto"/>
        <w:jc w:val="both"/>
        <w:rPr>
          <w:rFonts w:cs="Times New Roman"/>
          <w:noProof/>
        </w:rPr>
      </w:pPr>
      <w:r>
        <w:rPr>
          <w:noProof/>
        </w:rPr>
        <w:t>L'IAPR élabore un cadre visant à faciliter la connexion des caisses enregistreuses aux terminaux des points de vente et à ses systèmes informatiques. Le projet comprend: i) la mise en place de spécifications pour l’interconnexion des caisses enregistreuses avec les terminaux de point de vente afin de certifier que chaque transaction de point de vente est enregistrée dans la caisse enregistreuse et que les données produites sont transmises en temps quasi réel à l’IAPR; et ii) le développement d’infrastructures et d’applications pour le suivi des opérations de caisse enregistreuse et le soutien du mécanisme de contrôle. Une fois achevée, la mesure vise à limiter le potentiel de fraude fiscale et, à terme, à réduire l’écart de TVA. La mise en œuvre de la réforme est achevée au plus tard le 30 juin 2024.</w:t>
      </w:r>
    </w:p>
    <w:p w14:paraId="0A1F908B"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Transformation numérique de l’administration fiscale et douanière (mesure ID 16291)</w:t>
      </w:r>
    </w:p>
    <w:p w14:paraId="77F8E83A" w14:textId="77777777" w:rsidR="00A00259" w:rsidRDefault="00371282">
      <w:pPr>
        <w:pStyle w:val="P68B1DB1-Normal7"/>
        <w:spacing w:before="120" w:after="120" w:line="240" w:lineRule="auto"/>
        <w:jc w:val="both"/>
        <w:rPr>
          <w:rFonts w:cs="Times New Roman"/>
          <w:noProof/>
        </w:rPr>
      </w:pPr>
      <w:r>
        <w:rPr>
          <w:noProof/>
        </w:rPr>
        <w:t>L’investissement vise à réaliser la transformation numérique de l’administration et des services fiscaux, dans le but de renforcer la capacité de l’IAPR à remplir ses obligations en tant qu’autorité totalement indépendante (conformément à la loi d’habilitation 4389/2016 de l’IAPR) et d’améliorer ses performances globales en améliorant la qualité des services fournis aux particuliers et aux entreprises. Cet investissement consolide des sous-projets d’infrastructures numériques à mettre en œuvre par l’IAPR, classés en quatre domaines d’intervention:</w:t>
      </w:r>
    </w:p>
    <w:p w14:paraId="22F20111" w14:textId="77777777" w:rsidR="00A00259" w:rsidRDefault="00371282">
      <w:pPr>
        <w:pStyle w:val="P68B1DB1-ListParagraph47"/>
        <w:numPr>
          <w:ilvl w:val="0"/>
          <w:numId w:val="55"/>
        </w:numPr>
        <w:spacing w:before="120" w:after="120" w:line="240" w:lineRule="auto"/>
        <w:ind w:left="426" w:hanging="426"/>
        <w:jc w:val="both"/>
        <w:rPr>
          <w:rFonts w:cs="Times New Roman"/>
          <w:noProof/>
        </w:rPr>
      </w:pPr>
      <w:r>
        <w:rPr>
          <w:noProof/>
        </w:rPr>
        <w:t>le remplacement des systèmes numériques de base et l’extension de la fonctionnalité de la fourniture de services, y compris la mise en œuvre de mécanismes d’interopérabilité des systèmes d’information de l’IAPR avec les systèmes d’information sur les données bancaires;</w:t>
      </w:r>
    </w:p>
    <w:p w14:paraId="391FB6BA" w14:textId="77777777" w:rsidR="00A00259" w:rsidRDefault="00371282">
      <w:pPr>
        <w:pStyle w:val="P68B1DB1-ListParagraph47"/>
        <w:numPr>
          <w:ilvl w:val="0"/>
          <w:numId w:val="55"/>
        </w:numPr>
        <w:spacing w:before="120" w:after="120" w:line="240" w:lineRule="auto"/>
        <w:ind w:left="426" w:hanging="426"/>
        <w:jc w:val="both"/>
        <w:rPr>
          <w:rFonts w:cs="Times New Roman"/>
          <w:noProof/>
        </w:rPr>
      </w:pPr>
      <w:r>
        <w:rPr>
          <w:noProof/>
        </w:rPr>
        <w:t>Automatisation des processus de bureau et de travail;</w:t>
      </w:r>
    </w:p>
    <w:p w14:paraId="10B1D756" w14:textId="77777777" w:rsidR="00A00259" w:rsidRDefault="00371282">
      <w:pPr>
        <w:pStyle w:val="P68B1DB1-ListParagraph47"/>
        <w:numPr>
          <w:ilvl w:val="0"/>
          <w:numId w:val="55"/>
        </w:numPr>
        <w:spacing w:before="120" w:after="120" w:line="240" w:lineRule="auto"/>
        <w:ind w:left="426" w:hanging="426"/>
        <w:jc w:val="both"/>
        <w:rPr>
          <w:rFonts w:cs="Times New Roman"/>
          <w:noProof/>
        </w:rPr>
      </w:pPr>
      <w:r>
        <w:rPr>
          <w:noProof/>
        </w:rPr>
        <w:t>Numérisation des audits et des contrôles; et</w:t>
      </w:r>
    </w:p>
    <w:p w14:paraId="119EC8F3" w14:textId="77777777" w:rsidR="00A00259" w:rsidRDefault="00371282">
      <w:pPr>
        <w:pStyle w:val="P68B1DB1-ListParagraph47"/>
        <w:numPr>
          <w:ilvl w:val="0"/>
          <w:numId w:val="55"/>
        </w:numPr>
        <w:spacing w:before="120" w:after="120" w:line="240" w:lineRule="auto"/>
        <w:ind w:left="426" w:hanging="426"/>
        <w:jc w:val="both"/>
        <w:rPr>
          <w:rFonts w:cs="Times New Roman"/>
          <w:noProof/>
        </w:rPr>
      </w:pPr>
      <w:r>
        <w:rPr>
          <w:noProof/>
        </w:rPr>
        <w:t>Mise à niveau des services aux contribuables.</w:t>
      </w:r>
    </w:p>
    <w:p w14:paraId="138FC96D"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Modifications apportées au cadre de la politique fiscale de la Grèce (mesure ID: 16985)</w:t>
      </w:r>
    </w:p>
    <w:p w14:paraId="0E2F2874" w14:textId="77777777" w:rsidR="00A00259" w:rsidRDefault="00371282">
      <w:pPr>
        <w:pStyle w:val="P68B1DB1-Normal5"/>
        <w:spacing w:before="120" w:after="120" w:line="240" w:lineRule="auto"/>
        <w:jc w:val="both"/>
        <w:rPr>
          <w:rFonts w:cs="Times New Roman"/>
          <w:noProof/>
          <w:szCs w:val="24"/>
        </w:rPr>
      </w:pPr>
      <w:r>
        <w:rPr>
          <w:noProof/>
        </w:rPr>
        <w:t>La réforme vise à lutter contre l’évasion fiscale et à améliorer les incitations, en promouvant les paiements électroniques et en améliorant la structure de l’impôt sur les travailleurs indépendants, ainsi qu’à renforcer l’autonomie opérationnelle de l’administration fiscale. En particulier, cette réforme: i) réformer l’imposition des travailleurs indépendants et le droit de timbre; ii) lutter contre l’évasion fiscale en élargissant l’acceptation obligatoire des paiements électroniques; iii) établir de nouvelles exigences en matière de déclaration des données transmises à l’administration fiscale et permettre l’utilisation de ces données à des fins de TVA et d’impôt sur le revenu; et iv) renforcer l’autonomie opérationnelle, la résilience et le niveau des services à la clientèle de l’Autorité indépendante des recettes publiques (IAPR).</w:t>
      </w:r>
    </w:p>
    <w:p w14:paraId="422F930D" w14:textId="77777777" w:rsidR="00A00259" w:rsidRDefault="00371282">
      <w:pPr>
        <w:pStyle w:val="P68B1DB1-Normal7"/>
        <w:spacing w:before="120" w:after="120" w:line="240" w:lineRule="auto"/>
        <w:jc w:val="both"/>
        <w:rPr>
          <w:rFonts w:cs="Times New Roman"/>
          <w:noProof/>
        </w:rPr>
      </w:pPr>
      <w:r>
        <w:rPr>
          <w:noProof/>
        </w:rPr>
        <w:t>La mise en œuvre de la réforme est achevée au plus tard le 31 décembre 2024.</w:t>
      </w:r>
    </w:p>
    <w:p w14:paraId="36293A4E" w14:textId="77777777" w:rsidR="00A00259" w:rsidRDefault="00A00259">
      <w:pPr>
        <w:spacing w:before="120" w:after="120" w:line="240" w:lineRule="auto"/>
        <w:ind w:left="709"/>
        <w:jc w:val="both"/>
        <w:rPr>
          <w:rFonts w:ascii="Times New Roman" w:hAnsi="Times New Roman" w:cs="Times New Roman"/>
          <w:noProof/>
          <w:sz w:val="24"/>
        </w:rPr>
      </w:pPr>
    </w:p>
    <w:p w14:paraId="66AEA158" w14:textId="77777777" w:rsidR="00A00259" w:rsidRDefault="00A00259">
      <w:pPr>
        <w:spacing w:before="120" w:after="120" w:line="240" w:lineRule="auto"/>
        <w:ind w:left="709"/>
        <w:jc w:val="both"/>
        <w:rPr>
          <w:rFonts w:ascii="Times New Roman" w:hAnsi="Times New Roman" w:cs="Times New Roman"/>
          <w:noProof/>
          <w:sz w:val="24"/>
        </w:rPr>
        <w:sectPr w:rsidR="00A00259">
          <w:headerReference w:type="even" r:id="rId252"/>
          <w:headerReference w:type="default" r:id="rId253"/>
          <w:footerReference w:type="even" r:id="rId254"/>
          <w:footerReference w:type="default" r:id="rId255"/>
          <w:headerReference w:type="first" r:id="rId256"/>
          <w:footerReference w:type="first" r:id="rId257"/>
          <w:pgSz w:w="11906" w:h="16838"/>
          <w:pgMar w:top="1134" w:right="1134" w:bottom="1134" w:left="1134" w:header="567" w:footer="567" w:gutter="0"/>
          <w:cols w:space="708"/>
          <w:docGrid w:linePitch="360"/>
        </w:sectPr>
      </w:pPr>
    </w:p>
    <w:p w14:paraId="54709318" w14:textId="77777777" w:rsidR="00A00259" w:rsidRDefault="00371282">
      <w:pPr>
        <w:pStyle w:val="P68B1DB1-Normal6"/>
        <w:spacing w:before="120" w:after="120" w:line="240" w:lineRule="auto"/>
        <w:jc w:val="both"/>
        <w:rPr>
          <w:rFonts w:cs="Times New Roman"/>
          <w:bCs/>
          <w:noProof/>
        </w:rPr>
      </w:pPr>
      <w:r>
        <w:rPr>
          <w:noProof/>
        </w:rPr>
        <w:t>L.2. Étapes, cibles, indicateurs et calendrier pour le suivi et la mise en œuvre du soutien financier non remboursable</w:t>
      </w:r>
    </w:p>
    <w:p w14:paraId="7DC7EFA8" w14:textId="77777777" w:rsidR="00A00259" w:rsidRDefault="00371282">
      <w:pPr>
        <w:pStyle w:val="P68B1DB1-Normal9"/>
        <w:keepNext/>
        <w:keepLines/>
        <w:spacing w:before="40" w:after="0" w:line="240" w:lineRule="auto"/>
        <w:jc w:val="both"/>
        <w:outlineLvl w:val="4"/>
        <w:rPr>
          <w:noProof/>
        </w:rPr>
      </w:pPr>
      <w:r>
        <w:rPr>
          <w:noProof/>
        </w:rPr>
        <w:t>Réforme clé 8: Caisses enregistreuses en ligne &amp; POS</w:t>
      </w:r>
    </w:p>
    <w:tbl>
      <w:tblPr>
        <w:tblW w:w="16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
        <w:gridCol w:w="1876"/>
        <w:gridCol w:w="1122"/>
        <w:gridCol w:w="1550"/>
        <w:gridCol w:w="2363"/>
        <w:gridCol w:w="1236"/>
        <w:gridCol w:w="1200"/>
        <w:gridCol w:w="960"/>
        <w:gridCol w:w="1080"/>
        <w:gridCol w:w="840"/>
        <w:gridCol w:w="3396"/>
      </w:tblGrid>
      <w:tr w:rsidR="00A00259" w14:paraId="35B284D3" w14:textId="77777777">
        <w:trPr>
          <w:trHeight w:val="798"/>
          <w:tblHeader/>
          <w:jc w:val="center"/>
        </w:trPr>
        <w:tc>
          <w:tcPr>
            <w:tcW w:w="757" w:type="dxa"/>
            <w:vMerge w:val="restart"/>
            <w:shd w:val="clear" w:color="auto" w:fill="BDD7EE"/>
            <w:vAlign w:val="center"/>
            <w:hideMark/>
          </w:tcPr>
          <w:p w14:paraId="7A420E77" w14:textId="77777777" w:rsidR="00A00259" w:rsidRDefault="00371282">
            <w:pPr>
              <w:pStyle w:val="P68B1DB1-Normal15"/>
              <w:spacing w:after="0" w:line="240" w:lineRule="auto"/>
              <w:jc w:val="center"/>
              <w:rPr>
                <w:rFonts w:eastAsia="Times New Roman"/>
                <w:bCs/>
                <w:noProof/>
              </w:rPr>
            </w:pPr>
            <w:r>
              <w:rPr>
                <w:noProof/>
              </w:rPr>
              <w:t xml:space="preserve">Seq. </w:t>
            </w:r>
            <w:r>
              <w:rPr>
                <w:noProof/>
              </w:rPr>
              <w:br/>
              <w:t>Non.</w:t>
            </w:r>
          </w:p>
        </w:tc>
        <w:tc>
          <w:tcPr>
            <w:tcW w:w="1876" w:type="dxa"/>
            <w:vMerge w:val="restart"/>
            <w:shd w:val="clear" w:color="auto" w:fill="BDD7EE"/>
            <w:vAlign w:val="center"/>
            <w:hideMark/>
          </w:tcPr>
          <w:p w14:paraId="5331F6F9"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122" w:type="dxa"/>
            <w:vMerge w:val="restart"/>
            <w:shd w:val="clear" w:color="auto" w:fill="BDD7EE"/>
            <w:vAlign w:val="center"/>
            <w:hideMark/>
          </w:tcPr>
          <w:p w14:paraId="3EDC7F28"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550" w:type="dxa"/>
            <w:vMerge w:val="restart"/>
            <w:shd w:val="clear" w:color="auto" w:fill="BDD7EE"/>
            <w:vAlign w:val="center"/>
            <w:hideMark/>
          </w:tcPr>
          <w:p w14:paraId="2C06ED0F"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2363" w:type="dxa"/>
            <w:vMerge w:val="restart"/>
            <w:shd w:val="clear" w:color="auto" w:fill="BDD7EE"/>
            <w:vAlign w:val="center"/>
            <w:hideMark/>
          </w:tcPr>
          <w:p w14:paraId="20C135E3"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3360" w:type="dxa"/>
            <w:gridSpan w:val="3"/>
            <w:shd w:val="clear" w:color="auto" w:fill="BDD7EE"/>
            <w:vAlign w:val="center"/>
            <w:hideMark/>
          </w:tcPr>
          <w:p w14:paraId="2F3D0C59" w14:textId="77777777" w:rsidR="00A00259" w:rsidRDefault="00371282">
            <w:pPr>
              <w:pStyle w:val="P68B1DB1-Normal10"/>
              <w:spacing w:after="0" w:line="240" w:lineRule="auto"/>
              <w:jc w:val="center"/>
              <w:rPr>
                <w:rFonts w:eastAsia="Times New Roman" w:cs="Times New Roman"/>
                <w:bCs/>
                <w:noProof/>
                <w:szCs w:val="18"/>
              </w:rPr>
            </w:pPr>
            <w:r>
              <w:rPr>
                <w:noProof/>
              </w:rPr>
              <w:t>Indicateurs quantitatifs (pour les objectifs)</w:t>
            </w:r>
          </w:p>
        </w:tc>
        <w:tc>
          <w:tcPr>
            <w:tcW w:w="1920" w:type="dxa"/>
            <w:gridSpan w:val="2"/>
            <w:shd w:val="clear" w:color="auto" w:fill="BDD7EE"/>
            <w:vAlign w:val="center"/>
            <w:hideMark/>
          </w:tcPr>
          <w:p w14:paraId="540F85BA"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3396" w:type="dxa"/>
            <w:vMerge w:val="restart"/>
            <w:shd w:val="clear" w:color="auto" w:fill="BDD7EE"/>
            <w:vAlign w:val="center"/>
            <w:hideMark/>
          </w:tcPr>
          <w:p w14:paraId="728A10C7"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13BDA289" w14:textId="77777777">
        <w:trPr>
          <w:trHeight w:val="441"/>
          <w:jc w:val="center"/>
        </w:trPr>
        <w:tc>
          <w:tcPr>
            <w:tcW w:w="757" w:type="dxa"/>
            <w:vMerge/>
            <w:vAlign w:val="center"/>
            <w:hideMark/>
          </w:tcPr>
          <w:p w14:paraId="1C9E6719" w14:textId="77777777" w:rsidR="00A00259" w:rsidRDefault="00A00259">
            <w:pPr>
              <w:spacing w:after="0" w:line="240" w:lineRule="auto"/>
              <w:rPr>
                <w:rFonts w:ascii="Times New Roman" w:eastAsia="Times New Roman" w:hAnsi="Times New Roman" w:cs="Times New Roman"/>
                <w:b/>
                <w:noProof/>
                <w:sz w:val="18"/>
                <w:szCs w:val="18"/>
              </w:rPr>
            </w:pPr>
          </w:p>
        </w:tc>
        <w:tc>
          <w:tcPr>
            <w:tcW w:w="1876" w:type="dxa"/>
            <w:vMerge/>
            <w:vAlign w:val="center"/>
            <w:hideMark/>
          </w:tcPr>
          <w:p w14:paraId="03E5F8C3" w14:textId="77777777" w:rsidR="00A00259" w:rsidRDefault="00A00259">
            <w:pPr>
              <w:spacing w:after="0" w:line="240" w:lineRule="auto"/>
              <w:rPr>
                <w:rFonts w:ascii="Times New Roman" w:eastAsia="Times New Roman" w:hAnsi="Times New Roman" w:cs="Times New Roman"/>
                <w:b/>
                <w:noProof/>
                <w:sz w:val="18"/>
                <w:szCs w:val="18"/>
              </w:rPr>
            </w:pPr>
          </w:p>
        </w:tc>
        <w:tc>
          <w:tcPr>
            <w:tcW w:w="1122" w:type="dxa"/>
            <w:vMerge/>
            <w:vAlign w:val="center"/>
            <w:hideMark/>
          </w:tcPr>
          <w:p w14:paraId="2884F9AD" w14:textId="77777777" w:rsidR="00A00259" w:rsidRDefault="00A00259">
            <w:pPr>
              <w:spacing w:after="0" w:line="240" w:lineRule="auto"/>
              <w:rPr>
                <w:rFonts w:ascii="Times New Roman" w:eastAsia="Times New Roman" w:hAnsi="Times New Roman" w:cs="Times New Roman"/>
                <w:b/>
                <w:noProof/>
                <w:sz w:val="18"/>
                <w:szCs w:val="18"/>
              </w:rPr>
            </w:pPr>
          </w:p>
        </w:tc>
        <w:tc>
          <w:tcPr>
            <w:tcW w:w="1550" w:type="dxa"/>
            <w:vMerge/>
            <w:vAlign w:val="center"/>
            <w:hideMark/>
          </w:tcPr>
          <w:p w14:paraId="106B3B77" w14:textId="77777777" w:rsidR="00A00259" w:rsidRDefault="00A00259">
            <w:pPr>
              <w:spacing w:after="0" w:line="240" w:lineRule="auto"/>
              <w:rPr>
                <w:rFonts w:ascii="Times New Roman" w:eastAsia="Times New Roman" w:hAnsi="Times New Roman" w:cs="Times New Roman"/>
                <w:b/>
                <w:noProof/>
                <w:sz w:val="18"/>
                <w:szCs w:val="18"/>
              </w:rPr>
            </w:pPr>
          </w:p>
        </w:tc>
        <w:tc>
          <w:tcPr>
            <w:tcW w:w="2363" w:type="dxa"/>
            <w:vMerge/>
            <w:vAlign w:val="center"/>
            <w:hideMark/>
          </w:tcPr>
          <w:p w14:paraId="7CD500FE" w14:textId="77777777" w:rsidR="00A00259" w:rsidRDefault="00A00259">
            <w:pPr>
              <w:spacing w:after="0" w:line="240" w:lineRule="auto"/>
              <w:rPr>
                <w:rFonts w:ascii="Times New Roman" w:eastAsia="Times New Roman" w:hAnsi="Times New Roman" w:cs="Times New Roman"/>
                <w:b/>
                <w:noProof/>
                <w:sz w:val="18"/>
                <w:szCs w:val="18"/>
              </w:rPr>
            </w:pPr>
          </w:p>
        </w:tc>
        <w:tc>
          <w:tcPr>
            <w:tcW w:w="1200" w:type="dxa"/>
            <w:shd w:val="clear" w:color="auto" w:fill="BDD7EE"/>
            <w:vAlign w:val="center"/>
            <w:hideMark/>
          </w:tcPr>
          <w:p w14:paraId="12941C64"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1200" w:type="dxa"/>
            <w:shd w:val="clear" w:color="auto" w:fill="BDD7EE"/>
            <w:vAlign w:val="center"/>
            <w:hideMark/>
          </w:tcPr>
          <w:p w14:paraId="5711F594"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960" w:type="dxa"/>
            <w:shd w:val="clear" w:color="auto" w:fill="BDD7EE"/>
            <w:vAlign w:val="center"/>
            <w:hideMark/>
          </w:tcPr>
          <w:p w14:paraId="67071305"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1080" w:type="dxa"/>
            <w:shd w:val="clear" w:color="auto" w:fill="BDD7EE"/>
            <w:vAlign w:val="center"/>
            <w:hideMark/>
          </w:tcPr>
          <w:p w14:paraId="15718202"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840" w:type="dxa"/>
            <w:shd w:val="clear" w:color="auto" w:fill="BDD7EE"/>
            <w:vAlign w:val="center"/>
            <w:hideMark/>
          </w:tcPr>
          <w:p w14:paraId="3E953C60"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3396" w:type="dxa"/>
            <w:vMerge/>
            <w:vAlign w:val="center"/>
            <w:hideMark/>
          </w:tcPr>
          <w:p w14:paraId="7E3A0ACF" w14:textId="77777777" w:rsidR="00A00259" w:rsidRDefault="00A00259">
            <w:pPr>
              <w:spacing w:after="0" w:line="240" w:lineRule="auto"/>
              <w:rPr>
                <w:rFonts w:ascii="Times New Roman" w:eastAsia="Times New Roman" w:hAnsi="Times New Roman" w:cs="Times New Roman"/>
                <w:b/>
                <w:noProof/>
                <w:sz w:val="18"/>
                <w:szCs w:val="18"/>
              </w:rPr>
            </w:pPr>
          </w:p>
        </w:tc>
      </w:tr>
      <w:tr w:rsidR="00A00259" w14:paraId="3884ED21" w14:textId="77777777">
        <w:trPr>
          <w:trHeight w:val="309"/>
          <w:jc w:val="center"/>
        </w:trPr>
        <w:tc>
          <w:tcPr>
            <w:tcW w:w="757" w:type="dxa"/>
            <w:shd w:val="clear" w:color="auto" w:fill="C6EFCE"/>
            <w:noWrap/>
          </w:tcPr>
          <w:p w14:paraId="6D1114A5" w14:textId="77777777" w:rsidR="00A00259" w:rsidRDefault="00371282">
            <w:pPr>
              <w:pStyle w:val="P68B1DB1-Normal12"/>
              <w:spacing w:after="0" w:line="240" w:lineRule="auto"/>
              <w:rPr>
                <w:rFonts w:eastAsia="Times New Roman"/>
                <w:noProof/>
              </w:rPr>
            </w:pPr>
            <w:r>
              <w:rPr>
                <w:noProof/>
              </w:rPr>
              <w:t>188</w:t>
            </w:r>
          </w:p>
        </w:tc>
        <w:tc>
          <w:tcPr>
            <w:tcW w:w="1876" w:type="dxa"/>
            <w:shd w:val="clear" w:color="auto" w:fill="C6EFCE"/>
            <w:noWrap/>
          </w:tcPr>
          <w:p w14:paraId="4351E498" w14:textId="77777777" w:rsidR="00A00259" w:rsidRDefault="00371282">
            <w:pPr>
              <w:pStyle w:val="P68B1DB1-Normal13"/>
              <w:spacing w:after="0" w:line="240" w:lineRule="auto"/>
              <w:rPr>
                <w:rFonts w:eastAsia="Times New Roman"/>
                <w:noProof/>
                <w:szCs w:val="18"/>
              </w:rPr>
            </w:pPr>
            <w:r>
              <w:rPr>
                <w:noProof/>
              </w:rPr>
              <w:t>12 - 4.1. Rendre les impôts plus propices à la croissance et améliorer l'administration fiscale et la perception des impôts - 16614_Caissières en ligne &amp; POS (réforme)</w:t>
            </w:r>
          </w:p>
        </w:tc>
        <w:tc>
          <w:tcPr>
            <w:tcW w:w="1122" w:type="dxa"/>
            <w:shd w:val="clear" w:color="auto" w:fill="C6EFCE"/>
            <w:noWrap/>
          </w:tcPr>
          <w:p w14:paraId="37BB6F5D" w14:textId="77777777" w:rsidR="00A00259" w:rsidRDefault="00371282">
            <w:pPr>
              <w:pStyle w:val="P68B1DB1-Normal13"/>
              <w:spacing w:after="0" w:line="240" w:lineRule="auto"/>
              <w:rPr>
                <w:rFonts w:eastAsia="Times New Roman"/>
                <w:noProof/>
                <w:szCs w:val="18"/>
              </w:rPr>
            </w:pPr>
            <w:r>
              <w:rPr>
                <w:noProof/>
              </w:rPr>
              <w:t>Étape</w:t>
            </w:r>
          </w:p>
        </w:tc>
        <w:tc>
          <w:tcPr>
            <w:tcW w:w="1550" w:type="dxa"/>
            <w:shd w:val="clear" w:color="auto" w:fill="C6EFCE"/>
            <w:noWrap/>
          </w:tcPr>
          <w:p w14:paraId="2CAC1BF4" w14:textId="77777777" w:rsidR="00A00259" w:rsidRDefault="00371282">
            <w:pPr>
              <w:pStyle w:val="P68B1DB1-Normal13"/>
              <w:spacing w:after="0" w:line="240" w:lineRule="auto"/>
              <w:rPr>
                <w:rFonts w:eastAsia="Times New Roman"/>
                <w:noProof/>
                <w:szCs w:val="18"/>
              </w:rPr>
            </w:pPr>
            <w:r>
              <w:rPr>
                <w:noProof/>
              </w:rPr>
              <w:t>Autorité indépendante des recettes publiques (IAPR): Caisses enregistreuses en ligne &amp; Point de vente (POS) – Entrée en vigueur du cadre juridique</w:t>
            </w:r>
          </w:p>
        </w:tc>
        <w:tc>
          <w:tcPr>
            <w:tcW w:w="2363" w:type="dxa"/>
            <w:shd w:val="clear" w:color="auto" w:fill="C6EFCE"/>
            <w:noWrap/>
          </w:tcPr>
          <w:p w14:paraId="61B918F6" w14:textId="77777777" w:rsidR="00A00259" w:rsidRDefault="00371282">
            <w:pPr>
              <w:pStyle w:val="P68B1DB1-Normal13"/>
              <w:spacing w:after="0" w:line="240" w:lineRule="auto"/>
              <w:rPr>
                <w:rFonts w:eastAsia="Times New Roman"/>
                <w:noProof/>
                <w:szCs w:val="18"/>
              </w:rPr>
            </w:pPr>
            <w:r>
              <w:rPr>
                <w:noProof/>
              </w:rPr>
              <w:t>Entrée en vigueur de la loi</w:t>
            </w:r>
          </w:p>
        </w:tc>
        <w:tc>
          <w:tcPr>
            <w:tcW w:w="1200" w:type="dxa"/>
            <w:shd w:val="clear" w:color="auto" w:fill="C6EFCE"/>
            <w:noWrap/>
          </w:tcPr>
          <w:p w14:paraId="14FF6D7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200" w:type="dxa"/>
            <w:shd w:val="clear" w:color="auto" w:fill="C6EFCE"/>
            <w:noWrap/>
          </w:tcPr>
          <w:p w14:paraId="2617F8E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0" w:type="dxa"/>
            <w:shd w:val="clear" w:color="auto" w:fill="C6EFCE"/>
            <w:noWrap/>
          </w:tcPr>
          <w:p w14:paraId="00B47B0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80" w:type="dxa"/>
            <w:shd w:val="clear" w:color="auto" w:fill="C6EFCE"/>
            <w:noWrap/>
          </w:tcPr>
          <w:p w14:paraId="26DF9AF9" w14:textId="77777777" w:rsidR="00A00259" w:rsidRDefault="00371282">
            <w:pPr>
              <w:pStyle w:val="P68B1DB1-Normal13"/>
              <w:spacing w:after="0" w:line="240" w:lineRule="auto"/>
              <w:rPr>
                <w:rFonts w:eastAsia="Times New Roman"/>
                <w:noProof/>
                <w:szCs w:val="18"/>
              </w:rPr>
            </w:pPr>
            <w:r>
              <w:rPr>
                <w:noProof/>
              </w:rPr>
              <w:t>T1</w:t>
            </w:r>
          </w:p>
        </w:tc>
        <w:tc>
          <w:tcPr>
            <w:tcW w:w="840" w:type="dxa"/>
            <w:shd w:val="clear" w:color="auto" w:fill="C6EFCE"/>
            <w:noWrap/>
          </w:tcPr>
          <w:p w14:paraId="6B49127B" w14:textId="77777777" w:rsidR="00A00259" w:rsidRDefault="00371282">
            <w:pPr>
              <w:pStyle w:val="P68B1DB1-Normal13"/>
              <w:spacing w:after="0" w:line="240" w:lineRule="auto"/>
              <w:rPr>
                <w:rFonts w:eastAsia="Times New Roman"/>
                <w:noProof/>
                <w:szCs w:val="18"/>
              </w:rPr>
            </w:pPr>
            <w:r>
              <w:rPr>
                <w:noProof/>
              </w:rPr>
              <w:t>2022</w:t>
            </w:r>
          </w:p>
        </w:tc>
        <w:tc>
          <w:tcPr>
            <w:tcW w:w="3396" w:type="dxa"/>
            <w:shd w:val="clear" w:color="auto" w:fill="C6EFCE"/>
            <w:noWrap/>
          </w:tcPr>
          <w:p w14:paraId="6D56DDB9" w14:textId="77777777" w:rsidR="00A00259" w:rsidRDefault="00371282">
            <w:pPr>
              <w:pStyle w:val="P68B1DB1-Normal12"/>
              <w:spacing w:after="0" w:line="240" w:lineRule="auto"/>
              <w:rPr>
                <w:rFonts w:eastAsia="Times New Roman"/>
                <w:noProof/>
              </w:rPr>
            </w:pPr>
            <w:r>
              <w:rPr>
                <w:noProof/>
              </w:rPr>
              <w:t>Entrée en vigueur d’une décision du gouverneur relative aux exigences techniques (sur la base de l’article 12 de la loi no 4308/2014) et d’une décision ministérielle conjointe relative à la transmission électronique de données à l’autorité indépendante chargée des recettes publiques (sur la base de l’article 15 de la loi no 4174/2013), qui définissent les principales caractéristiques nécessaires à l’interconnexion des caisses enregistreuses en ligne et des systèmes de point de vente à l’autorité indépendante chargée des recettes publiques, y compris la révision des sanctions applicables aux caisses enregistreuses (article 54 de la loi no 4174/2013).</w:t>
            </w:r>
          </w:p>
        </w:tc>
      </w:tr>
      <w:tr w:rsidR="00A00259" w14:paraId="00616752" w14:textId="77777777">
        <w:trPr>
          <w:trHeight w:val="309"/>
          <w:jc w:val="center"/>
        </w:trPr>
        <w:tc>
          <w:tcPr>
            <w:tcW w:w="757" w:type="dxa"/>
            <w:shd w:val="clear" w:color="auto" w:fill="C6EFCE"/>
            <w:noWrap/>
          </w:tcPr>
          <w:p w14:paraId="5E89EC9E" w14:textId="77777777" w:rsidR="00A00259" w:rsidRDefault="00371282">
            <w:pPr>
              <w:pStyle w:val="P68B1DB1-Normal12"/>
              <w:spacing w:after="0" w:line="240" w:lineRule="auto"/>
              <w:rPr>
                <w:rFonts w:eastAsia="Times New Roman"/>
                <w:noProof/>
              </w:rPr>
            </w:pPr>
            <w:r>
              <w:rPr>
                <w:noProof/>
              </w:rPr>
              <w:t>189</w:t>
            </w:r>
          </w:p>
        </w:tc>
        <w:tc>
          <w:tcPr>
            <w:tcW w:w="1876" w:type="dxa"/>
            <w:shd w:val="clear" w:color="auto" w:fill="C6EFCE"/>
            <w:noWrap/>
          </w:tcPr>
          <w:p w14:paraId="6C475D3C" w14:textId="77777777" w:rsidR="00A00259" w:rsidRDefault="00371282">
            <w:pPr>
              <w:pStyle w:val="P68B1DB1-Normal13"/>
              <w:spacing w:after="0" w:line="240" w:lineRule="auto"/>
              <w:rPr>
                <w:rFonts w:eastAsia="Times New Roman"/>
                <w:noProof/>
                <w:szCs w:val="18"/>
              </w:rPr>
            </w:pPr>
            <w:r>
              <w:rPr>
                <w:noProof/>
              </w:rPr>
              <w:t>12 - 4.1. Rendre les impôts plus propices à la croissance et améliorer l'administration fiscale et la perception des impôts - 16614_Caissières en ligne &amp; POS (réforme)</w:t>
            </w:r>
          </w:p>
        </w:tc>
        <w:tc>
          <w:tcPr>
            <w:tcW w:w="1122" w:type="dxa"/>
            <w:shd w:val="clear" w:color="auto" w:fill="C6EFCE"/>
            <w:noWrap/>
          </w:tcPr>
          <w:p w14:paraId="08D0BFF6" w14:textId="77777777" w:rsidR="00A00259" w:rsidRDefault="00371282">
            <w:pPr>
              <w:pStyle w:val="P68B1DB1-Normal13"/>
              <w:spacing w:after="0" w:line="240" w:lineRule="auto"/>
              <w:rPr>
                <w:rFonts w:eastAsia="Times New Roman"/>
                <w:noProof/>
                <w:szCs w:val="18"/>
              </w:rPr>
            </w:pPr>
            <w:r>
              <w:rPr>
                <w:noProof/>
              </w:rPr>
              <w:t>Objectif</w:t>
            </w:r>
          </w:p>
        </w:tc>
        <w:tc>
          <w:tcPr>
            <w:tcW w:w="1550" w:type="dxa"/>
            <w:shd w:val="clear" w:color="auto" w:fill="C6EFCE"/>
            <w:noWrap/>
          </w:tcPr>
          <w:p w14:paraId="4B60E8E7" w14:textId="77777777" w:rsidR="00A00259" w:rsidRDefault="00371282">
            <w:pPr>
              <w:pStyle w:val="P68B1DB1-Normal12"/>
              <w:spacing w:after="0" w:line="240" w:lineRule="auto"/>
              <w:rPr>
                <w:rFonts w:eastAsia="Times New Roman"/>
                <w:noProof/>
              </w:rPr>
            </w:pPr>
            <w:r>
              <w:rPr>
                <w:noProof/>
              </w:rPr>
              <w:t xml:space="preserve">Autorité indépendante des recettes publiques: Caisses enregistreuses en ligne &amp; Point de vente (POS) – intégration et interconnexion </w:t>
            </w:r>
          </w:p>
        </w:tc>
        <w:tc>
          <w:tcPr>
            <w:tcW w:w="2363" w:type="dxa"/>
            <w:shd w:val="clear" w:color="auto" w:fill="C6EFCE"/>
            <w:noWrap/>
          </w:tcPr>
          <w:p w14:paraId="5FD3CA05" w14:textId="77777777" w:rsidR="00A00259" w:rsidRDefault="00A00259">
            <w:pPr>
              <w:spacing w:after="0" w:line="240" w:lineRule="auto"/>
              <w:rPr>
                <w:rFonts w:ascii="Times New Roman" w:eastAsia="Times New Roman" w:hAnsi="Times New Roman" w:cs="Times New Roman"/>
                <w:noProof/>
                <w:color w:val="006100"/>
                <w:sz w:val="18"/>
                <w:szCs w:val="18"/>
                <w:highlight w:val="yellow"/>
              </w:rPr>
            </w:pPr>
          </w:p>
        </w:tc>
        <w:tc>
          <w:tcPr>
            <w:tcW w:w="1200" w:type="dxa"/>
            <w:shd w:val="clear" w:color="auto" w:fill="C6EFCE"/>
            <w:noWrap/>
          </w:tcPr>
          <w:p w14:paraId="5AFA156E" w14:textId="77777777" w:rsidR="00A00259" w:rsidRDefault="00371282">
            <w:pPr>
              <w:pStyle w:val="P68B1DB1-Normal13"/>
              <w:spacing w:after="0" w:line="240" w:lineRule="auto"/>
              <w:rPr>
                <w:rFonts w:eastAsia="Times New Roman"/>
                <w:noProof/>
                <w:szCs w:val="18"/>
              </w:rPr>
            </w:pPr>
            <w:r>
              <w:rPr>
                <w:noProof/>
              </w:rPr>
              <w:t>Nombre de caisses enregistreuses</w:t>
            </w:r>
          </w:p>
        </w:tc>
        <w:tc>
          <w:tcPr>
            <w:tcW w:w="1200" w:type="dxa"/>
            <w:shd w:val="clear" w:color="auto" w:fill="C6EFCE"/>
            <w:noWrap/>
          </w:tcPr>
          <w:p w14:paraId="47150137" w14:textId="77777777" w:rsidR="00A00259" w:rsidRDefault="00371282">
            <w:pPr>
              <w:pStyle w:val="P68B1DB1-Normal13"/>
              <w:spacing w:after="0" w:line="240" w:lineRule="auto"/>
              <w:rPr>
                <w:rFonts w:eastAsia="Times New Roman"/>
                <w:noProof/>
                <w:szCs w:val="18"/>
              </w:rPr>
            </w:pPr>
            <w:r>
              <w:rPr>
                <w:noProof/>
              </w:rPr>
              <w:t>0</w:t>
            </w:r>
          </w:p>
        </w:tc>
        <w:tc>
          <w:tcPr>
            <w:tcW w:w="960" w:type="dxa"/>
            <w:shd w:val="clear" w:color="auto" w:fill="C6EFCE"/>
            <w:noWrap/>
          </w:tcPr>
          <w:p w14:paraId="0BDC762C" w14:textId="77777777" w:rsidR="00A00259" w:rsidRDefault="00371282">
            <w:pPr>
              <w:pStyle w:val="P68B1DB1-Normal13"/>
              <w:spacing w:after="0" w:line="240" w:lineRule="auto"/>
              <w:rPr>
                <w:rFonts w:eastAsia="Times New Roman"/>
                <w:noProof/>
                <w:szCs w:val="18"/>
              </w:rPr>
            </w:pPr>
            <w:r>
              <w:rPr>
                <w:noProof/>
              </w:rPr>
              <w:t>400 000</w:t>
            </w:r>
          </w:p>
        </w:tc>
        <w:tc>
          <w:tcPr>
            <w:tcW w:w="1080" w:type="dxa"/>
            <w:shd w:val="clear" w:color="auto" w:fill="C6EFCE"/>
            <w:noWrap/>
          </w:tcPr>
          <w:p w14:paraId="23AE2BA3" w14:textId="77777777" w:rsidR="00A00259" w:rsidRDefault="00371282">
            <w:pPr>
              <w:pStyle w:val="P68B1DB1-Normal13"/>
              <w:spacing w:after="0" w:line="240" w:lineRule="auto"/>
              <w:rPr>
                <w:rFonts w:eastAsia="Times New Roman"/>
                <w:noProof/>
                <w:szCs w:val="18"/>
              </w:rPr>
            </w:pPr>
            <w:r>
              <w:rPr>
                <w:noProof/>
              </w:rPr>
              <w:t>T2</w:t>
            </w:r>
          </w:p>
        </w:tc>
        <w:tc>
          <w:tcPr>
            <w:tcW w:w="840" w:type="dxa"/>
            <w:shd w:val="clear" w:color="auto" w:fill="C6EFCE"/>
            <w:noWrap/>
          </w:tcPr>
          <w:p w14:paraId="6BCCC1C9" w14:textId="77777777" w:rsidR="00A00259" w:rsidRDefault="00371282">
            <w:pPr>
              <w:pStyle w:val="P68B1DB1-Normal13"/>
              <w:spacing w:after="0" w:line="240" w:lineRule="auto"/>
              <w:rPr>
                <w:rFonts w:eastAsia="Times New Roman"/>
                <w:noProof/>
                <w:szCs w:val="18"/>
              </w:rPr>
            </w:pPr>
            <w:r>
              <w:rPr>
                <w:noProof/>
              </w:rPr>
              <w:t>2024</w:t>
            </w:r>
          </w:p>
        </w:tc>
        <w:tc>
          <w:tcPr>
            <w:tcW w:w="3396" w:type="dxa"/>
            <w:shd w:val="clear" w:color="auto" w:fill="C6EFCE"/>
            <w:noWrap/>
          </w:tcPr>
          <w:p w14:paraId="2933375A" w14:textId="77777777" w:rsidR="00A00259" w:rsidRDefault="00371282">
            <w:pPr>
              <w:pStyle w:val="P68B1DB1-Normal12"/>
              <w:spacing w:after="0" w:line="240" w:lineRule="auto"/>
              <w:rPr>
                <w:rFonts w:eastAsia="Times New Roman"/>
                <w:noProof/>
              </w:rPr>
            </w:pPr>
            <w:r>
              <w:rPr>
                <w:noProof/>
              </w:rPr>
              <w:t xml:space="preserve">Intégration du système informatique et de la base de données pertinents au sein de la plate-forme myDATA - toutes les entreprises relevant du cadre juridique ont interconnecté leurs caisses enregistreuses en ligne avec les systèmes de point de vente à l'Autorité indépendante des recettes publiques. </w:t>
            </w:r>
          </w:p>
          <w:p w14:paraId="2CDF50F0" w14:textId="77777777" w:rsidR="00A00259" w:rsidRDefault="00A00259">
            <w:pPr>
              <w:spacing w:after="0" w:line="240" w:lineRule="auto"/>
              <w:rPr>
                <w:rFonts w:ascii="Times New Roman" w:eastAsia="Times New Roman" w:hAnsi="Times New Roman" w:cs="Times New Roman"/>
                <w:noProof/>
                <w:color w:val="006100"/>
                <w:sz w:val="18"/>
                <w:szCs w:val="18"/>
              </w:rPr>
            </w:pPr>
          </w:p>
          <w:p w14:paraId="0E30C77B" w14:textId="77777777" w:rsidR="00A00259" w:rsidRDefault="00371282">
            <w:pPr>
              <w:pStyle w:val="P68B1DB1-Normal12"/>
              <w:spacing w:after="0" w:line="240" w:lineRule="auto"/>
              <w:rPr>
                <w:rFonts w:eastAsia="Times New Roman"/>
                <w:noProof/>
              </w:rPr>
            </w:pPr>
            <w:r>
              <w:rPr>
                <w:noProof/>
              </w:rPr>
              <w:t>Un rapport de l’Autorité indépendante des recettes publiques attestant de l’achèvement de la réforme et indiquant le nombre total de caisses enregistreuses en ligne qui ont interconnecté leurs systèmes de point de vente à l’Autorité indépendante des recettes publiques. Les caisses enregistreuses éligibles sont au moins de 400 000.</w:t>
            </w:r>
          </w:p>
        </w:tc>
      </w:tr>
    </w:tbl>
    <w:p w14:paraId="33C559A8" w14:textId="77777777" w:rsidR="00A00259" w:rsidRDefault="00A00259">
      <w:pPr>
        <w:spacing w:before="120" w:after="120" w:line="240" w:lineRule="auto"/>
        <w:ind w:left="709"/>
        <w:jc w:val="both"/>
        <w:rPr>
          <w:rFonts w:ascii="Times New Roman" w:hAnsi="Times New Roman" w:cs="Times New Roman"/>
          <w:noProof/>
          <w:sz w:val="24"/>
          <w:szCs w:val="24"/>
        </w:rPr>
      </w:pPr>
    </w:p>
    <w:p w14:paraId="350D4399" w14:textId="77777777" w:rsidR="00A00259" w:rsidRDefault="00371282">
      <w:pPr>
        <w:pStyle w:val="NormalWeb"/>
        <w:spacing w:after="0" w:line="240" w:lineRule="auto"/>
        <w:rPr>
          <w:noProof/>
        </w:rPr>
      </w:pPr>
      <w:r>
        <w:rPr>
          <w:noProof/>
        </w:rPr>
        <w:br w:type="page"/>
      </w:r>
    </w:p>
    <w:p w14:paraId="58E703F8" w14:textId="77777777" w:rsidR="00A00259" w:rsidRDefault="00371282">
      <w:pPr>
        <w:pStyle w:val="P68B1DB1-Normal9"/>
        <w:keepNext/>
        <w:keepLines/>
        <w:spacing w:before="40" w:after="0" w:line="240" w:lineRule="auto"/>
        <w:jc w:val="both"/>
        <w:outlineLvl w:val="4"/>
        <w:rPr>
          <w:rFonts w:eastAsia="Times New Roman"/>
          <w:noProof/>
        </w:rPr>
      </w:pPr>
      <w:r>
        <w:rPr>
          <w:noProof/>
        </w:rPr>
        <w:t>Groupe 17: Mesures de l'administration fiscale</w:t>
      </w:r>
    </w:p>
    <w:p w14:paraId="3190348F" w14:textId="77777777" w:rsidR="00A00259" w:rsidRDefault="00371282">
      <w:pPr>
        <w:pStyle w:val="P68B1DB1-Normal5"/>
        <w:numPr>
          <w:ilvl w:val="0"/>
          <w:numId w:val="56"/>
        </w:numPr>
        <w:spacing w:before="120" w:after="0" w:line="240" w:lineRule="auto"/>
        <w:jc w:val="both"/>
        <w:rPr>
          <w:rFonts w:cs="Times New Roman"/>
          <w:noProof/>
        </w:rPr>
      </w:pPr>
      <w:r>
        <w:rPr>
          <w:noProof/>
        </w:rPr>
        <w:t>Transformation numérique des audits fiscaux (ID: 16611)</w:t>
      </w:r>
    </w:p>
    <w:p w14:paraId="043D2845" w14:textId="77777777" w:rsidR="00A00259" w:rsidRDefault="00371282">
      <w:pPr>
        <w:pStyle w:val="P68B1DB1-Normal5"/>
        <w:numPr>
          <w:ilvl w:val="0"/>
          <w:numId w:val="56"/>
        </w:numPr>
        <w:spacing w:before="120" w:after="0" w:line="240" w:lineRule="auto"/>
        <w:jc w:val="both"/>
        <w:rPr>
          <w:rFonts w:cs="Times New Roman"/>
          <w:noProof/>
        </w:rPr>
      </w:pPr>
      <w:r>
        <w:rPr>
          <w:noProof/>
        </w:rPr>
        <w:t>Promouvoir l’accélération des remboursements de TVA (ID: 16610)</w:t>
      </w:r>
    </w:p>
    <w:p w14:paraId="393E9C22" w14:textId="77777777" w:rsidR="00A00259" w:rsidRDefault="00371282">
      <w:pPr>
        <w:pStyle w:val="P68B1DB1-Normal5"/>
        <w:numPr>
          <w:ilvl w:val="0"/>
          <w:numId w:val="56"/>
        </w:numPr>
        <w:spacing w:before="120" w:after="0" w:line="240" w:lineRule="auto"/>
        <w:jc w:val="both"/>
        <w:rPr>
          <w:rFonts w:cs="Times New Roman"/>
          <w:noProof/>
        </w:rPr>
      </w:pPr>
      <w:r>
        <w:rPr>
          <w:noProof/>
        </w:rPr>
        <w:t>Nouveau cadre de lutte contre la contrebande, principalement pour les produits soumis à accises (tabac, alcool et énergie) (ID: 16656)</w:t>
      </w:r>
    </w:p>
    <w:p w14:paraId="31F89F9E" w14:textId="77777777" w:rsidR="00A00259" w:rsidRDefault="00371282">
      <w:pPr>
        <w:pStyle w:val="P68B1DB1-Normal5"/>
        <w:numPr>
          <w:ilvl w:val="0"/>
          <w:numId w:val="56"/>
        </w:numPr>
        <w:spacing w:before="120" w:after="120" w:line="240" w:lineRule="auto"/>
        <w:jc w:val="both"/>
        <w:rPr>
          <w:rFonts w:cs="Times New Roman"/>
          <w:noProof/>
        </w:rPr>
      </w:pPr>
      <w:r>
        <w:rPr>
          <w:noProof/>
        </w:rPr>
        <w:t>Transformation numérique de l’administration fiscale et douanière (ID: 16291)</w:t>
      </w:r>
    </w:p>
    <w:tbl>
      <w:tblPr>
        <w:tblW w:w="16160" w:type="dxa"/>
        <w:jc w:val="center"/>
        <w:tblLayout w:type="fixed"/>
        <w:tblLook w:val="04A0" w:firstRow="1" w:lastRow="0" w:firstColumn="1" w:lastColumn="0" w:noHBand="0" w:noVBand="1"/>
      </w:tblPr>
      <w:tblGrid>
        <w:gridCol w:w="6"/>
        <w:gridCol w:w="669"/>
        <w:gridCol w:w="2410"/>
        <w:gridCol w:w="1134"/>
        <w:gridCol w:w="1409"/>
        <w:gridCol w:w="1803"/>
        <w:gridCol w:w="1065"/>
        <w:gridCol w:w="961"/>
        <w:gridCol w:w="977"/>
        <w:gridCol w:w="1134"/>
        <w:gridCol w:w="1182"/>
        <w:gridCol w:w="3410"/>
      </w:tblGrid>
      <w:tr w:rsidR="00A00259" w14:paraId="42E0663E" w14:textId="77777777" w:rsidTr="00096954">
        <w:trPr>
          <w:trHeight w:val="939"/>
          <w:tblHeader/>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102D04" w14:textId="77777777" w:rsidR="00A00259" w:rsidRDefault="00371282">
            <w:pPr>
              <w:pStyle w:val="P68B1DB1-Normal15"/>
              <w:spacing w:after="0" w:line="240" w:lineRule="auto"/>
              <w:jc w:val="center"/>
              <w:rPr>
                <w:rFonts w:eastAsia="Times New Roman"/>
                <w:bCs/>
                <w:noProof/>
              </w:rPr>
            </w:pPr>
            <w:r>
              <w:rPr>
                <w:noProof/>
              </w:rPr>
              <w:t xml:space="preserve">Seq. </w:t>
            </w:r>
            <w:r>
              <w:rPr>
                <w:noProof/>
              </w:rPr>
              <w:br/>
              <w:t>Non.</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9BCA45"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8AB8E68"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40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88327B6"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80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A975BBE"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300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BA74DB4" w14:textId="77777777" w:rsidR="00A00259" w:rsidRDefault="00371282">
            <w:pPr>
              <w:pStyle w:val="P68B1DB1-Normal36"/>
              <w:spacing w:after="0" w:line="240" w:lineRule="auto"/>
              <w:jc w:val="center"/>
              <w:rPr>
                <w:rFonts w:ascii="Times New Roman" w:eastAsia="Times New Roman" w:hAnsi="Times New Roman" w:cs="Times New Roman"/>
                <w:b/>
                <w:bCs/>
                <w:noProof/>
                <w:szCs w:val="18"/>
              </w:rPr>
            </w:pPr>
            <w:r>
              <w:rPr>
                <w:rFonts w:ascii="Times New Roman" w:hAnsi="Times New Roman"/>
                <w:b/>
                <w:noProof/>
              </w:rPr>
              <w:t>Indicateurs quantitatifs</w:t>
            </w:r>
            <w:r>
              <w:rPr>
                <w:rFonts w:ascii="Times New Roman" w:hAnsi="Times New Roman" w:cs="Times New Roman"/>
                <w:noProof/>
                <w:szCs w:val="18"/>
              </w:rPr>
              <w:t xml:space="preserve"> </w:t>
            </w:r>
            <w:r>
              <w:rPr>
                <w:rFonts w:ascii="Times New Roman" w:hAnsi="Times New Roman"/>
                <w:b/>
                <w:noProof/>
              </w:rPr>
              <w:t>(pour les objectifs)</w:t>
            </w:r>
          </w:p>
        </w:tc>
        <w:tc>
          <w:tcPr>
            <w:tcW w:w="2316" w:type="dxa"/>
            <w:gridSpan w:val="2"/>
            <w:tcBorders>
              <w:top w:val="single" w:sz="4" w:space="0" w:color="auto"/>
              <w:left w:val="nil"/>
              <w:bottom w:val="single" w:sz="4" w:space="0" w:color="auto"/>
              <w:right w:val="single" w:sz="4" w:space="0" w:color="auto"/>
            </w:tcBorders>
            <w:shd w:val="clear" w:color="auto" w:fill="BDD7EE"/>
            <w:vAlign w:val="center"/>
            <w:hideMark/>
          </w:tcPr>
          <w:p w14:paraId="0C5CEFC0"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34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6647E1"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35538512" w14:textId="77777777" w:rsidTr="00096954">
        <w:trPr>
          <w:trHeight w:val="464"/>
          <w:tblHeader/>
          <w:jc w:val="center"/>
        </w:trPr>
        <w:tc>
          <w:tcPr>
            <w:tcW w:w="675" w:type="dxa"/>
            <w:gridSpan w:val="2"/>
            <w:vMerge/>
            <w:tcBorders>
              <w:top w:val="single" w:sz="4" w:space="0" w:color="auto"/>
              <w:left w:val="single" w:sz="4" w:space="0" w:color="auto"/>
              <w:bottom w:val="single" w:sz="4" w:space="0" w:color="auto"/>
              <w:right w:val="single" w:sz="4" w:space="0" w:color="auto"/>
            </w:tcBorders>
            <w:vAlign w:val="center"/>
            <w:hideMark/>
          </w:tcPr>
          <w:p w14:paraId="35BF3AC1" w14:textId="77777777" w:rsidR="00A00259" w:rsidRDefault="00A00259">
            <w:pPr>
              <w:spacing w:after="0" w:line="240" w:lineRule="auto"/>
              <w:rPr>
                <w:rFonts w:ascii="Times New Roman" w:eastAsia="Times New Roman" w:hAnsi="Times New Roman" w:cs="Times New Roman"/>
                <w:b/>
                <w:bCs/>
                <w:noProof/>
                <w:sz w:val="18"/>
                <w:szCs w:val="18"/>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43DDCFA" w14:textId="77777777" w:rsidR="00A00259" w:rsidRDefault="00A00259">
            <w:pPr>
              <w:spacing w:after="0" w:line="240" w:lineRule="auto"/>
              <w:rPr>
                <w:rFonts w:ascii="Times New Roman" w:eastAsia="Times New Roman" w:hAnsi="Times New Roman" w:cs="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45314A6" w14:textId="77777777" w:rsidR="00A00259" w:rsidRDefault="00A00259">
            <w:pPr>
              <w:spacing w:after="0" w:line="240" w:lineRule="auto"/>
              <w:rPr>
                <w:rFonts w:ascii="Times New Roman" w:eastAsia="Times New Roman" w:hAnsi="Times New Roman" w:cs="Times New Roman"/>
                <w:b/>
                <w:bCs/>
                <w:noProof/>
                <w:sz w:val="18"/>
                <w:szCs w:val="18"/>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14:paraId="124BF621" w14:textId="77777777" w:rsidR="00A00259" w:rsidRDefault="00A00259">
            <w:pPr>
              <w:spacing w:after="0" w:line="240" w:lineRule="auto"/>
              <w:rPr>
                <w:rFonts w:ascii="Times New Roman" w:eastAsia="Times New Roman" w:hAnsi="Times New Roman" w:cs="Times New Roman"/>
                <w:b/>
                <w:bCs/>
                <w:noProof/>
                <w:sz w:val="18"/>
                <w:szCs w:val="18"/>
              </w:rPr>
            </w:pPr>
          </w:p>
        </w:tc>
        <w:tc>
          <w:tcPr>
            <w:tcW w:w="1803" w:type="dxa"/>
            <w:vMerge/>
            <w:tcBorders>
              <w:top w:val="single" w:sz="4" w:space="0" w:color="auto"/>
              <w:left w:val="single" w:sz="4" w:space="0" w:color="auto"/>
              <w:bottom w:val="single" w:sz="4" w:space="0" w:color="auto"/>
              <w:right w:val="single" w:sz="4" w:space="0" w:color="auto"/>
            </w:tcBorders>
            <w:vAlign w:val="center"/>
            <w:hideMark/>
          </w:tcPr>
          <w:p w14:paraId="072E10F4" w14:textId="77777777" w:rsidR="00A00259" w:rsidRDefault="00A00259">
            <w:pPr>
              <w:spacing w:after="0" w:line="240" w:lineRule="auto"/>
              <w:rPr>
                <w:rFonts w:ascii="Times New Roman" w:eastAsia="Times New Roman" w:hAnsi="Times New Roman" w:cs="Times New Roman"/>
                <w:b/>
                <w:bCs/>
                <w:noProof/>
                <w:sz w:val="18"/>
                <w:szCs w:val="18"/>
              </w:rPr>
            </w:pPr>
          </w:p>
        </w:tc>
        <w:tc>
          <w:tcPr>
            <w:tcW w:w="106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4D26A1"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96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3CF94A0"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97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D85A96C"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BC17244"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118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499955"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3410" w:type="dxa"/>
            <w:vMerge/>
            <w:tcBorders>
              <w:top w:val="single" w:sz="4" w:space="0" w:color="auto"/>
              <w:left w:val="single" w:sz="4" w:space="0" w:color="auto"/>
              <w:bottom w:val="single" w:sz="4" w:space="0" w:color="auto"/>
              <w:right w:val="single" w:sz="4" w:space="0" w:color="auto"/>
            </w:tcBorders>
            <w:vAlign w:val="center"/>
            <w:hideMark/>
          </w:tcPr>
          <w:p w14:paraId="6D8C2AD1"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6C49D787" w14:textId="77777777" w:rsidTr="00096954">
        <w:trPr>
          <w:gridBefore w:val="1"/>
          <w:wBefore w:w="6" w:type="dxa"/>
          <w:trHeight w:val="313"/>
          <w:jc w:val="center"/>
        </w:trPr>
        <w:tc>
          <w:tcPr>
            <w:tcW w:w="669" w:type="dxa"/>
            <w:tcBorders>
              <w:top w:val="single" w:sz="4" w:space="0" w:color="auto"/>
              <w:left w:val="single" w:sz="4" w:space="0" w:color="auto"/>
              <w:bottom w:val="single" w:sz="4" w:space="0" w:color="auto"/>
              <w:right w:val="single" w:sz="4" w:space="0" w:color="auto"/>
            </w:tcBorders>
            <w:shd w:val="clear" w:color="auto" w:fill="C6EFCE"/>
            <w:noWrap/>
          </w:tcPr>
          <w:p w14:paraId="6024C1CE" w14:textId="77777777" w:rsidR="00A00259" w:rsidRDefault="00371282">
            <w:pPr>
              <w:pStyle w:val="P68B1DB1-Normal12"/>
              <w:spacing w:after="0" w:line="240" w:lineRule="auto"/>
              <w:rPr>
                <w:rFonts w:eastAsia="Times New Roman"/>
                <w:noProof/>
              </w:rPr>
            </w:pPr>
            <w:r>
              <w:rPr>
                <w:noProof/>
              </w:rPr>
              <w:t>190</w:t>
            </w:r>
          </w:p>
        </w:tc>
        <w:tc>
          <w:tcPr>
            <w:tcW w:w="2410" w:type="dxa"/>
            <w:tcBorders>
              <w:top w:val="single" w:sz="4" w:space="0" w:color="auto"/>
              <w:left w:val="nil"/>
              <w:bottom w:val="single" w:sz="4" w:space="0" w:color="auto"/>
              <w:right w:val="single" w:sz="4" w:space="0" w:color="auto"/>
            </w:tcBorders>
            <w:shd w:val="clear" w:color="auto" w:fill="C6EFCE"/>
            <w:noWrap/>
          </w:tcPr>
          <w:p w14:paraId="7D2BD380" w14:textId="77777777" w:rsidR="00A00259" w:rsidRDefault="00371282">
            <w:pPr>
              <w:pStyle w:val="P68B1DB1-Normal12"/>
              <w:spacing w:after="0" w:line="240" w:lineRule="auto"/>
              <w:rPr>
                <w:rFonts w:eastAsia="Times New Roman"/>
                <w:noProof/>
              </w:rPr>
            </w:pPr>
            <w:r>
              <w:rPr>
                <w:noProof/>
              </w:rPr>
              <w:t>12 - 4.1. Rendre les impôts plus propices à la croissance et améliorer l'administration fiscale et la perception des impôts - 16656_Nouveau cadre de lutte contre la contrebande, principalement pour les produits soumis à accises (tabac, alcool et énergie)</w:t>
            </w:r>
          </w:p>
        </w:tc>
        <w:tc>
          <w:tcPr>
            <w:tcW w:w="1134" w:type="dxa"/>
            <w:tcBorders>
              <w:top w:val="single" w:sz="4" w:space="0" w:color="auto"/>
              <w:left w:val="nil"/>
              <w:bottom w:val="single" w:sz="4" w:space="0" w:color="auto"/>
              <w:right w:val="single" w:sz="4" w:space="0" w:color="auto"/>
            </w:tcBorders>
            <w:shd w:val="clear" w:color="auto" w:fill="C6EFCE"/>
            <w:noWrap/>
          </w:tcPr>
          <w:p w14:paraId="155DC346" w14:textId="77777777" w:rsidR="00A00259" w:rsidRDefault="00371282">
            <w:pPr>
              <w:pStyle w:val="P68B1DB1-Normal12"/>
              <w:spacing w:after="0" w:line="240" w:lineRule="auto"/>
              <w:rPr>
                <w:rFonts w:eastAsia="Times New Roman"/>
                <w:noProof/>
              </w:rPr>
            </w:pPr>
            <w:r>
              <w:rPr>
                <w:noProof/>
              </w:rPr>
              <w:t>Étape</w:t>
            </w:r>
          </w:p>
        </w:tc>
        <w:tc>
          <w:tcPr>
            <w:tcW w:w="1409" w:type="dxa"/>
            <w:tcBorders>
              <w:top w:val="single" w:sz="4" w:space="0" w:color="auto"/>
              <w:left w:val="nil"/>
              <w:bottom w:val="single" w:sz="4" w:space="0" w:color="auto"/>
              <w:right w:val="single" w:sz="4" w:space="0" w:color="auto"/>
            </w:tcBorders>
            <w:shd w:val="clear" w:color="auto" w:fill="C6EFCE"/>
            <w:noWrap/>
          </w:tcPr>
          <w:p w14:paraId="49190BF4" w14:textId="77777777" w:rsidR="00A00259" w:rsidRDefault="00371282">
            <w:pPr>
              <w:pStyle w:val="P68B1DB1-Normal12"/>
              <w:spacing w:after="0" w:line="240" w:lineRule="auto"/>
              <w:rPr>
                <w:rFonts w:eastAsia="Times New Roman"/>
                <w:noProof/>
              </w:rPr>
            </w:pPr>
            <w:r>
              <w:rPr>
                <w:noProof/>
              </w:rPr>
              <w:t>Lutte contre le trafic de migrants – Feuille de route pour les décisions réglementaires</w:t>
            </w:r>
          </w:p>
        </w:tc>
        <w:tc>
          <w:tcPr>
            <w:tcW w:w="1803" w:type="dxa"/>
            <w:tcBorders>
              <w:top w:val="single" w:sz="4" w:space="0" w:color="auto"/>
              <w:left w:val="nil"/>
              <w:bottom w:val="single" w:sz="4" w:space="0" w:color="auto"/>
              <w:right w:val="single" w:sz="4" w:space="0" w:color="auto"/>
            </w:tcBorders>
            <w:shd w:val="clear" w:color="auto" w:fill="C6EFCE"/>
            <w:noWrap/>
          </w:tcPr>
          <w:p w14:paraId="60EC59F8" w14:textId="77777777" w:rsidR="00A00259" w:rsidRDefault="00371282">
            <w:pPr>
              <w:pStyle w:val="P68B1DB1-Normal12"/>
              <w:spacing w:after="0" w:line="240" w:lineRule="auto"/>
              <w:rPr>
                <w:rFonts w:eastAsia="Times New Roman"/>
                <w:noProof/>
              </w:rPr>
            </w:pPr>
            <w:r>
              <w:rPr>
                <w:noProof/>
              </w:rPr>
              <w:t>Rapport de l’Autorité indépendante des recettes publiques contenant la feuille de route pour les décisions/circulaires relatives à la lutte contre la contrebande.</w:t>
            </w:r>
          </w:p>
        </w:tc>
        <w:tc>
          <w:tcPr>
            <w:tcW w:w="1065" w:type="dxa"/>
            <w:tcBorders>
              <w:top w:val="single" w:sz="4" w:space="0" w:color="auto"/>
              <w:left w:val="nil"/>
              <w:bottom w:val="single" w:sz="4" w:space="0" w:color="auto"/>
              <w:right w:val="single" w:sz="4" w:space="0" w:color="auto"/>
            </w:tcBorders>
            <w:shd w:val="clear" w:color="auto" w:fill="C6EFCE"/>
            <w:noWrap/>
          </w:tcPr>
          <w:p w14:paraId="6644602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1" w:type="dxa"/>
            <w:tcBorders>
              <w:top w:val="single" w:sz="4" w:space="0" w:color="auto"/>
              <w:left w:val="nil"/>
              <w:bottom w:val="single" w:sz="4" w:space="0" w:color="auto"/>
              <w:right w:val="single" w:sz="4" w:space="0" w:color="auto"/>
            </w:tcBorders>
            <w:shd w:val="clear" w:color="auto" w:fill="C6EFCE"/>
            <w:noWrap/>
          </w:tcPr>
          <w:p w14:paraId="68288E1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77" w:type="dxa"/>
            <w:tcBorders>
              <w:top w:val="single" w:sz="4" w:space="0" w:color="auto"/>
              <w:left w:val="nil"/>
              <w:bottom w:val="single" w:sz="4" w:space="0" w:color="auto"/>
              <w:right w:val="single" w:sz="4" w:space="0" w:color="auto"/>
            </w:tcBorders>
            <w:shd w:val="clear" w:color="auto" w:fill="C6EFCE"/>
            <w:noWrap/>
          </w:tcPr>
          <w:p w14:paraId="76DF890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7898C3BB" w14:textId="77777777" w:rsidR="00A00259" w:rsidRDefault="00371282">
            <w:pPr>
              <w:pStyle w:val="P68B1DB1-Normal12"/>
              <w:spacing w:after="0" w:line="240" w:lineRule="auto"/>
              <w:rPr>
                <w:rFonts w:eastAsia="Times New Roman"/>
                <w:noProof/>
              </w:rPr>
            </w:pPr>
            <w:r>
              <w:rPr>
                <w:noProof/>
              </w:rPr>
              <w:t>T1</w:t>
            </w:r>
          </w:p>
        </w:tc>
        <w:tc>
          <w:tcPr>
            <w:tcW w:w="1182" w:type="dxa"/>
            <w:tcBorders>
              <w:top w:val="single" w:sz="4" w:space="0" w:color="auto"/>
              <w:left w:val="nil"/>
              <w:bottom w:val="single" w:sz="4" w:space="0" w:color="auto"/>
              <w:right w:val="single" w:sz="4" w:space="0" w:color="auto"/>
            </w:tcBorders>
            <w:shd w:val="clear" w:color="auto" w:fill="C6EFCE"/>
            <w:noWrap/>
          </w:tcPr>
          <w:p w14:paraId="1799D63F" w14:textId="77777777" w:rsidR="00A00259" w:rsidRDefault="00371282">
            <w:pPr>
              <w:pStyle w:val="P68B1DB1-Normal12"/>
              <w:spacing w:after="0" w:line="240" w:lineRule="auto"/>
              <w:rPr>
                <w:rFonts w:eastAsia="Times New Roman"/>
                <w:noProof/>
              </w:rPr>
            </w:pPr>
            <w:r>
              <w:rPr>
                <w:noProof/>
              </w:rPr>
              <w:t>2022</w:t>
            </w:r>
          </w:p>
        </w:tc>
        <w:tc>
          <w:tcPr>
            <w:tcW w:w="3410" w:type="dxa"/>
            <w:tcBorders>
              <w:top w:val="single" w:sz="4" w:space="0" w:color="auto"/>
              <w:left w:val="single" w:sz="4" w:space="0" w:color="auto"/>
              <w:bottom w:val="single" w:sz="4" w:space="0" w:color="auto"/>
              <w:right w:val="single" w:sz="4" w:space="0" w:color="auto"/>
            </w:tcBorders>
            <w:shd w:val="clear" w:color="auto" w:fill="C6EFCE"/>
            <w:noWrap/>
          </w:tcPr>
          <w:p w14:paraId="03BCE55D" w14:textId="77777777" w:rsidR="00A00259" w:rsidRDefault="00371282">
            <w:pPr>
              <w:pStyle w:val="P68B1DB1-Normal12"/>
              <w:spacing w:after="0" w:line="240" w:lineRule="auto"/>
              <w:rPr>
                <w:rFonts w:eastAsia="Times New Roman"/>
                <w:noProof/>
              </w:rPr>
            </w:pPr>
            <w:r>
              <w:rPr>
                <w:noProof/>
              </w:rPr>
              <w:t>L’autorité indépendante des recettes publiques adopte une feuille de route (y compris un calendrier) pour la publication des décisions/circulaires relatives à la réforme du cadre juridique en matière de lutte contre la contrebande.</w:t>
            </w:r>
          </w:p>
          <w:p w14:paraId="00B7D64A" w14:textId="77777777" w:rsidR="00A00259" w:rsidRDefault="00A00259">
            <w:pPr>
              <w:spacing w:after="0" w:line="240" w:lineRule="auto"/>
              <w:rPr>
                <w:rFonts w:ascii="Times New Roman" w:eastAsia="Times New Roman" w:hAnsi="Times New Roman" w:cs="Times New Roman"/>
                <w:noProof/>
                <w:color w:val="006100"/>
                <w:sz w:val="18"/>
                <w:szCs w:val="18"/>
              </w:rPr>
            </w:pPr>
          </w:p>
          <w:p w14:paraId="27A47C86" w14:textId="77777777" w:rsidR="00A00259" w:rsidRDefault="00371282">
            <w:pPr>
              <w:pStyle w:val="P68B1DB1-Normal12"/>
              <w:spacing w:after="0" w:line="240" w:lineRule="auto"/>
              <w:rPr>
                <w:rFonts w:eastAsia="Times New Roman"/>
                <w:noProof/>
              </w:rPr>
            </w:pPr>
            <w:r>
              <w:rPr>
                <w:noProof/>
              </w:rPr>
              <w:t>L’autorité indépendante des recettes publiques publie un rapport sur la feuille de route pour la publication des décisions/circulaires, détaillant les étapes nécessaires à la refonte des systèmes d’information opérationnels ICISNET et ELENXIS, dans le but de hiérarchiser efficacement les risques de non-conformité et de générer les meilleurs profils d’audit possibles, en utilisant les informations provenant des bases de données nationales et de l’Union européenne.</w:t>
            </w:r>
          </w:p>
        </w:tc>
      </w:tr>
      <w:tr w:rsidR="00A00259" w14:paraId="3298A682" w14:textId="77777777" w:rsidTr="00096954">
        <w:trPr>
          <w:gridBefore w:val="1"/>
          <w:wBefore w:w="6" w:type="dxa"/>
          <w:trHeight w:val="313"/>
          <w:jc w:val="center"/>
        </w:trPr>
        <w:tc>
          <w:tcPr>
            <w:tcW w:w="669" w:type="dxa"/>
            <w:tcBorders>
              <w:top w:val="nil"/>
              <w:left w:val="single" w:sz="4" w:space="0" w:color="auto"/>
              <w:bottom w:val="single" w:sz="4" w:space="0" w:color="auto"/>
              <w:right w:val="single" w:sz="4" w:space="0" w:color="auto"/>
            </w:tcBorders>
            <w:shd w:val="clear" w:color="auto" w:fill="C6EFCE"/>
            <w:noWrap/>
          </w:tcPr>
          <w:p w14:paraId="67DE39E2" w14:textId="77777777" w:rsidR="00A00259" w:rsidRDefault="00371282">
            <w:pPr>
              <w:pStyle w:val="P68B1DB1-Normal12"/>
              <w:spacing w:after="0" w:line="240" w:lineRule="auto"/>
              <w:rPr>
                <w:rFonts w:eastAsia="Times New Roman"/>
                <w:noProof/>
              </w:rPr>
            </w:pPr>
            <w:r>
              <w:rPr>
                <w:noProof/>
              </w:rPr>
              <w:t>191</w:t>
            </w:r>
          </w:p>
        </w:tc>
        <w:tc>
          <w:tcPr>
            <w:tcW w:w="2410" w:type="dxa"/>
            <w:tcBorders>
              <w:top w:val="nil"/>
              <w:left w:val="nil"/>
              <w:bottom w:val="single" w:sz="4" w:space="0" w:color="auto"/>
              <w:right w:val="single" w:sz="4" w:space="0" w:color="auto"/>
            </w:tcBorders>
            <w:shd w:val="clear" w:color="auto" w:fill="C6EFCE"/>
            <w:noWrap/>
          </w:tcPr>
          <w:p w14:paraId="535F819F" w14:textId="77777777" w:rsidR="00A00259" w:rsidRDefault="00371282">
            <w:pPr>
              <w:pStyle w:val="P68B1DB1-Normal12"/>
              <w:spacing w:after="0" w:line="240" w:lineRule="auto"/>
              <w:rPr>
                <w:rFonts w:eastAsia="Times New Roman"/>
                <w:noProof/>
              </w:rPr>
            </w:pPr>
            <w:r>
              <w:rPr>
                <w:noProof/>
              </w:rPr>
              <w:t>12 - 4.1. Rendre les impôts plus propices à la croissance et améliorer l'administration fiscale et la perception des impôts - 16656_Nouveau cadre de lutte contre la contrebande, principalement pour les produits soumis à accises (tabac, alcool et énergie)</w:t>
            </w:r>
          </w:p>
        </w:tc>
        <w:tc>
          <w:tcPr>
            <w:tcW w:w="1134" w:type="dxa"/>
            <w:tcBorders>
              <w:top w:val="nil"/>
              <w:left w:val="nil"/>
              <w:bottom w:val="single" w:sz="4" w:space="0" w:color="auto"/>
              <w:right w:val="single" w:sz="4" w:space="0" w:color="auto"/>
            </w:tcBorders>
            <w:shd w:val="clear" w:color="auto" w:fill="C6EFCE"/>
            <w:noWrap/>
          </w:tcPr>
          <w:p w14:paraId="11FC8788" w14:textId="77777777" w:rsidR="00A00259" w:rsidRDefault="00371282">
            <w:pPr>
              <w:pStyle w:val="P68B1DB1-Normal12"/>
              <w:spacing w:after="0" w:line="240" w:lineRule="auto"/>
              <w:rPr>
                <w:rFonts w:eastAsia="Times New Roman"/>
                <w:noProof/>
              </w:rPr>
            </w:pPr>
            <w:r>
              <w:rPr>
                <w:noProof/>
              </w:rPr>
              <w:t>Étape</w:t>
            </w:r>
          </w:p>
        </w:tc>
        <w:tc>
          <w:tcPr>
            <w:tcW w:w="1409" w:type="dxa"/>
            <w:tcBorders>
              <w:top w:val="nil"/>
              <w:left w:val="nil"/>
              <w:bottom w:val="single" w:sz="4" w:space="0" w:color="auto"/>
              <w:right w:val="single" w:sz="4" w:space="0" w:color="auto"/>
            </w:tcBorders>
            <w:shd w:val="clear" w:color="auto" w:fill="C6EFCE"/>
            <w:noWrap/>
          </w:tcPr>
          <w:p w14:paraId="1FE82CEC" w14:textId="77777777" w:rsidR="00A00259" w:rsidRDefault="00371282">
            <w:pPr>
              <w:pStyle w:val="P68B1DB1-Normal12"/>
              <w:spacing w:after="0" w:line="240" w:lineRule="auto"/>
              <w:rPr>
                <w:rFonts w:eastAsia="Times New Roman"/>
                <w:noProof/>
              </w:rPr>
            </w:pPr>
            <w:r>
              <w:rPr>
                <w:noProof/>
              </w:rPr>
              <w:t>Lutte contre la contrebande – entrée en vigueur des décisions réglementaires</w:t>
            </w:r>
          </w:p>
        </w:tc>
        <w:tc>
          <w:tcPr>
            <w:tcW w:w="1803" w:type="dxa"/>
            <w:tcBorders>
              <w:top w:val="nil"/>
              <w:left w:val="nil"/>
              <w:bottom w:val="single" w:sz="4" w:space="0" w:color="auto"/>
              <w:right w:val="single" w:sz="4" w:space="0" w:color="auto"/>
            </w:tcBorders>
            <w:shd w:val="clear" w:color="auto" w:fill="C6EFCE"/>
            <w:noWrap/>
          </w:tcPr>
          <w:p w14:paraId="29101C46" w14:textId="77777777" w:rsidR="00A00259" w:rsidRDefault="00371282">
            <w:pPr>
              <w:pStyle w:val="P68B1DB1-Normal12"/>
              <w:spacing w:after="0" w:line="240" w:lineRule="auto"/>
              <w:rPr>
                <w:rFonts w:eastAsia="Times New Roman"/>
                <w:noProof/>
              </w:rPr>
            </w:pPr>
            <w:r>
              <w:rPr>
                <w:noProof/>
              </w:rPr>
              <w:t>Les décisions/circulaires réglementaires sont entrées en vigueur.</w:t>
            </w:r>
          </w:p>
        </w:tc>
        <w:tc>
          <w:tcPr>
            <w:tcW w:w="1065" w:type="dxa"/>
            <w:tcBorders>
              <w:top w:val="nil"/>
              <w:left w:val="nil"/>
              <w:bottom w:val="single" w:sz="4" w:space="0" w:color="auto"/>
              <w:right w:val="single" w:sz="4" w:space="0" w:color="auto"/>
            </w:tcBorders>
            <w:shd w:val="clear" w:color="auto" w:fill="C6EFCE"/>
            <w:noWrap/>
          </w:tcPr>
          <w:p w14:paraId="6A19684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1" w:type="dxa"/>
            <w:tcBorders>
              <w:top w:val="nil"/>
              <w:left w:val="nil"/>
              <w:bottom w:val="single" w:sz="4" w:space="0" w:color="auto"/>
              <w:right w:val="single" w:sz="4" w:space="0" w:color="auto"/>
            </w:tcBorders>
            <w:shd w:val="clear" w:color="auto" w:fill="C6EFCE"/>
            <w:noWrap/>
          </w:tcPr>
          <w:p w14:paraId="6BC2EE4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77" w:type="dxa"/>
            <w:tcBorders>
              <w:top w:val="nil"/>
              <w:left w:val="nil"/>
              <w:bottom w:val="single" w:sz="4" w:space="0" w:color="auto"/>
              <w:right w:val="single" w:sz="4" w:space="0" w:color="auto"/>
            </w:tcBorders>
            <w:shd w:val="clear" w:color="auto" w:fill="C6EFCE"/>
            <w:noWrap/>
          </w:tcPr>
          <w:p w14:paraId="303CA66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tcBorders>
              <w:top w:val="nil"/>
              <w:left w:val="nil"/>
              <w:bottom w:val="single" w:sz="4" w:space="0" w:color="auto"/>
              <w:right w:val="single" w:sz="4" w:space="0" w:color="auto"/>
            </w:tcBorders>
            <w:shd w:val="clear" w:color="auto" w:fill="C6EFCE"/>
            <w:noWrap/>
          </w:tcPr>
          <w:p w14:paraId="21C8EB07" w14:textId="77777777" w:rsidR="00A00259" w:rsidRDefault="00371282">
            <w:pPr>
              <w:pStyle w:val="P68B1DB1-Normal12"/>
              <w:spacing w:after="0" w:line="240" w:lineRule="auto"/>
              <w:rPr>
                <w:rFonts w:eastAsia="Times New Roman"/>
                <w:noProof/>
              </w:rPr>
            </w:pPr>
            <w:r>
              <w:rPr>
                <w:noProof/>
              </w:rPr>
              <w:t>T3</w:t>
            </w:r>
          </w:p>
        </w:tc>
        <w:tc>
          <w:tcPr>
            <w:tcW w:w="1182" w:type="dxa"/>
            <w:tcBorders>
              <w:top w:val="nil"/>
              <w:left w:val="nil"/>
              <w:bottom w:val="single" w:sz="4" w:space="0" w:color="auto"/>
              <w:right w:val="single" w:sz="4" w:space="0" w:color="auto"/>
            </w:tcBorders>
            <w:shd w:val="clear" w:color="auto" w:fill="C6EFCE"/>
            <w:noWrap/>
          </w:tcPr>
          <w:p w14:paraId="33ED4010" w14:textId="77777777" w:rsidR="00A00259" w:rsidRDefault="00371282">
            <w:pPr>
              <w:pStyle w:val="P68B1DB1-Normal12"/>
              <w:spacing w:after="0" w:line="240" w:lineRule="auto"/>
              <w:rPr>
                <w:rFonts w:eastAsia="Times New Roman"/>
                <w:noProof/>
              </w:rPr>
            </w:pPr>
            <w:r>
              <w:rPr>
                <w:noProof/>
              </w:rPr>
              <w:t>2022</w:t>
            </w:r>
          </w:p>
        </w:tc>
        <w:tc>
          <w:tcPr>
            <w:tcW w:w="3410" w:type="dxa"/>
            <w:tcBorders>
              <w:top w:val="single" w:sz="4" w:space="0" w:color="auto"/>
              <w:left w:val="nil"/>
              <w:bottom w:val="single" w:sz="4" w:space="0" w:color="auto"/>
              <w:right w:val="single" w:sz="4" w:space="0" w:color="auto"/>
            </w:tcBorders>
            <w:shd w:val="clear" w:color="auto" w:fill="C6EFCE"/>
            <w:noWrap/>
          </w:tcPr>
          <w:p w14:paraId="2FBF7B75" w14:textId="77777777" w:rsidR="00A00259" w:rsidRDefault="00371282">
            <w:pPr>
              <w:pStyle w:val="P68B1DB1-Normal12"/>
              <w:spacing w:after="0" w:line="240" w:lineRule="auto"/>
              <w:rPr>
                <w:rFonts w:eastAsia="Times New Roman"/>
                <w:noProof/>
              </w:rPr>
            </w:pPr>
            <w:r>
              <w:rPr>
                <w:noProof/>
              </w:rPr>
              <w:t>Entrée en vigueur de 15 décisions/circulaires réglementaires adoptées par l’Autorité indépendante des recettes publiques sur la conception d’un nouveau système intégré de lutte contre la contrebande.</w:t>
            </w:r>
          </w:p>
          <w:p w14:paraId="5FF00295" w14:textId="77777777" w:rsidR="00A00259" w:rsidRDefault="00A00259">
            <w:pPr>
              <w:spacing w:after="0" w:line="240" w:lineRule="auto"/>
              <w:rPr>
                <w:rFonts w:ascii="Times New Roman" w:eastAsia="Times New Roman" w:hAnsi="Times New Roman" w:cs="Times New Roman"/>
                <w:noProof/>
                <w:color w:val="006100"/>
                <w:sz w:val="18"/>
                <w:szCs w:val="18"/>
              </w:rPr>
            </w:pPr>
          </w:p>
          <w:p w14:paraId="159FE81F" w14:textId="77777777" w:rsidR="00A00259" w:rsidRDefault="00371282">
            <w:pPr>
              <w:pStyle w:val="P68B1DB1-Normal12"/>
              <w:spacing w:after="0" w:line="240" w:lineRule="auto"/>
              <w:rPr>
                <w:rFonts w:eastAsia="Times New Roman"/>
                <w:noProof/>
              </w:rPr>
            </w:pPr>
            <w:r>
              <w:rPr>
                <w:noProof/>
              </w:rPr>
              <w:t>Conformément à la feuille de route fixée au 31 mars 2022, la/les décision(s)/circulaire(s) entrée(s) en vigueur concerne(nt) la préparation d’un nouveau système intégré qui soutiendra le processus d’audit en surveillant les transactions et procédures douanières en temps réel. Ce système fonctionne en visant un ciblage meilleur et plus rapide des services douaniers chargés des poursuites avec un contrôle central et aux points présentant un grand intérêt.</w:t>
            </w:r>
          </w:p>
        </w:tc>
      </w:tr>
      <w:tr w:rsidR="00A00259" w14:paraId="06581D34" w14:textId="77777777" w:rsidTr="00096954">
        <w:trPr>
          <w:gridBefore w:val="1"/>
          <w:wBefore w:w="6" w:type="dxa"/>
          <w:trHeight w:val="313"/>
          <w:jc w:val="center"/>
        </w:trPr>
        <w:tc>
          <w:tcPr>
            <w:tcW w:w="669" w:type="dxa"/>
            <w:tcBorders>
              <w:top w:val="nil"/>
              <w:left w:val="single" w:sz="4" w:space="0" w:color="auto"/>
              <w:bottom w:val="single" w:sz="4" w:space="0" w:color="auto"/>
              <w:right w:val="single" w:sz="4" w:space="0" w:color="auto"/>
            </w:tcBorders>
            <w:shd w:val="clear" w:color="auto" w:fill="C6EFCE"/>
            <w:noWrap/>
          </w:tcPr>
          <w:p w14:paraId="25389A60" w14:textId="77777777" w:rsidR="00A00259" w:rsidRDefault="00371282">
            <w:pPr>
              <w:pStyle w:val="P68B1DB1-Normal12"/>
              <w:spacing w:after="0" w:line="240" w:lineRule="auto"/>
              <w:rPr>
                <w:rFonts w:eastAsia="Times New Roman"/>
                <w:noProof/>
              </w:rPr>
            </w:pPr>
            <w:r>
              <w:rPr>
                <w:noProof/>
              </w:rPr>
              <w:t>192</w:t>
            </w:r>
          </w:p>
        </w:tc>
        <w:tc>
          <w:tcPr>
            <w:tcW w:w="2410" w:type="dxa"/>
            <w:tcBorders>
              <w:top w:val="nil"/>
              <w:left w:val="nil"/>
              <w:bottom w:val="single" w:sz="4" w:space="0" w:color="auto"/>
              <w:right w:val="single" w:sz="4" w:space="0" w:color="auto"/>
            </w:tcBorders>
            <w:shd w:val="clear" w:color="auto" w:fill="C6EFCE"/>
            <w:noWrap/>
          </w:tcPr>
          <w:p w14:paraId="078723DA" w14:textId="77777777" w:rsidR="00A00259" w:rsidRDefault="00371282">
            <w:pPr>
              <w:pStyle w:val="P68B1DB1-Normal12"/>
              <w:spacing w:after="0" w:line="240" w:lineRule="auto"/>
              <w:rPr>
                <w:rFonts w:eastAsia="Times New Roman"/>
                <w:noProof/>
                <w:highlight w:val="yellow"/>
              </w:rPr>
            </w:pPr>
            <w:r>
              <w:rPr>
                <w:noProof/>
              </w:rPr>
              <w:t>12 - 4.1. Rendre les impôts plus propices à la croissance et améliorer l'administration fiscale et la perception des impôts - 16611_Transformation numérique des contrôles fiscaux</w:t>
            </w:r>
          </w:p>
        </w:tc>
        <w:tc>
          <w:tcPr>
            <w:tcW w:w="1134" w:type="dxa"/>
            <w:tcBorders>
              <w:top w:val="nil"/>
              <w:left w:val="nil"/>
              <w:bottom w:val="single" w:sz="4" w:space="0" w:color="auto"/>
              <w:right w:val="single" w:sz="4" w:space="0" w:color="auto"/>
            </w:tcBorders>
            <w:shd w:val="clear" w:color="auto" w:fill="C6EFCE"/>
            <w:noWrap/>
          </w:tcPr>
          <w:p w14:paraId="667726E7" w14:textId="77777777" w:rsidR="00A00259" w:rsidRDefault="00371282">
            <w:pPr>
              <w:pStyle w:val="P68B1DB1-Normal12"/>
              <w:spacing w:after="0" w:line="240" w:lineRule="auto"/>
              <w:rPr>
                <w:rFonts w:eastAsia="Times New Roman"/>
                <w:noProof/>
              </w:rPr>
            </w:pPr>
            <w:r>
              <w:rPr>
                <w:noProof/>
              </w:rPr>
              <w:t>Étape</w:t>
            </w:r>
          </w:p>
        </w:tc>
        <w:tc>
          <w:tcPr>
            <w:tcW w:w="1409" w:type="dxa"/>
            <w:tcBorders>
              <w:top w:val="nil"/>
              <w:left w:val="nil"/>
              <w:bottom w:val="single" w:sz="4" w:space="0" w:color="auto"/>
              <w:right w:val="single" w:sz="4" w:space="0" w:color="auto"/>
            </w:tcBorders>
            <w:shd w:val="clear" w:color="auto" w:fill="C6EFCE"/>
            <w:noWrap/>
          </w:tcPr>
          <w:p w14:paraId="041C5B6A" w14:textId="77777777" w:rsidR="00A00259" w:rsidRDefault="00371282">
            <w:pPr>
              <w:pStyle w:val="P68B1DB1-Normal12"/>
              <w:spacing w:after="0" w:line="240" w:lineRule="auto"/>
              <w:rPr>
                <w:rFonts w:eastAsia="Times New Roman"/>
                <w:noProof/>
              </w:rPr>
            </w:pPr>
            <w:r>
              <w:rPr>
                <w:noProof/>
              </w:rPr>
              <w:t>Audits fiscaux – Mydata et informations bancaires</w:t>
            </w:r>
          </w:p>
        </w:tc>
        <w:tc>
          <w:tcPr>
            <w:tcW w:w="1803" w:type="dxa"/>
            <w:tcBorders>
              <w:top w:val="nil"/>
              <w:left w:val="nil"/>
              <w:bottom w:val="single" w:sz="4" w:space="0" w:color="auto"/>
              <w:right w:val="single" w:sz="4" w:space="0" w:color="auto"/>
            </w:tcBorders>
            <w:shd w:val="clear" w:color="auto" w:fill="C6EFCE"/>
            <w:noWrap/>
          </w:tcPr>
          <w:p w14:paraId="4EEBAFC6" w14:textId="77777777" w:rsidR="00A00259" w:rsidRDefault="00371282">
            <w:pPr>
              <w:pStyle w:val="P68B1DB1-Normal12"/>
              <w:spacing w:after="0" w:line="240" w:lineRule="auto"/>
              <w:rPr>
                <w:rFonts w:eastAsia="Times New Roman"/>
                <w:noProof/>
              </w:rPr>
            </w:pPr>
            <w:r>
              <w:rPr>
                <w:noProof/>
              </w:rPr>
              <w:t>Rapport de l'Autorité indépendante des recettes publiques attestant:</w:t>
            </w:r>
          </w:p>
          <w:p w14:paraId="42C31699" w14:textId="77777777" w:rsidR="00A00259" w:rsidRDefault="00371282">
            <w:pPr>
              <w:pStyle w:val="P68B1DB1-Normal12"/>
              <w:spacing w:after="0" w:line="240" w:lineRule="auto"/>
              <w:rPr>
                <w:rFonts w:eastAsia="Times New Roman"/>
                <w:noProof/>
              </w:rPr>
            </w:pPr>
            <w:r>
              <w:rPr>
                <w:noProof/>
              </w:rPr>
              <w:t>a) Activation complète du système Mydata.</w:t>
            </w:r>
          </w:p>
          <w:p w14:paraId="5146B2FD" w14:textId="77777777" w:rsidR="00A00259" w:rsidRDefault="00371282">
            <w:pPr>
              <w:pStyle w:val="P68B1DB1-Normal12"/>
              <w:spacing w:after="0" w:line="240" w:lineRule="auto"/>
              <w:rPr>
                <w:rFonts w:eastAsia="Times New Roman"/>
                <w:noProof/>
              </w:rPr>
            </w:pPr>
            <w:r>
              <w:rPr>
                <w:noProof/>
              </w:rPr>
              <w:t>b) Achèvement du projet d'interconnexion et d'utilisation des informations bancaires de tiers par l'Autorité indépendante des recettes publiques.</w:t>
            </w:r>
          </w:p>
        </w:tc>
        <w:tc>
          <w:tcPr>
            <w:tcW w:w="1065" w:type="dxa"/>
            <w:tcBorders>
              <w:top w:val="nil"/>
              <w:left w:val="nil"/>
              <w:bottom w:val="single" w:sz="4" w:space="0" w:color="auto"/>
              <w:right w:val="single" w:sz="4" w:space="0" w:color="auto"/>
            </w:tcBorders>
            <w:shd w:val="clear" w:color="auto" w:fill="C6EFCE"/>
            <w:noWrap/>
          </w:tcPr>
          <w:p w14:paraId="204D71B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1" w:type="dxa"/>
            <w:tcBorders>
              <w:top w:val="nil"/>
              <w:left w:val="nil"/>
              <w:bottom w:val="single" w:sz="4" w:space="0" w:color="auto"/>
              <w:right w:val="single" w:sz="4" w:space="0" w:color="auto"/>
            </w:tcBorders>
            <w:shd w:val="clear" w:color="auto" w:fill="C6EFCE"/>
            <w:noWrap/>
          </w:tcPr>
          <w:p w14:paraId="5610899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77" w:type="dxa"/>
            <w:tcBorders>
              <w:top w:val="nil"/>
              <w:left w:val="nil"/>
              <w:bottom w:val="single" w:sz="4" w:space="0" w:color="auto"/>
              <w:right w:val="single" w:sz="4" w:space="0" w:color="auto"/>
            </w:tcBorders>
            <w:shd w:val="clear" w:color="auto" w:fill="C6EFCE"/>
            <w:noWrap/>
          </w:tcPr>
          <w:p w14:paraId="537A64D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tcBorders>
              <w:top w:val="nil"/>
              <w:left w:val="nil"/>
              <w:bottom w:val="single" w:sz="4" w:space="0" w:color="auto"/>
              <w:right w:val="single" w:sz="4" w:space="0" w:color="auto"/>
            </w:tcBorders>
            <w:shd w:val="clear" w:color="auto" w:fill="C6EFCE"/>
            <w:noWrap/>
          </w:tcPr>
          <w:p w14:paraId="197AFB19" w14:textId="77777777" w:rsidR="00A00259" w:rsidRDefault="00371282">
            <w:pPr>
              <w:pStyle w:val="P68B1DB1-Normal12"/>
              <w:spacing w:after="0" w:line="240" w:lineRule="auto"/>
              <w:rPr>
                <w:rFonts w:eastAsia="Times New Roman"/>
                <w:noProof/>
              </w:rPr>
            </w:pPr>
            <w:r>
              <w:rPr>
                <w:noProof/>
              </w:rPr>
              <w:t>T4</w:t>
            </w:r>
          </w:p>
        </w:tc>
        <w:tc>
          <w:tcPr>
            <w:tcW w:w="1182" w:type="dxa"/>
            <w:tcBorders>
              <w:top w:val="nil"/>
              <w:left w:val="nil"/>
              <w:bottom w:val="single" w:sz="4" w:space="0" w:color="auto"/>
              <w:right w:val="single" w:sz="4" w:space="0" w:color="auto"/>
            </w:tcBorders>
            <w:shd w:val="clear" w:color="auto" w:fill="C6EFCE"/>
            <w:noWrap/>
          </w:tcPr>
          <w:p w14:paraId="1DFFBF02" w14:textId="77777777" w:rsidR="00A00259" w:rsidRDefault="00371282">
            <w:pPr>
              <w:pStyle w:val="P68B1DB1-Normal12"/>
              <w:spacing w:after="0" w:line="240" w:lineRule="auto"/>
              <w:rPr>
                <w:rFonts w:eastAsia="Times New Roman"/>
                <w:noProof/>
              </w:rPr>
            </w:pPr>
            <w:r>
              <w:rPr>
                <w:noProof/>
              </w:rPr>
              <w:t>2023</w:t>
            </w:r>
          </w:p>
        </w:tc>
        <w:tc>
          <w:tcPr>
            <w:tcW w:w="3410" w:type="dxa"/>
            <w:tcBorders>
              <w:top w:val="nil"/>
              <w:left w:val="nil"/>
              <w:bottom w:val="single" w:sz="4" w:space="0" w:color="auto"/>
              <w:right w:val="single" w:sz="4" w:space="0" w:color="auto"/>
            </w:tcBorders>
            <w:shd w:val="clear" w:color="auto" w:fill="C6EFCE"/>
            <w:noWrap/>
          </w:tcPr>
          <w:p w14:paraId="774F69CB" w14:textId="77777777" w:rsidR="00A00259" w:rsidRDefault="00371282">
            <w:pPr>
              <w:pStyle w:val="P68B1DB1-Normal12"/>
              <w:spacing w:after="0" w:line="240" w:lineRule="auto"/>
              <w:rPr>
                <w:noProof/>
              </w:rPr>
            </w:pPr>
            <w:r>
              <w:rPr>
                <w:noProof/>
              </w:rPr>
              <w:t xml:space="preserve">Activation de </w:t>
            </w:r>
          </w:p>
          <w:p w14:paraId="3C9A882F" w14:textId="77777777" w:rsidR="00A00259" w:rsidRDefault="00371282">
            <w:pPr>
              <w:pStyle w:val="P68B1DB1-ListParagraph34"/>
              <w:numPr>
                <w:ilvl w:val="0"/>
                <w:numId w:val="57"/>
              </w:numPr>
              <w:spacing w:after="0" w:line="240" w:lineRule="auto"/>
              <w:ind w:left="169" w:hanging="142"/>
              <w:rPr>
                <w:rFonts w:eastAsia="Times New Roman"/>
                <w:noProof/>
              </w:rPr>
            </w:pPr>
            <w:r>
              <w:rPr>
                <w:noProof/>
              </w:rPr>
              <w:t xml:space="preserve">Le système myDATA et son interconnexion et l'utilisation d'informations bancaires de tiers, dans le but d'améliorer le respect des règles fiscales par les entreprises, de faciliter le remplissage automatique des déclarations fiscales et d'améliorer l'efficacité des contrôles fiscaux. </w:t>
            </w:r>
          </w:p>
          <w:p w14:paraId="0F673B3C" w14:textId="77777777" w:rsidR="00A00259" w:rsidRDefault="00371282">
            <w:pPr>
              <w:pStyle w:val="P68B1DB1-ListParagraph34"/>
              <w:numPr>
                <w:ilvl w:val="0"/>
                <w:numId w:val="57"/>
              </w:numPr>
              <w:spacing w:after="0" w:line="240" w:lineRule="auto"/>
              <w:ind w:left="169" w:hanging="164"/>
              <w:rPr>
                <w:rFonts w:eastAsia="Times New Roman"/>
                <w:noProof/>
              </w:rPr>
            </w:pPr>
            <w:r>
              <w:rPr>
                <w:noProof/>
              </w:rPr>
              <w:t>La facilité myDATA pour la comptabilité électronique, la facturation électronique et la connexion de toutes les caisses enregistreuses fiscales avec ses systèmes informatiques.</w:t>
            </w:r>
          </w:p>
        </w:tc>
      </w:tr>
      <w:tr w:rsidR="00A00259" w14:paraId="7CEDBF71" w14:textId="77777777" w:rsidTr="00096954">
        <w:trPr>
          <w:gridBefore w:val="1"/>
          <w:wBefore w:w="6" w:type="dxa"/>
          <w:trHeight w:val="313"/>
          <w:jc w:val="center"/>
        </w:trPr>
        <w:tc>
          <w:tcPr>
            <w:tcW w:w="669" w:type="dxa"/>
            <w:tcBorders>
              <w:top w:val="single" w:sz="4" w:space="0" w:color="auto"/>
              <w:left w:val="single" w:sz="4" w:space="0" w:color="auto"/>
              <w:bottom w:val="single" w:sz="4" w:space="0" w:color="auto"/>
              <w:right w:val="single" w:sz="4" w:space="0" w:color="auto"/>
            </w:tcBorders>
            <w:shd w:val="clear" w:color="auto" w:fill="C6EFCE"/>
            <w:noWrap/>
          </w:tcPr>
          <w:p w14:paraId="7D651467" w14:textId="77777777" w:rsidR="00A00259" w:rsidRDefault="00371282">
            <w:pPr>
              <w:pStyle w:val="P68B1DB1-Normal12"/>
              <w:spacing w:after="0" w:line="240" w:lineRule="auto"/>
              <w:rPr>
                <w:rFonts w:eastAsia="Times New Roman"/>
                <w:noProof/>
              </w:rPr>
            </w:pPr>
            <w:r>
              <w:rPr>
                <w:noProof/>
              </w:rPr>
              <w:t>193</w:t>
            </w:r>
          </w:p>
        </w:tc>
        <w:tc>
          <w:tcPr>
            <w:tcW w:w="2410" w:type="dxa"/>
            <w:tcBorders>
              <w:top w:val="single" w:sz="4" w:space="0" w:color="auto"/>
              <w:left w:val="nil"/>
              <w:bottom w:val="single" w:sz="4" w:space="0" w:color="auto"/>
              <w:right w:val="single" w:sz="4" w:space="0" w:color="auto"/>
            </w:tcBorders>
            <w:shd w:val="clear" w:color="auto" w:fill="C6EFCE"/>
            <w:noWrap/>
          </w:tcPr>
          <w:p w14:paraId="29CC9C52" w14:textId="77777777" w:rsidR="00A00259" w:rsidRDefault="00371282">
            <w:pPr>
              <w:pStyle w:val="P68B1DB1-Normal12"/>
              <w:spacing w:after="0" w:line="240" w:lineRule="auto"/>
              <w:rPr>
                <w:rFonts w:eastAsia="Times New Roman"/>
                <w:noProof/>
              </w:rPr>
            </w:pPr>
            <w:r>
              <w:rPr>
                <w:noProof/>
              </w:rPr>
              <w:t>12 - 4.1. Rendre les impôts plus propices à la croissance et améliorer l'administration fiscale et la perception des impôts - 16610_Promouvoir l'accélération des remboursements de TVA</w:t>
            </w:r>
          </w:p>
        </w:tc>
        <w:tc>
          <w:tcPr>
            <w:tcW w:w="1134" w:type="dxa"/>
            <w:tcBorders>
              <w:top w:val="single" w:sz="4" w:space="0" w:color="auto"/>
              <w:left w:val="nil"/>
              <w:bottom w:val="single" w:sz="4" w:space="0" w:color="auto"/>
              <w:right w:val="single" w:sz="4" w:space="0" w:color="auto"/>
            </w:tcBorders>
            <w:shd w:val="clear" w:color="auto" w:fill="C6EFCE"/>
            <w:noWrap/>
          </w:tcPr>
          <w:p w14:paraId="2995B4A8" w14:textId="77777777" w:rsidR="00A00259" w:rsidRDefault="00371282">
            <w:pPr>
              <w:pStyle w:val="P68B1DB1-Normal12"/>
              <w:spacing w:after="0" w:line="240" w:lineRule="auto"/>
              <w:rPr>
                <w:rFonts w:eastAsia="Times New Roman"/>
                <w:noProof/>
              </w:rPr>
            </w:pPr>
            <w:r>
              <w:rPr>
                <w:noProof/>
              </w:rPr>
              <w:t>Étape</w:t>
            </w:r>
          </w:p>
        </w:tc>
        <w:tc>
          <w:tcPr>
            <w:tcW w:w="1409" w:type="dxa"/>
            <w:tcBorders>
              <w:top w:val="single" w:sz="4" w:space="0" w:color="auto"/>
              <w:left w:val="nil"/>
              <w:bottom w:val="single" w:sz="4" w:space="0" w:color="auto"/>
              <w:right w:val="single" w:sz="4" w:space="0" w:color="auto"/>
            </w:tcBorders>
            <w:shd w:val="clear" w:color="auto" w:fill="C6EFCE"/>
            <w:noWrap/>
          </w:tcPr>
          <w:p w14:paraId="6F4053B7" w14:textId="77777777" w:rsidR="00A00259" w:rsidRDefault="00371282">
            <w:pPr>
              <w:pStyle w:val="P68B1DB1-Normal12"/>
              <w:spacing w:after="0" w:line="240" w:lineRule="auto"/>
              <w:rPr>
                <w:rFonts w:eastAsia="Times New Roman"/>
                <w:noProof/>
              </w:rPr>
            </w:pPr>
            <w:r>
              <w:rPr>
                <w:noProof/>
              </w:rPr>
              <w:t>Remboursements de TVA entièrement automatisés – lancement du système informatique</w:t>
            </w:r>
          </w:p>
        </w:tc>
        <w:tc>
          <w:tcPr>
            <w:tcW w:w="1803" w:type="dxa"/>
            <w:tcBorders>
              <w:top w:val="single" w:sz="4" w:space="0" w:color="auto"/>
              <w:left w:val="nil"/>
              <w:bottom w:val="single" w:sz="4" w:space="0" w:color="auto"/>
              <w:right w:val="single" w:sz="4" w:space="0" w:color="auto"/>
            </w:tcBorders>
            <w:shd w:val="clear" w:color="auto" w:fill="C6EFCE"/>
            <w:noWrap/>
          </w:tcPr>
          <w:p w14:paraId="11D886A6" w14:textId="77777777" w:rsidR="00A00259" w:rsidRDefault="00371282">
            <w:pPr>
              <w:pStyle w:val="P68B1DB1-Normal12"/>
              <w:spacing w:after="0" w:line="240" w:lineRule="auto"/>
              <w:rPr>
                <w:rFonts w:eastAsia="Times New Roman"/>
                <w:noProof/>
              </w:rPr>
            </w:pPr>
            <w:r>
              <w:rPr>
                <w:noProof/>
              </w:rPr>
              <w:t>Rapport de l’autorité indépendante des recettes publiques attestant du lancement du nouveau système informatique.</w:t>
            </w:r>
          </w:p>
        </w:tc>
        <w:tc>
          <w:tcPr>
            <w:tcW w:w="1065" w:type="dxa"/>
            <w:tcBorders>
              <w:top w:val="single" w:sz="4" w:space="0" w:color="auto"/>
              <w:left w:val="nil"/>
              <w:bottom w:val="single" w:sz="4" w:space="0" w:color="auto"/>
              <w:right w:val="single" w:sz="4" w:space="0" w:color="auto"/>
            </w:tcBorders>
            <w:shd w:val="clear" w:color="auto" w:fill="C6EFCE"/>
            <w:noWrap/>
          </w:tcPr>
          <w:p w14:paraId="3AB248D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1" w:type="dxa"/>
            <w:tcBorders>
              <w:top w:val="single" w:sz="4" w:space="0" w:color="auto"/>
              <w:left w:val="nil"/>
              <w:bottom w:val="single" w:sz="4" w:space="0" w:color="auto"/>
              <w:right w:val="single" w:sz="4" w:space="0" w:color="auto"/>
            </w:tcBorders>
            <w:shd w:val="clear" w:color="auto" w:fill="C6EFCE"/>
            <w:noWrap/>
          </w:tcPr>
          <w:p w14:paraId="64A09B2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77" w:type="dxa"/>
            <w:tcBorders>
              <w:top w:val="single" w:sz="4" w:space="0" w:color="auto"/>
              <w:left w:val="nil"/>
              <w:bottom w:val="single" w:sz="4" w:space="0" w:color="auto"/>
              <w:right w:val="single" w:sz="4" w:space="0" w:color="auto"/>
            </w:tcBorders>
            <w:shd w:val="clear" w:color="auto" w:fill="C6EFCE"/>
            <w:noWrap/>
          </w:tcPr>
          <w:p w14:paraId="006DBCA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0CEA3792" w14:textId="77777777" w:rsidR="00A00259" w:rsidRDefault="00371282">
            <w:pPr>
              <w:pStyle w:val="P68B1DB1-Normal12"/>
              <w:spacing w:after="0" w:line="240" w:lineRule="auto"/>
              <w:rPr>
                <w:rFonts w:eastAsia="Times New Roman"/>
                <w:noProof/>
              </w:rPr>
            </w:pPr>
            <w:r>
              <w:rPr>
                <w:noProof/>
              </w:rPr>
              <w:t>T4</w:t>
            </w:r>
          </w:p>
        </w:tc>
        <w:tc>
          <w:tcPr>
            <w:tcW w:w="1182" w:type="dxa"/>
            <w:tcBorders>
              <w:top w:val="single" w:sz="4" w:space="0" w:color="auto"/>
              <w:left w:val="nil"/>
              <w:bottom w:val="single" w:sz="4" w:space="0" w:color="auto"/>
              <w:right w:val="single" w:sz="4" w:space="0" w:color="auto"/>
            </w:tcBorders>
            <w:shd w:val="clear" w:color="auto" w:fill="C6EFCE"/>
            <w:noWrap/>
          </w:tcPr>
          <w:p w14:paraId="10628FAB" w14:textId="77777777" w:rsidR="00A00259" w:rsidRDefault="00371282">
            <w:pPr>
              <w:pStyle w:val="P68B1DB1-Normal12"/>
              <w:spacing w:after="0" w:line="240" w:lineRule="auto"/>
              <w:rPr>
                <w:rFonts w:eastAsia="Times New Roman"/>
                <w:noProof/>
              </w:rPr>
            </w:pPr>
            <w:r>
              <w:rPr>
                <w:noProof/>
              </w:rPr>
              <w:t>2023</w:t>
            </w:r>
          </w:p>
        </w:tc>
        <w:tc>
          <w:tcPr>
            <w:tcW w:w="3410" w:type="dxa"/>
            <w:tcBorders>
              <w:top w:val="single" w:sz="4" w:space="0" w:color="auto"/>
              <w:left w:val="nil"/>
              <w:bottom w:val="single" w:sz="4" w:space="0" w:color="auto"/>
              <w:right w:val="single" w:sz="4" w:space="0" w:color="auto"/>
            </w:tcBorders>
            <w:shd w:val="clear" w:color="auto" w:fill="C6EFCE"/>
            <w:noWrap/>
          </w:tcPr>
          <w:p w14:paraId="302E57DE" w14:textId="77777777" w:rsidR="00A00259" w:rsidRDefault="00371282">
            <w:pPr>
              <w:pStyle w:val="P68B1DB1-Normal12"/>
              <w:spacing w:after="0" w:line="240" w:lineRule="auto"/>
              <w:rPr>
                <w:rFonts w:eastAsia="Times New Roman"/>
                <w:noProof/>
              </w:rPr>
            </w:pPr>
            <w:r>
              <w:rPr>
                <w:noProof/>
              </w:rPr>
              <w:t>Mise en œuvre de la procédure de remboursement de la TVA entièrement automatisée et de la plateforme informatique permettant de traiter toutes les demandes de remboursement par voie électronique lorsqu’elles ne font pas partie de l’échantillon d’audit dans le cadre du processus d’analyse des risques (au moins 90 % de l’ensemble des demandes par an).</w:t>
            </w:r>
          </w:p>
        </w:tc>
      </w:tr>
      <w:tr w:rsidR="00A00259" w14:paraId="10DA9280" w14:textId="77777777" w:rsidTr="00096954">
        <w:trPr>
          <w:gridBefore w:val="1"/>
          <w:wBefore w:w="6" w:type="dxa"/>
          <w:trHeight w:val="608"/>
          <w:jc w:val="center"/>
        </w:trPr>
        <w:tc>
          <w:tcPr>
            <w:tcW w:w="669" w:type="dxa"/>
            <w:tcBorders>
              <w:top w:val="single" w:sz="4" w:space="0" w:color="auto"/>
              <w:left w:val="single" w:sz="4" w:space="0" w:color="auto"/>
              <w:bottom w:val="single" w:sz="4" w:space="0" w:color="auto"/>
              <w:right w:val="single" w:sz="4" w:space="0" w:color="auto"/>
            </w:tcBorders>
            <w:shd w:val="clear" w:color="auto" w:fill="C6EFCE"/>
            <w:noWrap/>
          </w:tcPr>
          <w:p w14:paraId="47D647CD" w14:textId="77777777" w:rsidR="00A00259" w:rsidRDefault="00371282">
            <w:pPr>
              <w:pStyle w:val="P68B1DB1-Normal12"/>
              <w:spacing w:after="0" w:line="240" w:lineRule="auto"/>
              <w:rPr>
                <w:rFonts w:eastAsia="Times New Roman"/>
                <w:noProof/>
              </w:rPr>
            </w:pPr>
            <w:r>
              <w:rPr>
                <w:noProof/>
              </w:rPr>
              <w:t>195a</w:t>
            </w:r>
          </w:p>
        </w:tc>
        <w:tc>
          <w:tcPr>
            <w:tcW w:w="2410" w:type="dxa"/>
            <w:tcBorders>
              <w:top w:val="single" w:sz="4" w:space="0" w:color="auto"/>
              <w:left w:val="nil"/>
              <w:bottom w:val="single" w:sz="4" w:space="0" w:color="auto"/>
              <w:right w:val="single" w:sz="4" w:space="0" w:color="auto"/>
            </w:tcBorders>
            <w:shd w:val="clear" w:color="auto" w:fill="C6EFCE"/>
            <w:noWrap/>
          </w:tcPr>
          <w:p w14:paraId="028D5B5E" w14:textId="77777777" w:rsidR="00A00259" w:rsidRDefault="00371282">
            <w:pPr>
              <w:pStyle w:val="P68B1DB1-Normal12"/>
              <w:spacing w:after="0" w:line="240" w:lineRule="auto"/>
              <w:rPr>
                <w:rFonts w:eastAsia="Times New Roman"/>
                <w:noProof/>
              </w:rPr>
            </w:pPr>
            <w:r>
              <w:rPr>
                <w:noProof/>
              </w:rPr>
              <w:t xml:space="preserve">12 - 4.1. Rendre les impôts plus propices à la croissance et améliorer l'administration fiscale et le recouvrement des impôts </w:t>
            </w:r>
          </w:p>
          <w:p w14:paraId="03F6DB1A" w14:textId="77777777" w:rsidR="00A00259" w:rsidRDefault="00371282">
            <w:pPr>
              <w:pStyle w:val="P68B1DB1-Normal12"/>
              <w:spacing w:after="0" w:line="240" w:lineRule="auto"/>
              <w:rPr>
                <w:rFonts w:eastAsia="Times New Roman"/>
                <w:noProof/>
              </w:rPr>
            </w:pPr>
            <w:r>
              <w:rPr>
                <w:noProof/>
              </w:rPr>
              <w:t>- 16291_Transformation numérique de l'administration fiscale et douanière</w:t>
            </w:r>
          </w:p>
        </w:tc>
        <w:tc>
          <w:tcPr>
            <w:tcW w:w="1134" w:type="dxa"/>
            <w:tcBorders>
              <w:top w:val="single" w:sz="4" w:space="0" w:color="auto"/>
              <w:left w:val="nil"/>
              <w:bottom w:val="single" w:sz="4" w:space="0" w:color="auto"/>
              <w:right w:val="single" w:sz="4" w:space="0" w:color="auto"/>
            </w:tcBorders>
            <w:shd w:val="clear" w:color="auto" w:fill="C6EFCE"/>
            <w:noWrap/>
          </w:tcPr>
          <w:p w14:paraId="30401F88" w14:textId="77777777" w:rsidR="00A00259" w:rsidRDefault="00371282">
            <w:pPr>
              <w:pStyle w:val="P68B1DB1-Normal12"/>
              <w:spacing w:after="0" w:line="240" w:lineRule="auto"/>
              <w:rPr>
                <w:rFonts w:eastAsia="Times New Roman"/>
                <w:noProof/>
              </w:rPr>
            </w:pPr>
            <w:r>
              <w:rPr>
                <w:noProof/>
              </w:rPr>
              <w:t>Étape</w:t>
            </w:r>
          </w:p>
        </w:tc>
        <w:tc>
          <w:tcPr>
            <w:tcW w:w="1409" w:type="dxa"/>
            <w:tcBorders>
              <w:top w:val="single" w:sz="4" w:space="0" w:color="auto"/>
              <w:left w:val="nil"/>
              <w:bottom w:val="single" w:sz="4" w:space="0" w:color="auto"/>
              <w:right w:val="single" w:sz="4" w:space="0" w:color="auto"/>
            </w:tcBorders>
            <w:shd w:val="clear" w:color="auto" w:fill="C6EFCE"/>
            <w:noWrap/>
          </w:tcPr>
          <w:p w14:paraId="27067FE3" w14:textId="77777777" w:rsidR="00A00259" w:rsidRDefault="00371282">
            <w:pPr>
              <w:pStyle w:val="P68B1DB1-Normal12"/>
              <w:spacing w:after="0" w:line="240" w:lineRule="auto"/>
              <w:rPr>
                <w:noProof/>
              </w:rPr>
            </w:pPr>
            <w:r>
              <w:rPr>
                <w:noProof/>
              </w:rPr>
              <w:t>Mise à disposition i) d’un système d’information intégré pour la direction générale des services financiers de l’IAPR et ii) de matériel de bureau et d’équipements informatiques portables pour l’IAPR</w:t>
            </w:r>
          </w:p>
        </w:tc>
        <w:tc>
          <w:tcPr>
            <w:tcW w:w="1803" w:type="dxa"/>
            <w:tcBorders>
              <w:top w:val="single" w:sz="4" w:space="0" w:color="auto"/>
              <w:left w:val="nil"/>
              <w:bottom w:val="single" w:sz="4" w:space="0" w:color="auto"/>
              <w:right w:val="single" w:sz="4" w:space="0" w:color="auto"/>
            </w:tcBorders>
            <w:shd w:val="clear" w:color="auto" w:fill="C6EFCE"/>
            <w:noWrap/>
          </w:tcPr>
          <w:p w14:paraId="3F64E9BD" w14:textId="77777777" w:rsidR="00A00259" w:rsidRDefault="00371282">
            <w:pPr>
              <w:pStyle w:val="P68B1DB1-Normal12"/>
              <w:spacing w:after="0" w:line="240" w:lineRule="auto"/>
              <w:rPr>
                <w:rFonts w:eastAsia="Times New Roman"/>
                <w:noProof/>
              </w:rPr>
            </w:pPr>
            <w:r>
              <w:rPr>
                <w:noProof/>
              </w:rPr>
              <w:t>Réalisation des deux sous-projets</w:t>
            </w:r>
          </w:p>
        </w:tc>
        <w:tc>
          <w:tcPr>
            <w:tcW w:w="1065" w:type="dxa"/>
            <w:tcBorders>
              <w:top w:val="single" w:sz="4" w:space="0" w:color="auto"/>
              <w:left w:val="nil"/>
              <w:bottom w:val="single" w:sz="4" w:space="0" w:color="auto"/>
              <w:right w:val="single" w:sz="4" w:space="0" w:color="auto"/>
            </w:tcBorders>
            <w:shd w:val="clear" w:color="auto" w:fill="C6EFCE"/>
            <w:noWrap/>
          </w:tcPr>
          <w:p w14:paraId="1D67D7A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1" w:type="dxa"/>
            <w:tcBorders>
              <w:top w:val="single" w:sz="4" w:space="0" w:color="auto"/>
              <w:left w:val="nil"/>
              <w:bottom w:val="single" w:sz="4" w:space="0" w:color="auto"/>
              <w:right w:val="single" w:sz="4" w:space="0" w:color="auto"/>
            </w:tcBorders>
            <w:shd w:val="clear" w:color="auto" w:fill="C6EFCE"/>
            <w:noWrap/>
          </w:tcPr>
          <w:p w14:paraId="33CA127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77" w:type="dxa"/>
            <w:tcBorders>
              <w:top w:val="single" w:sz="4" w:space="0" w:color="auto"/>
              <w:left w:val="nil"/>
              <w:bottom w:val="single" w:sz="4" w:space="0" w:color="auto"/>
              <w:right w:val="single" w:sz="4" w:space="0" w:color="auto"/>
            </w:tcBorders>
            <w:shd w:val="clear" w:color="auto" w:fill="C6EFCE"/>
            <w:noWrap/>
          </w:tcPr>
          <w:p w14:paraId="6A333A6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4A54F6E2" w14:textId="77777777" w:rsidR="00A00259" w:rsidRDefault="00371282">
            <w:pPr>
              <w:pStyle w:val="P68B1DB1-Normal12"/>
              <w:spacing w:after="0" w:line="240" w:lineRule="auto"/>
              <w:rPr>
                <w:rFonts w:eastAsia="Times New Roman"/>
                <w:noProof/>
              </w:rPr>
            </w:pPr>
            <w:r>
              <w:rPr>
                <w:noProof/>
              </w:rPr>
              <w:t>T4</w:t>
            </w:r>
          </w:p>
        </w:tc>
        <w:tc>
          <w:tcPr>
            <w:tcW w:w="1182" w:type="dxa"/>
            <w:tcBorders>
              <w:top w:val="single" w:sz="4" w:space="0" w:color="auto"/>
              <w:left w:val="nil"/>
              <w:bottom w:val="single" w:sz="4" w:space="0" w:color="auto"/>
              <w:right w:val="single" w:sz="4" w:space="0" w:color="auto"/>
            </w:tcBorders>
            <w:shd w:val="clear" w:color="auto" w:fill="C6EFCE"/>
            <w:noWrap/>
          </w:tcPr>
          <w:p w14:paraId="3890180A" w14:textId="77777777" w:rsidR="00A00259" w:rsidRDefault="00371282">
            <w:pPr>
              <w:pStyle w:val="P68B1DB1-Normal12"/>
              <w:spacing w:after="0" w:line="240" w:lineRule="auto"/>
              <w:rPr>
                <w:rFonts w:eastAsia="Times New Roman"/>
                <w:noProof/>
              </w:rPr>
            </w:pPr>
            <w:r>
              <w:rPr>
                <w:noProof/>
              </w:rPr>
              <w:t>2024</w:t>
            </w:r>
          </w:p>
        </w:tc>
        <w:tc>
          <w:tcPr>
            <w:tcW w:w="3410" w:type="dxa"/>
            <w:tcBorders>
              <w:top w:val="single" w:sz="4" w:space="0" w:color="auto"/>
              <w:left w:val="nil"/>
              <w:bottom w:val="single" w:sz="4" w:space="0" w:color="auto"/>
              <w:right w:val="single" w:sz="4" w:space="0" w:color="auto"/>
            </w:tcBorders>
            <w:shd w:val="clear" w:color="auto" w:fill="C6EFCE"/>
            <w:noWrap/>
          </w:tcPr>
          <w:p w14:paraId="0AF70C9B" w14:textId="77777777" w:rsidR="00A00259" w:rsidRDefault="00371282">
            <w:pPr>
              <w:pStyle w:val="P68B1DB1-Normal12"/>
              <w:spacing w:after="0" w:line="240" w:lineRule="auto"/>
              <w:rPr>
                <w:rFonts w:eastAsia="Times New Roman"/>
                <w:noProof/>
              </w:rPr>
            </w:pPr>
            <w:r>
              <w:rPr>
                <w:noProof/>
              </w:rPr>
              <w:t>Les sous-projets suivants sont réalisés:</w:t>
            </w:r>
          </w:p>
          <w:p w14:paraId="42AB4909" w14:textId="77777777" w:rsidR="00A00259" w:rsidRDefault="00A00259">
            <w:pPr>
              <w:spacing w:after="0" w:line="240" w:lineRule="auto"/>
              <w:rPr>
                <w:rFonts w:ascii="Times New Roman" w:eastAsia="Times New Roman" w:hAnsi="Times New Roman" w:cs="Times New Roman"/>
                <w:noProof/>
                <w:color w:val="006100"/>
                <w:sz w:val="18"/>
                <w:szCs w:val="18"/>
              </w:rPr>
            </w:pPr>
          </w:p>
          <w:p w14:paraId="401DB6FC" w14:textId="77777777" w:rsidR="00A00259" w:rsidRDefault="00371282">
            <w:pPr>
              <w:pStyle w:val="P68B1DB1-ListParagraph34"/>
              <w:numPr>
                <w:ilvl w:val="0"/>
                <w:numId w:val="58"/>
              </w:numPr>
              <w:spacing w:after="0" w:line="240" w:lineRule="auto"/>
              <w:rPr>
                <w:noProof/>
              </w:rPr>
            </w:pPr>
            <w:r>
              <w:rPr>
                <w:noProof/>
              </w:rPr>
              <w:t>Dans le domaine d’intervention «Remplacement des systèmes numériques de base, renouvellement des infrastructures obsolètes et élargissement de la fonctionnalité de la fourniture de services»: Système d’information intégré pour la direction générale des services financiers de l’IAPR.</w:t>
            </w:r>
          </w:p>
          <w:p w14:paraId="4F01BDC8" w14:textId="77777777" w:rsidR="00A00259" w:rsidRDefault="00371282">
            <w:pPr>
              <w:pStyle w:val="P68B1DB1-ListParagraph34"/>
              <w:numPr>
                <w:ilvl w:val="0"/>
                <w:numId w:val="58"/>
              </w:numPr>
              <w:spacing w:after="0" w:line="240" w:lineRule="auto"/>
              <w:rPr>
                <w:rFonts w:eastAsia="Times New Roman"/>
                <w:noProof/>
              </w:rPr>
            </w:pPr>
            <w:r>
              <w:rPr>
                <w:noProof/>
              </w:rPr>
              <w:t>Sous le domaine d’intervention «Automation des processus de bureau et de travail»: Fourniture d'équipement pour l'IAPR.</w:t>
            </w:r>
          </w:p>
        </w:tc>
      </w:tr>
      <w:tr w:rsidR="00A00259" w14:paraId="39565989" w14:textId="77777777" w:rsidTr="00096954">
        <w:trPr>
          <w:gridBefore w:val="1"/>
          <w:wBefore w:w="6" w:type="dxa"/>
          <w:trHeight w:val="313"/>
          <w:jc w:val="center"/>
        </w:trPr>
        <w:tc>
          <w:tcPr>
            <w:tcW w:w="669" w:type="dxa"/>
            <w:tcBorders>
              <w:top w:val="single" w:sz="4" w:space="0" w:color="auto"/>
              <w:left w:val="single" w:sz="4" w:space="0" w:color="auto"/>
              <w:bottom w:val="single" w:sz="4" w:space="0" w:color="auto"/>
              <w:right w:val="single" w:sz="4" w:space="0" w:color="auto"/>
            </w:tcBorders>
            <w:shd w:val="clear" w:color="auto" w:fill="C6EFCE"/>
            <w:noWrap/>
          </w:tcPr>
          <w:p w14:paraId="2C33011B" w14:textId="77777777" w:rsidR="00A00259" w:rsidRDefault="00371282">
            <w:pPr>
              <w:pStyle w:val="P68B1DB1-Normal12"/>
              <w:spacing w:after="0" w:line="240" w:lineRule="auto"/>
              <w:rPr>
                <w:rFonts w:eastAsia="Times New Roman"/>
                <w:noProof/>
              </w:rPr>
            </w:pPr>
            <w:r>
              <w:rPr>
                <w:noProof/>
              </w:rPr>
              <w:t>194</w:t>
            </w:r>
          </w:p>
        </w:tc>
        <w:tc>
          <w:tcPr>
            <w:tcW w:w="2410" w:type="dxa"/>
            <w:tcBorders>
              <w:top w:val="single" w:sz="4" w:space="0" w:color="auto"/>
              <w:left w:val="nil"/>
              <w:bottom w:val="single" w:sz="4" w:space="0" w:color="auto"/>
              <w:right w:val="single" w:sz="4" w:space="0" w:color="auto"/>
            </w:tcBorders>
            <w:shd w:val="clear" w:color="auto" w:fill="C6EFCE"/>
            <w:noWrap/>
          </w:tcPr>
          <w:p w14:paraId="3BBE4306" w14:textId="77777777" w:rsidR="00A00259" w:rsidRDefault="00371282">
            <w:pPr>
              <w:pStyle w:val="P68B1DB1-Normal12"/>
              <w:spacing w:after="0" w:line="240" w:lineRule="auto"/>
              <w:rPr>
                <w:rFonts w:eastAsia="Times New Roman"/>
                <w:noProof/>
              </w:rPr>
            </w:pPr>
            <w:r>
              <w:rPr>
                <w:noProof/>
              </w:rPr>
              <w:t>12 - 4.1. Rendre les impôts plus propices à la croissance et améliorer l'administration fiscale et la perception des impôts - 16611_Transformation numérique des contrôles fiscaux</w:t>
            </w:r>
          </w:p>
        </w:tc>
        <w:tc>
          <w:tcPr>
            <w:tcW w:w="1134" w:type="dxa"/>
            <w:tcBorders>
              <w:top w:val="single" w:sz="4" w:space="0" w:color="auto"/>
              <w:left w:val="nil"/>
              <w:bottom w:val="single" w:sz="4" w:space="0" w:color="auto"/>
              <w:right w:val="single" w:sz="4" w:space="0" w:color="auto"/>
            </w:tcBorders>
            <w:shd w:val="clear" w:color="auto" w:fill="C6EFCE"/>
            <w:noWrap/>
          </w:tcPr>
          <w:p w14:paraId="0D1E0B55" w14:textId="77777777" w:rsidR="00A00259" w:rsidRDefault="00371282">
            <w:pPr>
              <w:pStyle w:val="P68B1DB1-Normal12"/>
              <w:spacing w:after="0" w:line="240" w:lineRule="auto"/>
              <w:rPr>
                <w:rFonts w:eastAsia="Times New Roman"/>
                <w:noProof/>
              </w:rPr>
            </w:pPr>
            <w:r>
              <w:rPr>
                <w:noProof/>
              </w:rPr>
              <w:t>Étape</w:t>
            </w:r>
          </w:p>
        </w:tc>
        <w:tc>
          <w:tcPr>
            <w:tcW w:w="1409" w:type="dxa"/>
            <w:tcBorders>
              <w:top w:val="single" w:sz="4" w:space="0" w:color="auto"/>
              <w:left w:val="nil"/>
              <w:bottom w:val="single" w:sz="4" w:space="0" w:color="auto"/>
              <w:right w:val="single" w:sz="4" w:space="0" w:color="auto"/>
            </w:tcBorders>
            <w:shd w:val="clear" w:color="auto" w:fill="C6EFCE"/>
            <w:noWrap/>
          </w:tcPr>
          <w:p w14:paraId="54A580AA" w14:textId="77777777" w:rsidR="00A00259" w:rsidRDefault="00371282">
            <w:pPr>
              <w:pStyle w:val="P68B1DB1-Normal12"/>
              <w:spacing w:after="0" w:line="240" w:lineRule="auto"/>
              <w:rPr>
                <w:noProof/>
              </w:rPr>
            </w:pPr>
            <w:r>
              <w:rPr>
                <w:noProof/>
              </w:rPr>
              <w:t>Livraison et mise en service de systèmes relatifs à la transformation numérique des audits fiscaux</w:t>
            </w:r>
          </w:p>
        </w:tc>
        <w:tc>
          <w:tcPr>
            <w:tcW w:w="1803" w:type="dxa"/>
            <w:tcBorders>
              <w:top w:val="single" w:sz="4" w:space="0" w:color="auto"/>
              <w:left w:val="nil"/>
              <w:bottom w:val="single" w:sz="4" w:space="0" w:color="auto"/>
              <w:right w:val="single" w:sz="4" w:space="0" w:color="auto"/>
            </w:tcBorders>
            <w:shd w:val="clear" w:color="auto" w:fill="C6EFCE"/>
            <w:noWrap/>
          </w:tcPr>
          <w:p w14:paraId="6C45C9DB" w14:textId="1DFE36A8" w:rsidR="00A00259" w:rsidRDefault="00371282">
            <w:pPr>
              <w:pStyle w:val="P68B1DB1-Normal12"/>
              <w:spacing w:after="0" w:line="240" w:lineRule="auto"/>
              <w:rPr>
                <w:rFonts w:eastAsia="Times New Roman"/>
                <w:noProof/>
              </w:rPr>
            </w:pPr>
            <w:r>
              <w:rPr>
                <w:noProof/>
              </w:rPr>
              <w:t>Mise à disposition du système d’intelligence d’affaires/d’analyse de données, y compris 13 cas d’utilisation</w:t>
            </w:r>
          </w:p>
          <w:p w14:paraId="4C5DB711" w14:textId="77777777" w:rsidR="00A00259" w:rsidRDefault="00A00259">
            <w:pPr>
              <w:spacing w:after="0" w:line="240" w:lineRule="auto"/>
              <w:rPr>
                <w:rFonts w:ascii="Times New Roman" w:hAnsi="Times New Roman" w:cs="Times New Roman"/>
                <w:noProof/>
                <w:color w:val="006100"/>
                <w:sz w:val="18"/>
                <w:szCs w:val="18"/>
              </w:rPr>
            </w:pPr>
          </w:p>
          <w:p w14:paraId="4244DF37" w14:textId="77777777" w:rsidR="00A00259" w:rsidRDefault="00371282">
            <w:pPr>
              <w:pStyle w:val="P68B1DB1-Normal12"/>
              <w:spacing w:after="0" w:line="240" w:lineRule="auto"/>
              <w:rPr>
                <w:noProof/>
              </w:rPr>
            </w:pPr>
            <w:r>
              <w:rPr>
                <w:noProof/>
              </w:rPr>
              <w:t>Rapport de l’autorité indépendante des recettes publiques attestant la mise en service du système «ELEGXOSlive»</w:t>
            </w:r>
          </w:p>
        </w:tc>
        <w:tc>
          <w:tcPr>
            <w:tcW w:w="1065" w:type="dxa"/>
            <w:tcBorders>
              <w:top w:val="single" w:sz="4" w:space="0" w:color="auto"/>
              <w:left w:val="nil"/>
              <w:bottom w:val="single" w:sz="4" w:space="0" w:color="auto"/>
              <w:right w:val="single" w:sz="4" w:space="0" w:color="auto"/>
            </w:tcBorders>
            <w:shd w:val="clear" w:color="auto" w:fill="C6EFCE"/>
            <w:noWrap/>
          </w:tcPr>
          <w:p w14:paraId="67342B3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1" w:type="dxa"/>
            <w:tcBorders>
              <w:top w:val="single" w:sz="4" w:space="0" w:color="auto"/>
              <w:left w:val="nil"/>
              <w:bottom w:val="single" w:sz="4" w:space="0" w:color="auto"/>
              <w:right w:val="single" w:sz="4" w:space="0" w:color="auto"/>
            </w:tcBorders>
            <w:shd w:val="clear" w:color="auto" w:fill="C6EFCE"/>
            <w:noWrap/>
          </w:tcPr>
          <w:p w14:paraId="576B3FA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77" w:type="dxa"/>
            <w:tcBorders>
              <w:top w:val="single" w:sz="4" w:space="0" w:color="auto"/>
              <w:left w:val="nil"/>
              <w:bottom w:val="single" w:sz="4" w:space="0" w:color="auto"/>
              <w:right w:val="single" w:sz="4" w:space="0" w:color="auto"/>
            </w:tcBorders>
            <w:shd w:val="clear" w:color="auto" w:fill="C6EFCE"/>
            <w:noWrap/>
          </w:tcPr>
          <w:p w14:paraId="48753BD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54846E1B" w14:textId="77777777" w:rsidR="00A00259" w:rsidRDefault="00371282">
            <w:pPr>
              <w:pStyle w:val="P68B1DB1-Normal12"/>
              <w:spacing w:after="0" w:line="240" w:lineRule="auto"/>
              <w:rPr>
                <w:rFonts w:eastAsia="Times New Roman"/>
                <w:noProof/>
              </w:rPr>
            </w:pPr>
            <w:r>
              <w:rPr>
                <w:noProof/>
              </w:rPr>
              <w:t>T4</w:t>
            </w:r>
          </w:p>
        </w:tc>
        <w:tc>
          <w:tcPr>
            <w:tcW w:w="1182" w:type="dxa"/>
            <w:tcBorders>
              <w:top w:val="single" w:sz="4" w:space="0" w:color="auto"/>
              <w:left w:val="nil"/>
              <w:bottom w:val="single" w:sz="4" w:space="0" w:color="auto"/>
              <w:right w:val="single" w:sz="4" w:space="0" w:color="auto"/>
            </w:tcBorders>
            <w:shd w:val="clear" w:color="auto" w:fill="C6EFCE"/>
            <w:noWrap/>
          </w:tcPr>
          <w:p w14:paraId="7780EFF3" w14:textId="77777777" w:rsidR="00A00259" w:rsidRDefault="00371282">
            <w:pPr>
              <w:pStyle w:val="P68B1DB1-Normal12"/>
              <w:spacing w:after="0" w:line="240" w:lineRule="auto"/>
              <w:rPr>
                <w:rFonts w:eastAsia="Times New Roman"/>
                <w:noProof/>
              </w:rPr>
            </w:pPr>
            <w:r>
              <w:rPr>
                <w:noProof/>
              </w:rPr>
              <w:t>2025</w:t>
            </w:r>
          </w:p>
        </w:tc>
        <w:tc>
          <w:tcPr>
            <w:tcW w:w="3410" w:type="dxa"/>
            <w:tcBorders>
              <w:top w:val="single" w:sz="4" w:space="0" w:color="auto"/>
              <w:left w:val="nil"/>
              <w:bottom w:val="single" w:sz="4" w:space="0" w:color="auto"/>
              <w:right w:val="single" w:sz="4" w:space="0" w:color="auto"/>
            </w:tcBorders>
            <w:shd w:val="clear" w:color="auto" w:fill="C6EFCE"/>
            <w:noWrap/>
          </w:tcPr>
          <w:p w14:paraId="28823DEE" w14:textId="5DAEE76C" w:rsidR="00A00259" w:rsidRDefault="00371282">
            <w:pPr>
              <w:pStyle w:val="P68B1DB1-Normal12"/>
              <w:spacing w:after="0" w:line="240" w:lineRule="auto"/>
              <w:rPr>
                <w:noProof/>
              </w:rPr>
            </w:pPr>
            <w:r>
              <w:rPr>
                <w:noProof/>
              </w:rPr>
              <w:t>a) Mise à disposition du système d’intelligence d’affaires/d’analyse de données, y compris 13 cas d’utilisation.</w:t>
            </w:r>
          </w:p>
          <w:p w14:paraId="278EA8A8" w14:textId="77777777" w:rsidR="00A00259" w:rsidRDefault="00A00259">
            <w:pPr>
              <w:spacing w:after="0" w:line="240" w:lineRule="auto"/>
              <w:rPr>
                <w:rFonts w:ascii="Times New Roman" w:eastAsia="Times New Roman" w:hAnsi="Times New Roman" w:cs="Times New Roman"/>
                <w:noProof/>
                <w:color w:val="006100"/>
                <w:sz w:val="18"/>
                <w:szCs w:val="18"/>
              </w:rPr>
            </w:pPr>
          </w:p>
          <w:p w14:paraId="26E8FCAA" w14:textId="77777777" w:rsidR="00A00259" w:rsidRDefault="00371282">
            <w:pPr>
              <w:pStyle w:val="P68B1DB1-Normal12"/>
              <w:spacing w:after="0" w:line="240" w:lineRule="auto"/>
              <w:rPr>
                <w:rFonts w:eastAsia="Times New Roman"/>
                <w:noProof/>
              </w:rPr>
            </w:pPr>
            <w:r>
              <w:rPr>
                <w:noProof/>
              </w:rPr>
              <w:t xml:space="preserve">b) Mise en service du système Elenxis Live («ELEGXOSlive»). </w:t>
            </w:r>
          </w:p>
          <w:p w14:paraId="5331D21C" w14:textId="77777777" w:rsidR="00A00259" w:rsidRDefault="00A00259">
            <w:pPr>
              <w:spacing w:after="0" w:line="240" w:lineRule="auto"/>
              <w:rPr>
                <w:rFonts w:ascii="Times New Roman" w:eastAsia="Times New Roman" w:hAnsi="Times New Roman" w:cs="Times New Roman"/>
                <w:noProof/>
                <w:color w:val="006100"/>
                <w:sz w:val="18"/>
                <w:szCs w:val="18"/>
              </w:rPr>
            </w:pPr>
          </w:p>
        </w:tc>
      </w:tr>
      <w:tr w:rsidR="00A00259" w14:paraId="1D15D2A1" w14:textId="77777777" w:rsidTr="00096954">
        <w:trPr>
          <w:gridBefore w:val="1"/>
          <w:wBefore w:w="6" w:type="dxa"/>
          <w:trHeight w:val="313"/>
          <w:jc w:val="center"/>
        </w:trPr>
        <w:tc>
          <w:tcPr>
            <w:tcW w:w="669" w:type="dxa"/>
            <w:tcBorders>
              <w:top w:val="single" w:sz="4" w:space="0" w:color="auto"/>
              <w:left w:val="single" w:sz="4" w:space="0" w:color="auto"/>
              <w:bottom w:val="single" w:sz="4" w:space="0" w:color="auto"/>
              <w:right w:val="single" w:sz="4" w:space="0" w:color="auto"/>
            </w:tcBorders>
            <w:shd w:val="clear" w:color="auto" w:fill="C6EFCE"/>
            <w:noWrap/>
          </w:tcPr>
          <w:p w14:paraId="40B59CAF" w14:textId="77777777" w:rsidR="00A00259" w:rsidRDefault="00371282">
            <w:pPr>
              <w:pStyle w:val="P68B1DB1-Normal12"/>
              <w:spacing w:after="0" w:line="240" w:lineRule="auto"/>
              <w:rPr>
                <w:rFonts w:eastAsia="Times New Roman"/>
                <w:noProof/>
              </w:rPr>
            </w:pPr>
            <w:r>
              <w:rPr>
                <w:noProof/>
              </w:rPr>
              <w:t>195</w:t>
            </w:r>
          </w:p>
        </w:tc>
        <w:tc>
          <w:tcPr>
            <w:tcW w:w="2410" w:type="dxa"/>
            <w:tcBorders>
              <w:top w:val="single" w:sz="4" w:space="0" w:color="auto"/>
              <w:left w:val="nil"/>
              <w:bottom w:val="single" w:sz="4" w:space="0" w:color="auto"/>
              <w:right w:val="single" w:sz="4" w:space="0" w:color="auto"/>
            </w:tcBorders>
            <w:shd w:val="clear" w:color="auto" w:fill="C6EFCE"/>
            <w:noWrap/>
          </w:tcPr>
          <w:p w14:paraId="1248BD18" w14:textId="77777777" w:rsidR="00A00259" w:rsidRDefault="00371282">
            <w:pPr>
              <w:pStyle w:val="P68B1DB1-Normal12"/>
              <w:spacing w:after="0" w:line="240" w:lineRule="auto"/>
              <w:rPr>
                <w:rFonts w:eastAsia="Times New Roman"/>
                <w:noProof/>
              </w:rPr>
            </w:pPr>
            <w:r>
              <w:rPr>
                <w:noProof/>
              </w:rPr>
              <w:t xml:space="preserve">12 - 4.1. Rendre les impôts plus propices à la croissance et améliorer l'administration fiscale et le recouvrement des impôts </w:t>
            </w:r>
          </w:p>
          <w:p w14:paraId="0B8AFB31" w14:textId="77777777" w:rsidR="00A00259" w:rsidRDefault="00371282">
            <w:pPr>
              <w:pStyle w:val="P68B1DB1-Normal12"/>
              <w:spacing w:after="0" w:line="240" w:lineRule="auto"/>
              <w:rPr>
                <w:rFonts w:eastAsia="Times New Roman"/>
                <w:noProof/>
              </w:rPr>
            </w:pPr>
            <w:r>
              <w:rPr>
                <w:noProof/>
              </w:rPr>
              <w:t>- 16291_Transformation numérique de l'administration fiscale et douanière</w:t>
            </w:r>
          </w:p>
        </w:tc>
        <w:tc>
          <w:tcPr>
            <w:tcW w:w="1134" w:type="dxa"/>
            <w:tcBorders>
              <w:top w:val="single" w:sz="4" w:space="0" w:color="auto"/>
              <w:left w:val="nil"/>
              <w:bottom w:val="single" w:sz="4" w:space="0" w:color="auto"/>
              <w:right w:val="single" w:sz="4" w:space="0" w:color="auto"/>
            </w:tcBorders>
            <w:shd w:val="clear" w:color="auto" w:fill="C6EFCE"/>
            <w:noWrap/>
          </w:tcPr>
          <w:p w14:paraId="6DD3467D" w14:textId="77777777" w:rsidR="00A00259" w:rsidRDefault="00371282">
            <w:pPr>
              <w:pStyle w:val="P68B1DB1-Normal12"/>
              <w:spacing w:after="0" w:line="240" w:lineRule="auto"/>
              <w:rPr>
                <w:rFonts w:eastAsia="Times New Roman"/>
                <w:noProof/>
              </w:rPr>
            </w:pPr>
            <w:r>
              <w:rPr>
                <w:noProof/>
              </w:rPr>
              <w:t>Étape</w:t>
            </w:r>
          </w:p>
        </w:tc>
        <w:tc>
          <w:tcPr>
            <w:tcW w:w="1409" w:type="dxa"/>
            <w:tcBorders>
              <w:top w:val="single" w:sz="4" w:space="0" w:color="auto"/>
              <w:left w:val="nil"/>
              <w:bottom w:val="single" w:sz="4" w:space="0" w:color="auto"/>
              <w:right w:val="single" w:sz="4" w:space="0" w:color="auto"/>
            </w:tcBorders>
            <w:shd w:val="clear" w:color="auto" w:fill="C6EFCE"/>
            <w:noWrap/>
          </w:tcPr>
          <w:p w14:paraId="5D441262" w14:textId="1E847D9B" w:rsidR="00A00259" w:rsidRDefault="00371282">
            <w:pPr>
              <w:pStyle w:val="P68B1DB1-Normal12"/>
              <w:spacing w:after="0" w:line="240" w:lineRule="auto"/>
              <w:rPr>
                <w:rFonts w:eastAsia="Times New Roman"/>
                <w:noProof/>
              </w:rPr>
            </w:pPr>
            <w:r>
              <w:rPr>
                <w:noProof/>
              </w:rPr>
              <w:t>Mise en œuvre de la première phase de l’environnement informatique intégré de l’autorité indépendante chargée des recettes publiques</w:t>
            </w:r>
          </w:p>
          <w:p w14:paraId="178225E0" w14:textId="77777777" w:rsidR="00A00259" w:rsidRDefault="00A00259">
            <w:pPr>
              <w:spacing w:after="0" w:line="240" w:lineRule="auto"/>
              <w:rPr>
                <w:rFonts w:ascii="Times New Roman" w:eastAsia="Times New Roman" w:hAnsi="Times New Roman" w:cs="Times New Roman"/>
                <w:noProof/>
                <w:color w:val="006100"/>
                <w:sz w:val="18"/>
                <w:szCs w:val="18"/>
              </w:rPr>
            </w:pPr>
          </w:p>
          <w:p w14:paraId="76F3C7E8" w14:textId="77777777" w:rsidR="00A00259" w:rsidRDefault="00371282">
            <w:pPr>
              <w:pStyle w:val="P68B1DB1-Normal12"/>
              <w:spacing w:after="0" w:line="240" w:lineRule="auto"/>
              <w:rPr>
                <w:noProof/>
              </w:rPr>
            </w:pPr>
            <w:r>
              <w:rPr>
                <w:noProof/>
              </w:rPr>
              <w:t>Réalisation de sous-projets dans le cadre de la transformation numérique de l’IAPR</w:t>
            </w:r>
          </w:p>
        </w:tc>
        <w:tc>
          <w:tcPr>
            <w:tcW w:w="1803" w:type="dxa"/>
            <w:tcBorders>
              <w:top w:val="single" w:sz="4" w:space="0" w:color="auto"/>
              <w:left w:val="nil"/>
              <w:bottom w:val="single" w:sz="4" w:space="0" w:color="auto"/>
              <w:right w:val="single" w:sz="4" w:space="0" w:color="auto"/>
            </w:tcBorders>
            <w:shd w:val="clear" w:color="auto" w:fill="C6EFCE"/>
            <w:noWrap/>
          </w:tcPr>
          <w:p w14:paraId="0148FEB4" w14:textId="6B4AE37E" w:rsidR="00A00259" w:rsidRDefault="00371282">
            <w:pPr>
              <w:pStyle w:val="P68B1DB1-Normal12"/>
              <w:spacing w:after="0" w:line="240" w:lineRule="auto"/>
              <w:rPr>
                <w:rFonts w:eastAsia="Times New Roman"/>
                <w:noProof/>
              </w:rPr>
            </w:pPr>
            <w:r>
              <w:rPr>
                <w:noProof/>
              </w:rPr>
              <w:t>Réalisation i) de la première phase de l’environnement informatique intégré ii) de sous-projets dans le cadre de la transformation numérique de l’IAPR</w:t>
            </w:r>
          </w:p>
        </w:tc>
        <w:tc>
          <w:tcPr>
            <w:tcW w:w="1065" w:type="dxa"/>
            <w:tcBorders>
              <w:top w:val="single" w:sz="4" w:space="0" w:color="auto"/>
              <w:left w:val="nil"/>
              <w:bottom w:val="single" w:sz="4" w:space="0" w:color="auto"/>
              <w:right w:val="single" w:sz="4" w:space="0" w:color="auto"/>
            </w:tcBorders>
            <w:shd w:val="clear" w:color="auto" w:fill="C6EFCE"/>
            <w:noWrap/>
          </w:tcPr>
          <w:p w14:paraId="685FF6C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1" w:type="dxa"/>
            <w:tcBorders>
              <w:top w:val="single" w:sz="4" w:space="0" w:color="auto"/>
              <w:left w:val="nil"/>
              <w:bottom w:val="single" w:sz="4" w:space="0" w:color="auto"/>
              <w:right w:val="single" w:sz="4" w:space="0" w:color="auto"/>
            </w:tcBorders>
            <w:shd w:val="clear" w:color="auto" w:fill="C6EFCE"/>
            <w:noWrap/>
          </w:tcPr>
          <w:p w14:paraId="448A799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77" w:type="dxa"/>
            <w:tcBorders>
              <w:top w:val="single" w:sz="4" w:space="0" w:color="auto"/>
              <w:left w:val="nil"/>
              <w:bottom w:val="single" w:sz="4" w:space="0" w:color="auto"/>
              <w:right w:val="single" w:sz="4" w:space="0" w:color="auto"/>
            </w:tcBorders>
            <w:shd w:val="clear" w:color="auto" w:fill="C6EFCE"/>
            <w:noWrap/>
          </w:tcPr>
          <w:p w14:paraId="0F67B0F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17FC80B2" w14:textId="77777777" w:rsidR="00A00259" w:rsidRDefault="00371282">
            <w:pPr>
              <w:pStyle w:val="P68B1DB1-Normal12"/>
              <w:spacing w:after="0" w:line="240" w:lineRule="auto"/>
              <w:rPr>
                <w:rFonts w:eastAsia="Times New Roman"/>
                <w:noProof/>
              </w:rPr>
            </w:pPr>
            <w:r>
              <w:rPr>
                <w:noProof/>
              </w:rPr>
              <w:t>T4</w:t>
            </w:r>
          </w:p>
        </w:tc>
        <w:tc>
          <w:tcPr>
            <w:tcW w:w="1182" w:type="dxa"/>
            <w:tcBorders>
              <w:top w:val="single" w:sz="4" w:space="0" w:color="auto"/>
              <w:left w:val="nil"/>
              <w:bottom w:val="single" w:sz="4" w:space="0" w:color="auto"/>
              <w:right w:val="single" w:sz="4" w:space="0" w:color="auto"/>
            </w:tcBorders>
            <w:shd w:val="clear" w:color="auto" w:fill="C6EFCE"/>
            <w:noWrap/>
          </w:tcPr>
          <w:p w14:paraId="4CE1F066" w14:textId="77777777" w:rsidR="00A00259" w:rsidRDefault="00371282">
            <w:pPr>
              <w:pStyle w:val="P68B1DB1-Normal12"/>
              <w:spacing w:after="0" w:line="240" w:lineRule="auto"/>
              <w:rPr>
                <w:rFonts w:eastAsia="Times New Roman"/>
                <w:noProof/>
              </w:rPr>
            </w:pPr>
            <w:r>
              <w:rPr>
                <w:noProof/>
              </w:rPr>
              <w:t>2025</w:t>
            </w:r>
          </w:p>
        </w:tc>
        <w:tc>
          <w:tcPr>
            <w:tcW w:w="3410" w:type="dxa"/>
            <w:tcBorders>
              <w:top w:val="single" w:sz="4" w:space="0" w:color="auto"/>
              <w:left w:val="nil"/>
              <w:bottom w:val="single" w:sz="4" w:space="0" w:color="auto"/>
              <w:right w:val="single" w:sz="4" w:space="0" w:color="auto"/>
            </w:tcBorders>
            <w:shd w:val="clear" w:color="auto" w:fill="C6EFCE"/>
            <w:noWrap/>
          </w:tcPr>
          <w:p w14:paraId="12D05AB0" w14:textId="628D714F" w:rsidR="00A00259" w:rsidRDefault="00371282">
            <w:pPr>
              <w:pStyle w:val="P68B1DB1-Normal12"/>
              <w:spacing w:after="0" w:line="240" w:lineRule="auto"/>
              <w:rPr>
                <w:rFonts w:eastAsia="Times New Roman"/>
                <w:noProof/>
              </w:rPr>
            </w:pPr>
            <w:r>
              <w:rPr>
                <w:noProof/>
              </w:rPr>
              <w:t xml:space="preserve">Livraison de la première phase de l'environnement informatique intégré (remplaçant TAXIS, TAXISnet et Elenxis). Ces éléments livrables comprennent toutes les études de projet requises, la refonte et la mise en œuvre complètes de la base de données, la fourniture d’interfaces de données et la conception des sous-systèmes de la première phase (y compris le registre fiscal, la comptabilité). </w:t>
            </w:r>
          </w:p>
          <w:p w14:paraId="5E33DF69" w14:textId="77777777" w:rsidR="00A00259" w:rsidRDefault="00A00259">
            <w:pPr>
              <w:spacing w:after="0" w:line="240" w:lineRule="auto"/>
              <w:rPr>
                <w:rFonts w:ascii="Times New Roman" w:hAnsi="Times New Roman" w:cs="Times New Roman"/>
                <w:noProof/>
                <w:color w:val="006100"/>
                <w:sz w:val="18"/>
                <w:szCs w:val="18"/>
              </w:rPr>
            </w:pPr>
          </w:p>
          <w:p w14:paraId="070EB84F" w14:textId="47B4C7BA" w:rsidR="00A00259" w:rsidRDefault="00371282">
            <w:pPr>
              <w:pStyle w:val="P68B1DB1-Normal12"/>
              <w:spacing w:after="0" w:line="240" w:lineRule="auto"/>
              <w:rPr>
                <w:noProof/>
              </w:rPr>
            </w:pPr>
            <w:r>
              <w:rPr>
                <w:noProof/>
              </w:rPr>
              <w:t>Mise en place du système de surveillance des véhicules utilitaires et des conteneurs, y compris:</w:t>
            </w:r>
          </w:p>
          <w:p w14:paraId="6664A89A" w14:textId="6D34F130" w:rsidR="00A00259" w:rsidRDefault="00371282">
            <w:pPr>
              <w:pStyle w:val="P68B1DB1-Normal12"/>
              <w:spacing w:after="0" w:line="240" w:lineRule="auto"/>
              <w:rPr>
                <w:noProof/>
              </w:rPr>
            </w:pPr>
            <w:r>
              <w:rPr>
                <w:noProof/>
              </w:rPr>
              <w:t>1. Le système et les équipements numériques intégrés</w:t>
            </w:r>
          </w:p>
          <w:p w14:paraId="5AC15729" w14:textId="6E97AA36" w:rsidR="00A00259" w:rsidRDefault="00371282">
            <w:pPr>
              <w:pStyle w:val="P68B1DB1-Normal12"/>
              <w:spacing w:after="0" w:line="240" w:lineRule="auto"/>
              <w:rPr>
                <w:noProof/>
              </w:rPr>
            </w:pPr>
            <w:r>
              <w:rPr>
                <w:noProof/>
              </w:rPr>
              <w:t>2. Installation de matériel pour la salle des opérations, pour le centre de surveillance des infrastructures et pour huit (8) bureaux de douane.</w:t>
            </w:r>
          </w:p>
          <w:p w14:paraId="46399D08" w14:textId="77777777" w:rsidR="00A00259" w:rsidRDefault="00371282">
            <w:pPr>
              <w:pStyle w:val="P68B1DB1-Normal12"/>
              <w:spacing w:after="0" w:line="240" w:lineRule="auto"/>
              <w:rPr>
                <w:noProof/>
                <w:color w:val="8764B8"/>
                <w:u w:val="single"/>
              </w:rPr>
            </w:pPr>
            <w:r>
              <w:rPr>
                <w:noProof/>
              </w:rPr>
              <w:t>Les sous-projets suivants sont également réalisés:</w:t>
            </w:r>
          </w:p>
          <w:p w14:paraId="2B4A0D48" w14:textId="77777777" w:rsidR="00A00259" w:rsidRDefault="00A00259">
            <w:pPr>
              <w:spacing w:after="0" w:line="240" w:lineRule="auto"/>
              <w:rPr>
                <w:rFonts w:ascii="Times New Roman" w:eastAsia="Times New Roman" w:hAnsi="Times New Roman" w:cs="Times New Roman"/>
                <w:noProof/>
                <w:color w:val="006100"/>
                <w:sz w:val="18"/>
                <w:szCs w:val="18"/>
              </w:rPr>
            </w:pPr>
          </w:p>
          <w:p w14:paraId="52EC40AC" w14:textId="77777777" w:rsidR="00A00259" w:rsidRDefault="00371282">
            <w:pPr>
              <w:pStyle w:val="P68B1DB1-Normal12"/>
              <w:spacing w:after="0" w:line="240" w:lineRule="auto"/>
              <w:rPr>
                <w:rFonts w:eastAsia="Times New Roman"/>
                <w:noProof/>
              </w:rPr>
            </w:pPr>
            <w:r>
              <w:rPr>
                <w:noProof/>
              </w:rPr>
              <w:t>1. Dans le domaine d’intervention «Remplacement des systèmes numériques de base, renouvellement des infrastructures obsolètes et élargissement de la fonctionnalité de la fourniture de services»:</w:t>
            </w:r>
          </w:p>
          <w:p w14:paraId="4C79E531" w14:textId="77777777" w:rsidR="00A00259" w:rsidRDefault="00371282">
            <w:pPr>
              <w:pStyle w:val="P68B1DB1-Normal12"/>
              <w:spacing w:after="0" w:line="240" w:lineRule="auto"/>
              <w:rPr>
                <w:noProof/>
              </w:rPr>
            </w:pPr>
            <w:r>
              <w:rPr>
                <w:noProof/>
              </w:rPr>
              <w:t xml:space="preserve">- Nouveau système d'information intégré pour le laboratoire national de chimie de Grèce; </w:t>
            </w:r>
          </w:p>
          <w:p w14:paraId="7B5A796A" w14:textId="1CDAA33F" w:rsidR="00A00259" w:rsidRDefault="00371282">
            <w:pPr>
              <w:pStyle w:val="P68B1DB1-Normal23"/>
              <w:spacing w:after="0" w:line="240" w:lineRule="auto"/>
              <w:rPr>
                <w:noProof/>
              </w:rPr>
            </w:pPr>
            <w:r>
              <w:rPr>
                <w:noProof/>
              </w:rPr>
              <w:t xml:space="preserve">-Système de gestion des ressources humaines pour l’IAPR; et  </w:t>
            </w:r>
          </w:p>
          <w:p w14:paraId="2A98D28D" w14:textId="5AB2DDB5" w:rsidR="00A00259" w:rsidRDefault="00A00259">
            <w:pPr>
              <w:spacing w:after="0" w:line="240" w:lineRule="auto"/>
              <w:rPr>
                <w:rFonts w:ascii="Times New Roman" w:eastAsia="Times New Roman" w:hAnsi="Times New Roman" w:cs="Times New Roman"/>
                <w:noProof/>
                <w:color w:val="006100"/>
                <w:sz w:val="18"/>
                <w:szCs w:val="18"/>
              </w:rPr>
            </w:pPr>
          </w:p>
          <w:p w14:paraId="43D24630" w14:textId="77777777" w:rsidR="00A00259" w:rsidRDefault="00371282">
            <w:pPr>
              <w:pStyle w:val="P68B1DB1-Normal12"/>
              <w:spacing w:after="0" w:line="240" w:lineRule="auto"/>
              <w:rPr>
                <w:rFonts w:eastAsia="Times New Roman"/>
                <w:noProof/>
              </w:rPr>
            </w:pPr>
            <w:r>
              <w:rPr>
                <w:noProof/>
              </w:rPr>
              <w:t>2. Dans le cadre de l’«automatisation des processus de bureau et de travail»:</w:t>
            </w:r>
          </w:p>
          <w:p w14:paraId="74DB668B" w14:textId="77777777" w:rsidR="00A00259" w:rsidRDefault="00371282">
            <w:pPr>
              <w:pStyle w:val="P68B1DB1-Normal27"/>
              <w:spacing w:after="0" w:line="240" w:lineRule="auto"/>
              <w:rPr>
                <w:rFonts w:eastAsia="Times New Roman"/>
                <w:noProof/>
              </w:rPr>
            </w:pPr>
            <w:r>
              <w:rPr>
                <w:noProof/>
              </w:rPr>
              <w:t xml:space="preserve">- Services de gestion de bureau &amp; logiciel pour l'IAPR; </w:t>
            </w:r>
          </w:p>
          <w:p w14:paraId="1FF9CACC" w14:textId="77777777" w:rsidR="00A00259" w:rsidRDefault="00371282">
            <w:pPr>
              <w:pStyle w:val="P68B1DB1-Normal27"/>
              <w:spacing w:after="0" w:line="240" w:lineRule="auto"/>
              <w:rPr>
                <w:noProof/>
              </w:rPr>
            </w:pPr>
            <w:r>
              <w:rPr>
                <w:noProof/>
              </w:rPr>
              <w:t xml:space="preserve">- Outils de gestion des services informatiques; et </w:t>
            </w:r>
          </w:p>
          <w:p w14:paraId="4CE5C7F4" w14:textId="77777777" w:rsidR="00A00259" w:rsidRDefault="00371282">
            <w:pPr>
              <w:pStyle w:val="P68B1DB1-Normal12"/>
              <w:spacing w:after="0" w:line="240" w:lineRule="auto"/>
              <w:textAlignment w:val="baseline"/>
              <w:rPr>
                <w:rFonts w:eastAsia="Times New Roman"/>
                <w:noProof/>
              </w:rPr>
            </w:pPr>
            <w:r>
              <w:rPr>
                <w:noProof/>
              </w:rPr>
              <w:t>- Nouveau système d'information intégré pour soutenir la direction de la gestion des biens publics de l'Autorité indépendante des recettes publiques</w:t>
            </w:r>
          </w:p>
          <w:p w14:paraId="2634BF4C" w14:textId="77777777" w:rsidR="00A00259" w:rsidRDefault="00A00259">
            <w:pPr>
              <w:spacing w:after="0" w:line="240" w:lineRule="auto"/>
              <w:rPr>
                <w:rFonts w:ascii="Times New Roman" w:eastAsia="Times New Roman" w:hAnsi="Times New Roman" w:cs="Times New Roman"/>
                <w:noProof/>
                <w:color w:val="006100"/>
                <w:sz w:val="18"/>
                <w:szCs w:val="18"/>
              </w:rPr>
            </w:pPr>
          </w:p>
          <w:p w14:paraId="509B906A" w14:textId="77777777" w:rsidR="00A00259" w:rsidRDefault="00371282">
            <w:pPr>
              <w:pStyle w:val="P68B1DB1-Normal12"/>
              <w:spacing w:after="0" w:line="240" w:lineRule="auto"/>
              <w:rPr>
                <w:noProof/>
              </w:rPr>
            </w:pPr>
            <w:r>
              <w:rPr>
                <w:noProof/>
              </w:rPr>
              <w:t xml:space="preserve">3. Dans le domaine d’intervention «Amélioration des services aux contribuables»: </w:t>
            </w:r>
          </w:p>
          <w:p w14:paraId="7B00091F" w14:textId="77777777" w:rsidR="00A00259" w:rsidRDefault="00371282">
            <w:pPr>
              <w:pStyle w:val="P68B1DB1-Normal12"/>
              <w:spacing w:after="0" w:line="240" w:lineRule="auto"/>
              <w:rPr>
                <w:noProof/>
              </w:rPr>
            </w:pPr>
            <w:r>
              <w:rPr>
                <w:noProof/>
              </w:rPr>
              <w:t>- Agrandissement-Mise à niveau du centre de services aux contribuables &amp; Services du centre d'appels; et </w:t>
            </w:r>
          </w:p>
          <w:p w14:paraId="4B6AE991" w14:textId="3BD0907E" w:rsidR="00A00259" w:rsidRDefault="00371282">
            <w:pPr>
              <w:pStyle w:val="P68B1DB1-Normal12"/>
              <w:spacing w:after="0" w:line="240" w:lineRule="auto"/>
              <w:rPr>
                <w:noProof/>
              </w:rPr>
            </w:pPr>
            <w:r>
              <w:rPr>
                <w:noProof/>
              </w:rPr>
              <w:t>- Cadre de sécurité des données</w:t>
            </w:r>
          </w:p>
          <w:p w14:paraId="5F8F2A87" w14:textId="77777777" w:rsidR="00A00259" w:rsidRDefault="00A00259">
            <w:pPr>
              <w:spacing w:after="0" w:line="240" w:lineRule="auto"/>
              <w:rPr>
                <w:rFonts w:ascii="Times New Roman" w:hAnsi="Times New Roman" w:cs="Times New Roman"/>
                <w:noProof/>
                <w:color w:val="006100"/>
                <w:sz w:val="18"/>
                <w:szCs w:val="18"/>
              </w:rPr>
            </w:pPr>
          </w:p>
          <w:p w14:paraId="125F687E" w14:textId="77777777" w:rsidR="00A00259" w:rsidRDefault="00371282">
            <w:pPr>
              <w:pStyle w:val="P68B1DB1-Normal12"/>
              <w:spacing w:after="0" w:line="240" w:lineRule="auto"/>
              <w:rPr>
                <w:noProof/>
              </w:rPr>
            </w:pPr>
            <w:r>
              <w:rPr>
                <w:noProof/>
              </w:rPr>
              <w:t>4. Dans le domaine d’intervention «Numérisation des audits et des contrôles»:</w:t>
            </w:r>
          </w:p>
          <w:p w14:paraId="71386F61" w14:textId="77777777" w:rsidR="00A00259" w:rsidRDefault="00371282">
            <w:pPr>
              <w:pStyle w:val="P68B1DB1-Normal12"/>
              <w:spacing w:after="0" w:line="240" w:lineRule="auto"/>
              <w:rPr>
                <w:noProof/>
              </w:rPr>
            </w:pPr>
            <w:r>
              <w:rPr>
                <w:noProof/>
              </w:rPr>
              <w:t>- Système de gestion des risques d'entreprise &amp; Plan de continuité des activités pour l'IAPR.</w:t>
            </w:r>
          </w:p>
        </w:tc>
      </w:tr>
    </w:tbl>
    <w:p w14:paraId="693E1DAA" w14:textId="77777777" w:rsidR="00A00259" w:rsidRDefault="00371282">
      <w:pPr>
        <w:rPr>
          <w:noProof/>
        </w:rPr>
        <w:sectPr w:rsidR="00A00259">
          <w:headerReference w:type="even" r:id="rId258"/>
          <w:headerReference w:type="default" r:id="rId259"/>
          <w:footerReference w:type="even" r:id="rId260"/>
          <w:footerReference w:type="default" r:id="rId261"/>
          <w:headerReference w:type="first" r:id="rId262"/>
          <w:footerReference w:type="first" r:id="rId263"/>
          <w:pgSz w:w="16839" w:h="11907" w:orient="landscape"/>
          <w:pgMar w:top="1134" w:right="1134" w:bottom="1134" w:left="1134" w:header="567" w:footer="567" w:gutter="0"/>
          <w:cols w:space="720"/>
          <w:docGrid w:linePitch="360"/>
        </w:sectPr>
      </w:pPr>
      <w:r>
        <w:rPr>
          <w:noProof/>
        </w:rPr>
        <w:br/>
      </w:r>
    </w:p>
    <w:p w14:paraId="0F04DEEC" w14:textId="77777777" w:rsidR="00A00259" w:rsidRDefault="00371282">
      <w:pPr>
        <w:pStyle w:val="P68B1DB1-Normal9"/>
        <w:keepNext/>
        <w:keepLines/>
        <w:spacing w:before="40" w:after="0" w:line="240" w:lineRule="auto"/>
        <w:jc w:val="both"/>
        <w:outlineLvl w:val="4"/>
        <w:rPr>
          <w:rFonts w:eastAsia="Times New Roman"/>
          <w:noProof/>
        </w:rPr>
      </w:pPr>
      <w:r>
        <w:rPr>
          <w:noProof/>
        </w:rPr>
        <w:t>Groupe 18: Politique fiscale</w:t>
      </w:r>
    </w:p>
    <w:p w14:paraId="48E8C73F" w14:textId="77777777" w:rsidR="00A00259" w:rsidRDefault="00371282">
      <w:pPr>
        <w:pStyle w:val="P68B1DB1-Normal7"/>
        <w:numPr>
          <w:ilvl w:val="0"/>
          <w:numId w:val="59"/>
        </w:numPr>
        <w:spacing w:before="120" w:after="0" w:line="240" w:lineRule="auto"/>
        <w:jc w:val="both"/>
        <w:rPr>
          <w:rFonts w:cs="Times New Roman"/>
          <w:noProof/>
        </w:rPr>
      </w:pPr>
      <w:r>
        <w:rPr>
          <w:noProof/>
        </w:rPr>
        <w:t>Codification et simplification de la législation, des règles et des procédures fiscales (ID: 16643)</w:t>
      </w:r>
    </w:p>
    <w:p w14:paraId="2530889E" w14:textId="77777777" w:rsidR="00A00259" w:rsidRDefault="00371282">
      <w:pPr>
        <w:pStyle w:val="P68B1DB1-Normal5"/>
        <w:numPr>
          <w:ilvl w:val="0"/>
          <w:numId w:val="59"/>
        </w:numPr>
        <w:spacing w:before="120" w:after="0" w:line="240" w:lineRule="auto"/>
        <w:jc w:val="both"/>
        <w:rPr>
          <w:rFonts w:cs="Times New Roman"/>
          <w:noProof/>
        </w:rPr>
      </w:pPr>
      <w:r>
        <w:rPr>
          <w:noProof/>
        </w:rPr>
        <w:t>Adoption de mesures et d’incitations visant à accroître les transactions électroniques (ID: 16616)</w:t>
      </w:r>
    </w:p>
    <w:p w14:paraId="51F5C8E0" w14:textId="77777777" w:rsidR="00A00259" w:rsidRDefault="00371282">
      <w:pPr>
        <w:pStyle w:val="P68B1DB1-Normal5"/>
        <w:numPr>
          <w:ilvl w:val="0"/>
          <w:numId w:val="59"/>
        </w:numPr>
        <w:spacing w:before="120" w:after="0" w:line="240" w:lineRule="auto"/>
        <w:jc w:val="both"/>
        <w:rPr>
          <w:rFonts w:cs="Times New Roman"/>
          <w:noProof/>
        </w:rPr>
      </w:pPr>
      <w:r>
        <w:rPr>
          <w:noProof/>
        </w:rPr>
        <w:t>Super – déduction des dépenses des PME en faveur de l’économie verte, de l’énergie et de la numérisation (ID: 16863)</w:t>
      </w:r>
    </w:p>
    <w:p w14:paraId="5D280B0C" w14:textId="77777777" w:rsidR="00A00259" w:rsidRDefault="00371282">
      <w:pPr>
        <w:pStyle w:val="P68B1DB1-Normal5"/>
        <w:numPr>
          <w:ilvl w:val="0"/>
          <w:numId w:val="59"/>
        </w:numPr>
        <w:spacing w:before="120" w:after="120" w:line="240" w:lineRule="auto"/>
        <w:jc w:val="both"/>
        <w:rPr>
          <w:rFonts w:cs="Times New Roman"/>
          <w:noProof/>
        </w:rPr>
      </w:pPr>
      <w:r>
        <w:rPr>
          <w:noProof/>
        </w:rPr>
        <w:t>Régime d’incitation à la productivité et à l’extraversion des entreprises (augmentation de la taille des entreprises) (ID: 16598)</w:t>
      </w:r>
    </w:p>
    <w:p w14:paraId="643CA4BF" w14:textId="77777777" w:rsidR="00A00259" w:rsidRDefault="00371282">
      <w:pPr>
        <w:pStyle w:val="P68B1DB1-Normal5"/>
        <w:numPr>
          <w:ilvl w:val="0"/>
          <w:numId w:val="59"/>
        </w:numPr>
        <w:spacing w:before="120" w:after="120" w:line="240" w:lineRule="auto"/>
        <w:jc w:val="both"/>
        <w:rPr>
          <w:rFonts w:cs="Times New Roman"/>
          <w:noProof/>
        </w:rPr>
      </w:pPr>
      <w:r>
        <w:rPr>
          <w:noProof/>
        </w:rPr>
        <w:t>Modifications apportées au cadre de la politique fiscale de la Grèce (mesure ID: 16985</w:t>
      </w:r>
    </w:p>
    <w:tbl>
      <w:tblPr>
        <w:tblW w:w="15910" w:type="dxa"/>
        <w:jc w:val="center"/>
        <w:tblLook w:val="04A0" w:firstRow="1" w:lastRow="0" w:firstColumn="1" w:lastColumn="0" w:noHBand="0" w:noVBand="1"/>
      </w:tblPr>
      <w:tblGrid>
        <w:gridCol w:w="682"/>
        <w:gridCol w:w="1974"/>
        <w:gridCol w:w="1172"/>
        <w:gridCol w:w="1346"/>
        <w:gridCol w:w="1984"/>
        <w:gridCol w:w="866"/>
        <w:gridCol w:w="936"/>
        <w:gridCol w:w="846"/>
        <w:gridCol w:w="993"/>
        <w:gridCol w:w="708"/>
        <w:gridCol w:w="4830"/>
      </w:tblGrid>
      <w:tr w:rsidR="00A00259" w14:paraId="4A923EAA" w14:textId="77777777">
        <w:trPr>
          <w:trHeight w:val="773"/>
          <w:tblHeader/>
          <w:jc w:val="center"/>
        </w:trPr>
        <w:tc>
          <w:tcPr>
            <w:tcW w:w="6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58927FB" w14:textId="77777777" w:rsidR="00A00259" w:rsidRDefault="00371282">
            <w:pPr>
              <w:pStyle w:val="P68B1DB1-Normal15"/>
              <w:spacing w:after="0" w:line="240" w:lineRule="auto"/>
              <w:jc w:val="center"/>
              <w:rPr>
                <w:rFonts w:eastAsia="Times New Roman"/>
                <w:bCs/>
                <w:noProof/>
              </w:rPr>
            </w:pPr>
            <w:r>
              <w:rPr>
                <w:noProof/>
              </w:rPr>
              <w:t xml:space="preserve">Seq. </w:t>
            </w:r>
            <w:r>
              <w:rPr>
                <w:noProof/>
              </w:rPr>
              <w:br/>
              <w:t>Non.</w:t>
            </w:r>
          </w:p>
        </w:tc>
        <w:tc>
          <w:tcPr>
            <w:tcW w:w="197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CF6D92"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17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AB6C62"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69A645"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1C8786" w14:textId="77777777" w:rsidR="00A00259" w:rsidRDefault="00371282">
            <w:pPr>
              <w:pStyle w:val="P68B1DB1-Normal36"/>
              <w:spacing w:after="0" w:line="240" w:lineRule="auto"/>
              <w:jc w:val="center"/>
              <w:rPr>
                <w:rFonts w:ascii="Times New Roman" w:eastAsia="Times New Roman" w:hAnsi="Times New Roman" w:cs="Times New Roman"/>
                <w:b/>
                <w:bCs/>
                <w:noProof/>
                <w:szCs w:val="18"/>
              </w:rPr>
            </w:pPr>
            <w:r>
              <w:rPr>
                <w:rFonts w:ascii="Times New Roman" w:hAnsi="Times New Roman"/>
                <w:b/>
                <w:noProof/>
              </w:rPr>
              <w:t>Indicateurs qualitatifs</w:t>
            </w:r>
            <w:r>
              <w:rPr>
                <w:rFonts w:ascii="Times New Roman" w:hAnsi="Times New Roman" w:cs="Times New Roman"/>
                <w:noProof/>
                <w:szCs w:val="18"/>
              </w:rPr>
              <w:t xml:space="preserve"> </w:t>
            </w:r>
            <w:r>
              <w:rPr>
                <w:rFonts w:ascii="Times New Roman" w:hAnsi="Times New Roman"/>
                <w:b/>
                <w:noProof/>
              </w:rPr>
              <w:t>(pour les jalons)</w:t>
            </w:r>
          </w:p>
        </w:tc>
        <w:tc>
          <w:tcPr>
            <w:tcW w:w="239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D87ED15" w14:textId="77777777" w:rsidR="00A00259" w:rsidRDefault="00371282">
            <w:pPr>
              <w:pStyle w:val="P68B1DB1-Normal10"/>
              <w:spacing w:after="0" w:line="240" w:lineRule="auto"/>
              <w:jc w:val="center"/>
              <w:rPr>
                <w:rFonts w:eastAsia="Times New Roman" w:cs="Times New Roman"/>
                <w:bCs/>
                <w:noProof/>
                <w:szCs w:val="18"/>
              </w:rPr>
            </w:pPr>
            <w:r>
              <w:rPr>
                <w:noProof/>
              </w:rPr>
              <w:t>Indicateurs quantitatifs (pour les objectifs)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529F0A75"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48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A60FD73" w14:textId="77777777" w:rsidR="00A00259" w:rsidRDefault="00A00259">
            <w:pPr>
              <w:spacing w:after="0" w:line="240" w:lineRule="auto"/>
              <w:jc w:val="center"/>
              <w:rPr>
                <w:rFonts w:ascii="Times New Roman" w:hAnsi="Times New Roman"/>
                <w:b/>
                <w:noProof/>
                <w:sz w:val="18"/>
              </w:rPr>
            </w:pPr>
          </w:p>
          <w:p w14:paraId="35E8018A" w14:textId="77777777" w:rsidR="00A00259" w:rsidRDefault="00371282">
            <w:pPr>
              <w:pStyle w:val="P68B1DB1-Normal10"/>
              <w:spacing w:after="0" w:line="240" w:lineRule="auto"/>
              <w:jc w:val="center"/>
              <w:rPr>
                <w:noProof/>
              </w:rPr>
            </w:pPr>
            <w:r>
              <w:rPr>
                <w:noProof/>
              </w:rPr>
              <w:t>Description de chaque jalon et cible</w:t>
            </w:r>
          </w:p>
          <w:p w14:paraId="208FE007" w14:textId="77777777" w:rsidR="00A00259" w:rsidRDefault="00A00259">
            <w:pPr>
              <w:rPr>
                <w:rFonts w:ascii="Times New Roman" w:eastAsia="Times New Roman" w:hAnsi="Times New Roman" w:cs="Times New Roman"/>
                <w:noProof/>
                <w:sz w:val="18"/>
                <w:szCs w:val="18"/>
              </w:rPr>
            </w:pPr>
          </w:p>
        </w:tc>
      </w:tr>
      <w:tr w:rsidR="00A00259" w14:paraId="42298BD3" w14:textId="77777777">
        <w:trPr>
          <w:trHeight w:val="532"/>
          <w:tblHeader/>
          <w:jc w:val="center"/>
        </w:trPr>
        <w:tc>
          <w:tcPr>
            <w:tcW w:w="682" w:type="dxa"/>
            <w:vMerge/>
            <w:tcBorders>
              <w:top w:val="single" w:sz="4" w:space="0" w:color="auto"/>
              <w:left w:val="single" w:sz="4" w:space="0" w:color="auto"/>
              <w:bottom w:val="single" w:sz="4" w:space="0" w:color="auto"/>
              <w:right w:val="single" w:sz="4" w:space="0" w:color="auto"/>
            </w:tcBorders>
            <w:vAlign w:val="center"/>
            <w:hideMark/>
          </w:tcPr>
          <w:p w14:paraId="677ADC98" w14:textId="77777777" w:rsidR="00A00259" w:rsidRDefault="00A00259">
            <w:pPr>
              <w:spacing w:after="0" w:line="240" w:lineRule="auto"/>
              <w:rPr>
                <w:rFonts w:ascii="Times New Roman" w:eastAsia="Times New Roman" w:hAnsi="Times New Roman" w:cs="Times New Roman"/>
                <w:b/>
                <w:bCs/>
                <w:noProof/>
                <w:sz w:val="18"/>
                <w:szCs w:val="18"/>
              </w:rPr>
            </w:pPr>
          </w:p>
        </w:tc>
        <w:tc>
          <w:tcPr>
            <w:tcW w:w="1974" w:type="dxa"/>
            <w:vMerge/>
            <w:tcBorders>
              <w:top w:val="single" w:sz="4" w:space="0" w:color="auto"/>
              <w:left w:val="single" w:sz="4" w:space="0" w:color="auto"/>
              <w:bottom w:val="single" w:sz="4" w:space="0" w:color="auto"/>
              <w:right w:val="single" w:sz="4" w:space="0" w:color="auto"/>
            </w:tcBorders>
            <w:vAlign w:val="center"/>
            <w:hideMark/>
          </w:tcPr>
          <w:p w14:paraId="6F6D8F14" w14:textId="77777777" w:rsidR="00A00259" w:rsidRDefault="00A00259">
            <w:pPr>
              <w:spacing w:after="0" w:line="240" w:lineRule="auto"/>
              <w:rPr>
                <w:rFonts w:ascii="Times New Roman" w:eastAsia="Times New Roman" w:hAnsi="Times New Roman" w:cs="Times New Roman"/>
                <w:b/>
                <w:bCs/>
                <w:noProof/>
                <w:sz w:val="18"/>
                <w:szCs w:val="18"/>
              </w:rPr>
            </w:pPr>
          </w:p>
        </w:tc>
        <w:tc>
          <w:tcPr>
            <w:tcW w:w="1172" w:type="dxa"/>
            <w:vMerge/>
            <w:tcBorders>
              <w:top w:val="single" w:sz="4" w:space="0" w:color="auto"/>
              <w:left w:val="single" w:sz="4" w:space="0" w:color="auto"/>
              <w:bottom w:val="single" w:sz="4" w:space="0" w:color="auto"/>
              <w:right w:val="single" w:sz="4" w:space="0" w:color="auto"/>
            </w:tcBorders>
            <w:vAlign w:val="center"/>
            <w:hideMark/>
          </w:tcPr>
          <w:p w14:paraId="5916E6A1" w14:textId="77777777" w:rsidR="00A00259" w:rsidRDefault="00A00259">
            <w:pPr>
              <w:spacing w:after="0" w:line="240" w:lineRule="auto"/>
              <w:rPr>
                <w:rFonts w:ascii="Times New Roman" w:eastAsia="Times New Roman" w:hAnsi="Times New Roman" w:cs="Times New Roman"/>
                <w:b/>
                <w:bCs/>
                <w:noProof/>
                <w:sz w:val="18"/>
                <w:szCs w:val="18"/>
              </w:rPr>
            </w:pPr>
          </w:p>
        </w:tc>
        <w:tc>
          <w:tcPr>
            <w:tcW w:w="1176" w:type="dxa"/>
            <w:vMerge/>
            <w:tcBorders>
              <w:top w:val="single" w:sz="4" w:space="0" w:color="auto"/>
              <w:left w:val="single" w:sz="4" w:space="0" w:color="auto"/>
              <w:bottom w:val="single" w:sz="4" w:space="0" w:color="auto"/>
              <w:right w:val="single" w:sz="4" w:space="0" w:color="auto"/>
            </w:tcBorders>
            <w:vAlign w:val="center"/>
            <w:hideMark/>
          </w:tcPr>
          <w:p w14:paraId="5E9A8BC6" w14:textId="77777777" w:rsidR="00A00259" w:rsidRDefault="00A00259">
            <w:pPr>
              <w:spacing w:after="0" w:line="240" w:lineRule="auto"/>
              <w:rPr>
                <w:rFonts w:ascii="Times New Roman" w:eastAsia="Times New Roman" w:hAnsi="Times New Roman" w:cs="Times New Roman"/>
                <w:b/>
                <w:bCs/>
                <w:noProof/>
                <w:sz w:val="18"/>
                <w:szCs w:val="18"/>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9F10A3C" w14:textId="77777777" w:rsidR="00A00259" w:rsidRDefault="00A00259">
            <w:pPr>
              <w:spacing w:after="0" w:line="240" w:lineRule="auto"/>
              <w:rPr>
                <w:rFonts w:ascii="Times New Roman" w:eastAsia="Times New Roman" w:hAnsi="Times New Roman" w:cs="Times New Roman"/>
                <w:b/>
                <w:bCs/>
                <w:noProof/>
                <w:sz w:val="18"/>
                <w:szCs w:val="18"/>
              </w:rPr>
            </w:pPr>
          </w:p>
        </w:tc>
        <w:tc>
          <w:tcPr>
            <w:tcW w:w="86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F22A1CC"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8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EA5EE91"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66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EBE1A40"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E01E077"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90D1F8D"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4830" w:type="dxa"/>
            <w:vMerge/>
            <w:tcBorders>
              <w:top w:val="single" w:sz="4" w:space="0" w:color="auto"/>
              <w:left w:val="single" w:sz="4" w:space="0" w:color="auto"/>
              <w:bottom w:val="single" w:sz="4" w:space="0" w:color="auto"/>
              <w:right w:val="single" w:sz="4" w:space="0" w:color="auto"/>
            </w:tcBorders>
            <w:vAlign w:val="center"/>
            <w:hideMark/>
          </w:tcPr>
          <w:p w14:paraId="67805AD5"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4AA5C5C9" w14:textId="77777777">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4EE5ED73" w14:textId="77777777" w:rsidR="00A00259" w:rsidRDefault="00371282">
            <w:pPr>
              <w:pStyle w:val="P68B1DB1-Normal12"/>
              <w:spacing w:after="0" w:line="240" w:lineRule="auto"/>
              <w:rPr>
                <w:rFonts w:eastAsia="Times New Roman"/>
                <w:noProof/>
              </w:rPr>
            </w:pPr>
            <w:r>
              <w:rPr>
                <w:noProof/>
              </w:rPr>
              <w:t>197</w:t>
            </w:r>
          </w:p>
        </w:tc>
        <w:tc>
          <w:tcPr>
            <w:tcW w:w="1974" w:type="dxa"/>
            <w:tcBorders>
              <w:top w:val="single" w:sz="4" w:space="0" w:color="auto"/>
              <w:left w:val="nil"/>
              <w:bottom w:val="single" w:sz="4" w:space="0" w:color="auto"/>
              <w:right w:val="single" w:sz="4" w:space="0" w:color="auto"/>
            </w:tcBorders>
            <w:shd w:val="clear" w:color="auto" w:fill="C6EFCE"/>
            <w:noWrap/>
          </w:tcPr>
          <w:p w14:paraId="65D33FC6" w14:textId="77777777" w:rsidR="00A00259" w:rsidRDefault="00371282">
            <w:pPr>
              <w:pStyle w:val="P68B1DB1-Normal12"/>
              <w:spacing w:after="0" w:line="240" w:lineRule="auto"/>
              <w:rPr>
                <w:rFonts w:eastAsia="Times New Roman"/>
                <w:noProof/>
              </w:rPr>
            </w:pPr>
            <w:r>
              <w:rPr>
                <w:noProof/>
              </w:rPr>
              <w:t>12 - 4.1. Rendre les impôts plus propices à la croissance et améliorer l'administration fiscale et le recouvrement des impôts - 16863_Super – déduction des dépenses liées à l'économie verte, à l'énergie et à la transition numérique</w:t>
            </w:r>
          </w:p>
        </w:tc>
        <w:tc>
          <w:tcPr>
            <w:tcW w:w="1172" w:type="dxa"/>
            <w:tcBorders>
              <w:top w:val="single" w:sz="4" w:space="0" w:color="auto"/>
              <w:left w:val="nil"/>
              <w:bottom w:val="single" w:sz="4" w:space="0" w:color="auto"/>
              <w:right w:val="single" w:sz="4" w:space="0" w:color="auto"/>
            </w:tcBorders>
            <w:shd w:val="clear" w:color="auto" w:fill="C6EFCE"/>
            <w:noWrap/>
          </w:tcPr>
          <w:p w14:paraId="74427774" w14:textId="77777777" w:rsidR="00A00259" w:rsidRDefault="00371282">
            <w:pPr>
              <w:pStyle w:val="P68B1DB1-Normal12"/>
              <w:spacing w:after="0" w:line="240" w:lineRule="auto"/>
              <w:rPr>
                <w:rFonts w:eastAsia="Times New Roman"/>
                <w:noProof/>
              </w:rPr>
            </w:pPr>
            <w:r>
              <w:rPr>
                <w:noProof/>
              </w:rPr>
              <w:t>Étape</w:t>
            </w:r>
          </w:p>
        </w:tc>
        <w:tc>
          <w:tcPr>
            <w:tcW w:w="1176" w:type="dxa"/>
            <w:tcBorders>
              <w:top w:val="single" w:sz="4" w:space="0" w:color="auto"/>
              <w:left w:val="nil"/>
              <w:bottom w:val="single" w:sz="4" w:space="0" w:color="auto"/>
              <w:right w:val="single" w:sz="4" w:space="0" w:color="auto"/>
            </w:tcBorders>
            <w:shd w:val="clear" w:color="auto" w:fill="C6EFCE"/>
            <w:noWrap/>
          </w:tcPr>
          <w:p w14:paraId="34ED85E4" w14:textId="77777777" w:rsidR="00A00259" w:rsidRDefault="00371282">
            <w:pPr>
              <w:pStyle w:val="P68B1DB1-Normal12"/>
              <w:spacing w:after="0" w:line="240" w:lineRule="auto"/>
              <w:rPr>
                <w:rFonts w:eastAsia="Times New Roman"/>
                <w:noProof/>
              </w:rPr>
            </w:pPr>
            <w:r>
              <w:rPr>
                <w:noProof/>
              </w:rPr>
              <w:t>Super-déduction pour les investissements verts et numériques des PME</w:t>
            </w:r>
          </w:p>
        </w:tc>
        <w:tc>
          <w:tcPr>
            <w:tcW w:w="1984" w:type="dxa"/>
            <w:tcBorders>
              <w:top w:val="single" w:sz="4" w:space="0" w:color="auto"/>
              <w:left w:val="nil"/>
              <w:bottom w:val="single" w:sz="4" w:space="0" w:color="auto"/>
              <w:right w:val="single" w:sz="4" w:space="0" w:color="auto"/>
            </w:tcBorders>
            <w:shd w:val="clear" w:color="auto" w:fill="C6EFCE"/>
            <w:noWrap/>
          </w:tcPr>
          <w:p w14:paraId="17365346" w14:textId="77777777" w:rsidR="00A00259" w:rsidRDefault="00371282">
            <w:pPr>
              <w:pStyle w:val="P68B1DB1-Normal12"/>
              <w:spacing w:after="0" w:line="240" w:lineRule="auto"/>
              <w:rPr>
                <w:rFonts w:eastAsia="Times New Roman"/>
                <w:noProof/>
              </w:rPr>
            </w:pPr>
            <w:r>
              <w:rPr>
                <w:noProof/>
              </w:rPr>
              <w:t>Entrée en vigueur du droit primaire et du droit dérivé en matière de superdéduction pour les investissements verts et numériques des PME</w:t>
            </w:r>
          </w:p>
        </w:tc>
        <w:tc>
          <w:tcPr>
            <w:tcW w:w="866" w:type="dxa"/>
            <w:tcBorders>
              <w:top w:val="single" w:sz="4" w:space="0" w:color="auto"/>
              <w:left w:val="nil"/>
              <w:bottom w:val="single" w:sz="4" w:space="0" w:color="auto"/>
              <w:right w:val="single" w:sz="4" w:space="0" w:color="auto"/>
            </w:tcBorders>
            <w:shd w:val="clear" w:color="auto" w:fill="C6EFCE"/>
            <w:noWrap/>
          </w:tcPr>
          <w:p w14:paraId="1A2556E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2584D2A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668" w:type="dxa"/>
            <w:tcBorders>
              <w:top w:val="single" w:sz="4" w:space="0" w:color="auto"/>
              <w:left w:val="nil"/>
              <w:bottom w:val="single" w:sz="4" w:space="0" w:color="auto"/>
              <w:right w:val="single" w:sz="4" w:space="0" w:color="auto"/>
            </w:tcBorders>
            <w:shd w:val="clear" w:color="auto" w:fill="C6EFCE"/>
            <w:noWrap/>
          </w:tcPr>
          <w:p w14:paraId="7391797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2EED207F" w14:textId="77777777" w:rsidR="00A00259" w:rsidRDefault="00371282">
            <w:pPr>
              <w:pStyle w:val="P68B1DB1-Normal12"/>
              <w:spacing w:after="0" w:line="240" w:lineRule="auto"/>
              <w:rPr>
                <w:rFonts w:eastAsia="Times New Roman"/>
                <w:noProof/>
              </w:rPr>
            </w:pPr>
            <w:r>
              <w:rPr>
                <w:noProof/>
              </w:rPr>
              <w:t>T4</w:t>
            </w:r>
          </w:p>
        </w:tc>
        <w:tc>
          <w:tcPr>
            <w:tcW w:w="708" w:type="dxa"/>
            <w:tcBorders>
              <w:top w:val="single" w:sz="4" w:space="0" w:color="auto"/>
              <w:left w:val="nil"/>
              <w:bottom w:val="single" w:sz="4" w:space="0" w:color="auto"/>
              <w:right w:val="single" w:sz="4" w:space="0" w:color="auto"/>
            </w:tcBorders>
            <w:shd w:val="clear" w:color="auto" w:fill="C6EFCE"/>
            <w:noWrap/>
          </w:tcPr>
          <w:p w14:paraId="5A047B61" w14:textId="77777777" w:rsidR="00A00259" w:rsidRDefault="00371282">
            <w:pPr>
              <w:pStyle w:val="P68B1DB1-Normal12"/>
              <w:spacing w:after="0" w:line="240" w:lineRule="auto"/>
              <w:rPr>
                <w:rFonts w:eastAsia="Times New Roman"/>
                <w:noProof/>
              </w:rPr>
            </w:pPr>
            <w:r>
              <w:rPr>
                <w:noProof/>
              </w:rPr>
              <w:t>2021</w:t>
            </w:r>
          </w:p>
        </w:tc>
        <w:tc>
          <w:tcPr>
            <w:tcW w:w="4830" w:type="dxa"/>
            <w:tcBorders>
              <w:top w:val="single" w:sz="4" w:space="0" w:color="auto"/>
              <w:left w:val="nil"/>
              <w:bottom w:val="single" w:sz="4" w:space="0" w:color="auto"/>
              <w:right w:val="single" w:sz="4" w:space="0" w:color="auto"/>
            </w:tcBorders>
            <w:shd w:val="clear" w:color="auto" w:fill="C6EFCE"/>
            <w:noWrap/>
          </w:tcPr>
          <w:p w14:paraId="78FE30DF" w14:textId="77777777" w:rsidR="00A00259" w:rsidRDefault="00371282">
            <w:pPr>
              <w:pStyle w:val="P68B1DB1-Normal12"/>
              <w:spacing w:after="0" w:line="240" w:lineRule="auto"/>
              <w:rPr>
                <w:rFonts w:eastAsia="Times New Roman"/>
                <w:noProof/>
              </w:rPr>
            </w:pPr>
            <w:r>
              <w:rPr>
                <w:noProof/>
              </w:rPr>
              <w:t xml:space="preserve">Entrée en vigueur du droit primaire et du droit dérivé pour l’introduction de la superdéduction fiscale des dépenses éligibles des PME pour les investissements dans l’économie verte et la numérisation </w:t>
            </w:r>
          </w:p>
        </w:tc>
      </w:tr>
      <w:tr w:rsidR="00A00259" w14:paraId="6370C821" w14:textId="77777777">
        <w:trPr>
          <w:trHeight w:val="313"/>
          <w:jc w:val="center"/>
        </w:trPr>
        <w:tc>
          <w:tcPr>
            <w:tcW w:w="682" w:type="dxa"/>
            <w:tcBorders>
              <w:top w:val="nil"/>
              <w:left w:val="single" w:sz="4" w:space="0" w:color="auto"/>
              <w:bottom w:val="single" w:sz="4" w:space="0" w:color="auto"/>
              <w:right w:val="single" w:sz="4" w:space="0" w:color="auto"/>
            </w:tcBorders>
            <w:shd w:val="clear" w:color="auto" w:fill="C6EFCE"/>
            <w:noWrap/>
          </w:tcPr>
          <w:p w14:paraId="54A183B7" w14:textId="77777777" w:rsidR="00A00259" w:rsidRDefault="00371282">
            <w:pPr>
              <w:pStyle w:val="P68B1DB1-Normal12"/>
              <w:spacing w:after="0" w:line="240" w:lineRule="auto"/>
              <w:rPr>
                <w:rFonts w:eastAsia="Times New Roman"/>
                <w:noProof/>
              </w:rPr>
            </w:pPr>
            <w:r>
              <w:rPr>
                <w:noProof/>
              </w:rPr>
              <w:t>198</w:t>
            </w:r>
          </w:p>
        </w:tc>
        <w:tc>
          <w:tcPr>
            <w:tcW w:w="1974" w:type="dxa"/>
            <w:tcBorders>
              <w:top w:val="nil"/>
              <w:left w:val="nil"/>
              <w:bottom w:val="single" w:sz="4" w:space="0" w:color="auto"/>
              <w:right w:val="single" w:sz="4" w:space="0" w:color="auto"/>
            </w:tcBorders>
            <w:shd w:val="clear" w:color="auto" w:fill="C6EFCE"/>
            <w:noWrap/>
          </w:tcPr>
          <w:p w14:paraId="5346D933" w14:textId="77777777" w:rsidR="00A00259" w:rsidRDefault="00371282">
            <w:pPr>
              <w:pStyle w:val="P68B1DB1-Normal12"/>
              <w:spacing w:after="0" w:line="240" w:lineRule="auto"/>
              <w:rPr>
                <w:rFonts w:eastAsia="Times New Roman"/>
                <w:noProof/>
              </w:rPr>
            </w:pPr>
            <w:r>
              <w:rPr>
                <w:noProof/>
              </w:rPr>
              <w:t>12 - 4.1. Rendre les impôts plus propices à la croissance et améliorer l'administration fiscale et le recouvrement des impôts - 16616_Adoption de mesures et d'incitations pour accroître les transactions électroniques</w:t>
            </w:r>
          </w:p>
        </w:tc>
        <w:tc>
          <w:tcPr>
            <w:tcW w:w="1172" w:type="dxa"/>
            <w:tcBorders>
              <w:top w:val="nil"/>
              <w:left w:val="nil"/>
              <w:bottom w:val="single" w:sz="4" w:space="0" w:color="auto"/>
              <w:right w:val="single" w:sz="4" w:space="0" w:color="auto"/>
            </w:tcBorders>
            <w:shd w:val="clear" w:color="auto" w:fill="C6EFCE"/>
            <w:noWrap/>
          </w:tcPr>
          <w:p w14:paraId="60074B92" w14:textId="77777777" w:rsidR="00A00259" w:rsidRDefault="00371282">
            <w:pPr>
              <w:pStyle w:val="P68B1DB1-Normal12"/>
              <w:spacing w:after="0" w:line="240" w:lineRule="auto"/>
              <w:rPr>
                <w:rFonts w:eastAsia="Times New Roman"/>
                <w:noProof/>
              </w:rPr>
            </w:pPr>
            <w:r>
              <w:rPr>
                <w:noProof/>
              </w:rPr>
              <w:t>Étape</w:t>
            </w:r>
          </w:p>
        </w:tc>
        <w:tc>
          <w:tcPr>
            <w:tcW w:w="1176" w:type="dxa"/>
            <w:tcBorders>
              <w:top w:val="nil"/>
              <w:left w:val="nil"/>
              <w:bottom w:val="single" w:sz="4" w:space="0" w:color="auto"/>
              <w:right w:val="single" w:sz="4" w:space="0" w:color="auto"/>
            </w:tcBorders>
            <w:shd w:val="clear" w:color="auto" w:fill="C6EFCE"/>
            <w:noWrap/>
          </w:tcPr>
          <w:p w14:paraId="12EB1C46" w14:textId="77777777" w:rsidR="00A00259" w:rsidRDefault="00371282">
            <w:pPr>
              <w:pStyle w:val="P68B1DB1-Normal12"/>
              <w:spacing w:after="0" w:line="240" w:lineRule="auto"/>
              <w:rPr>
                <w:rFonts w:eastAsia="Times New Roman"/>
                <w:noProof/>
              </w:rPr>
            </w:pPr>
            <w:r>
              <w:rPr>
                <w:noProof/>
              </w:rPr>
              <w:t>Législation visant à encourager les transactions électroniques</w:t>
            </w:r>
          </w:p>
        </w:tc>
        <w:tc>
          <w:tcPr>
            <w:tcW w:w="1984" w:type="dxa"/>
            <w:tcBorders>
              <w:top w:val="nil"/>
              <w:left w:val="nil"/>
              <w:bottom w:val="single" w:sz="4" w:space="0" w:color="auto"/>
              <w:right w:val="single" w:sz="4" w:space="0" w:color="auto"/>
            </w:tcBorders>
            <w:shd w:val="clear" w:color="auto" w:fill="C6EFCE"/>
            <w:noWrap/>
          </w:tcPr>
          <w:p w14:paraId="60A8630C" w14:textId="77777777" w:rsidR="00A00259" w:rsidRDefault="00371282">
            <w:pPr>
              <w:pStyle w:val="P68B1DB1-Normal12"/>
              <w:spacing w:after="0" w:line="240" w:lineRule="auto"/>
              <w:rPr>
                <w:rFonts w:eastAsia="Times New Roman"/>
                <w:noProof/>
              </w:rPr>
            </w:pPr>
            <w:r>
              <w:rPr>
                <w:noProof/>
              </w:rPr>
              <w:t xml:space="preserve">Entrée en vigueur du droit primaire et du droit dérivé, incitant au renforcement des transactions électroniques </w:t>
            </w:r>
          </w:p>
        </w:tc>
        <w:tc>
          <w:tcPr>
            <w:tcW w:w="866" w:type="dxa"/>
            <w:tcBorders>
              <w:top w:val="nil"/>
              <w:left w:val="nil"/>
              <w:bottom w:val="single" w:sz="4" w:space="0" w:color="auto"/>
              <w:right w:val="single" w:sz="4" w:space="0" w:color="auto"/>
            </w:tcBorders>
            <w:shd w:val="clear" w:color="auto" w:fill="C6EFCE"/>
            <w:noWrap/>
          </w:tcPr>
          <w:p w14:paraId="36ECB75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3242B21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668" w:type="dxa"/>
            <w:tcBorders>
              <w:top w:val="nil"/>
              <w:left w:val="nil"/>
              <w:bottom w:val="single" w:sz="4" w:space="0" w:color="auto"/>
              <w:right w:val="single" w:sz="4" w:space="0" w:color="auto"/>
            </w:tcBorders>
            <w:shd w:val="clear" w:color="auto" w:fill="C6EFCE"/>
            <w:noWrap/>
          </w:tcPr>
          <w:p w14:paraId="43B5FCC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tcBorders>
              <w:top w:val="nil"/>
              <w:left w:val="nil"/>
              <w:bottom w:val="single" w:sz="4" w:space="0" w:color="auto"/>
              <w:right w:val="single" w:sz="4" w:space="0" w:color="auto"/>
            </w:tcBorders>
            <w:shd w:val="clear" w:color="auto" w:fill="C6EFCE"/>
            <w:noWrap/>
          </w:tcPr>
          <w:p w14:paraId="37AE7C5D" w14:textId="77777777" w:rsidR="00A00259" w:rsidRDefault="00371282">
            <w:pPr>
              <w:pStyle w:val="P68B1DB1-Normal12"/>
              <w:spacing w:after="0" w:line="240" w:lineRule="auto"/>
              <w:rPr>
                <w:rFonts w:eastAsia="Times New Roman"/>
                <w:noProof/>
              </w:rPr>
            </w:pPr>
            <w:r>
              <w:rPr>
                <w:noProof/>
              </w:rPr>
              <w:t>T4</w:t>
            </w:r>
          </w:p>
        </w:tc>
        <w:tc>
          <w:tcPr>
            <w:tcW w:w="708" w:type="dxa"/>
            <w:tcBorders>
              <w:top w:val="nil"/>
              <w:left w:val="nil"/>
              <w:bottom w:val="single" w:sz="4" w:space="0" w:color="auto"/>
              <w:right w:val="single" w:sz="4" w:space="0" w:color="auto"/>
            </w:tcBorders>
            <w:shd w:val="clear" w:color="auto" w:fill="C6EFCE"/>
            <w:noWrap/>
          </w:tcPr>
          <w:p w14:paraId="3BE5C61D" w14:textId="77777777" w:rsidR="00A00259" w:rsidRDefault="00371282">
            <w:pPr>
              <w:pStyle w:val="P68B1DB1-Normal12"/>
              <w:spacing w:after="0" w:line="240" w:lineRule="auto"/>
              <w:rPr>
                <w:rFonts w:eastAsia="Times New Roman"/>
                <w:noProof/>
              </w:rPr>
            </w:pPr>
            <w:r>
              <w:rPr>
                <w:noProof/>
              </w:rPr>
              <w:t>2021</w:t>
            </w:r>
          </w:p>
        </w:tc>
        <w:tc>
          <w:tcPr>
            <w:tcW w:w="4830" w:type="dxa"/>
            <w:tcBorders>
              <w:top w:val="nil"/>
              <w:left w:val="nil"/>
              <w:bottom w:val="single" w:sz="4" w:space="0" w:color="auto"/>
              <w:right w:val="single" w:sz="4" w:space="0" w:color="auto"/>
            </w:tcBorders>
            <w:shd w:val="clear" w:color="auto" w:fill="C6EFCE"/>
            <w:noWrap/>
          </w:tcPr>
          <w:p w14:paraId="78EE2790" w14:textId="77777777" w:rsidR="00A00259" w:rsidRDefault="00371282">
            <w:pPr>
              <w:pStyle w:val="P68B1DB1-Normal12"/>
              <w:spacing w:after="0" w:line="240" w:lineRule="auto"/>
              <w:rPr>
                <w:rFonts w:eastAsia="Times New Roman"/>
                <w:noProof/>
              </w:rPr>
            </w:pPr>
            <w:r>
              <w:rPr>
                <w:noProof/>
              </w:rPr>
              <w:t xml:space="preserve">Entrée en vigueur de la modification du cadre juridique primaire et secondaire prévoyant des incitations spécifiques pour le renforcement des transactions électroniques </w:t>
            </w:r>
          </w:p>
        </w:tc>
      </w:tr>
      <w:tr w:rsidR="00A00259" w14:paraId="2EB2D0C2" w14:textId="77777777">
        <w:trPr>
          <w:trHeight w:val="313"/>
          <w:jc w:val="center"/>
        </w:trPr>
        <w:tc>
          <w:tcPr>
            <w:tcW w:w="682" w:type="dxa"/>
            <w:tcBorders>
              <w:top w:val="nil"/>
              <w:left w:val="single" w:sz="4" w:space="0" w:color="auto"/>
              <w:bottom w:val="single" w:sz="4" w:space="0" w:color="auto"/>
              <w:right w:val="single" w:sz="4" w:space="0" w:color="auto"/>
            </w:tcBorders>
            <w:shd w:val="clear" w:color="auto" w:fill="C6EFCE"/>
            <w:noWrap/>
          </w:tcPr>
          <w:p w14:paraId="78BA8DE6" w14:textId="77777777" w:rsidR="00A00259" w:rsidRDefault="00371282">
            <w:pPr>
              <w:pStyle w:val="P68B1DB1-Normal12"/>
              <w:spacing w:after="0" w:line="240" w:lineRule="auto"/>
              <w:rPr>
                <w:rFonts w:eastAsia="Times New Roman"/>
                <w:noProof/>
              </w:rPr>
            </w:pPr>
            <w:r>
              <w:rPr>
                <w:noProof/>
              </w:rPr>
              <w:t>199</w:t>
            </w:r>
          </w:p>
        </w:tc>
        <w:tc>
          <w:tcPr>
            <w:tcW w:w="1974" w:type="dxa"/>
            <w:tcBorders>
              <w:top w:val="nil"/>
              <w:left w:val="nil"/>
              <w:bottom w:val="single" w:sz="4" w:space="0" w:color="auto"/>
              <w:right w:val="single" w:sz="4" w:space="0" w:color="auto"/>
            </w:tcBorders>
            <w:shd w:val="clear" w:color="auto" w:fill="C6EFCE"/>
            <w:noWrap/>
          </w:tcPr>
          <w:p w14:paraId="27E2B0AF" w14:textId="77777777" w:rsidR="00A00259" w:rsidRDefault="00371282">
            <w:pPr>
              <w:pStyle w:val="P68B1DB1-Normal12"/>
              <w:spacing w:after="0" w:line="240" w:lineRule="auto"/>
              <w:rPr>
                <w:rFonts w:eastAsia="Times New Roman"/>
                <w:noProof/>
              </w:rPr>
            </w:pPr>
            <w:r>
              <w:rPr>
                <w:noProof/>
              </w:rPr>
              <w:t>12 - 4.1. Rendre les impôts plus propices à la croissance et améliorer l'administration fiscale et la perception des impôts - 16643_Codification et simplification de la législation fiscale</w:t>
            </w:r>
          </w:p>
        </w:tc>
        <w:tc>
          <w:tcPr>
            <w:tcW w:w="1172" w:type="dxa"/>
            <w:tcBorders>
              <w:top w:val="nil"/>
              <w:left w:val="nil"/>
              <w:bottom w:val="single" w:sz="4" w:space="0" w:color="auto"/>
              <w:right w:val="single" w:sz="4" w:space="0" w:color="auto"/>
            </w:tcBorders>
            <w:shd w:val="clear" w:color="auto" w:fill="C6EFCE"/>
            <w:noWrap/>
          </w:tcPr>
          <w:p w14:paraId="3EA0F46E" w14:textId="77777777" w:rsidR="00A00259" w:rsidRDefault="00371282">
            <w:pPr>
              <w:pStyle w:val="P68B1DB1-Normal12"/>
              <w:spacing w:after="0" w:line="240" w:lineRule="auto"/>
              <w:rPr>
                <w:rFonts w:eastAsia="Times New Roman"/>
                <w:noProof/>
              </w:rPr>
            </w:pPr>
            <w:r>
              <w:rPr>
                <w:noProof/>
              </w:rPr>
              <w:t>Étape</w:t>
            </w:r>
          </w:p>
        </w:tc>
        <w:tc>
          <w:tcPr>
            <w:tcW w:w="1176" w:type="dxa"/>
            <w:tcBorders>
              <w:top w:val="nil"/>
              <w:left w:val="nil"/>
              <w:bottom w:val="single" w:sz="4" w:space="0" w:color="auto"/>
              <w:right w:val="single" w:sz="4" w:space="0" w:color="auto"/>
            </w:tcBorders>
            <w:shd w:val="clear" w:color="auto" w:fill="C6EFCE"/>
            <w:noWrap/>
          </w:tcPr>
          <w:p w14:paraId="3FCDE50C" w14:textId="77777777" w:rsidR="00A00259" w:rsidRDefault="00371282">
            <w:pPr>
              <w:pStyle w:val="P68B1DB1-Normal12"/>
              <w:spacing w:after="0" w:line="240" w:lineRule="auto"/>
              <w:rPr>
                <w:rFonts w:eastAsia="Times New Roman"/>
                <w:noProof/>
              </w:rPr>
            </w:pPr>
            <w:r>
              <w:rPr>
                <w:noProof/>
              </w:rPr>
              <w:t>Calendrier pour la codification fiscale</w:t>
            </w:r>
          </w:p>
        </w:tc>
        <w:tc>
          <w:tcPr>
            <w:tcW w:w="1984" w:type="dxa"/>
            <w:tcBorders>
              <w:top w:val="nil"/>
              <w:left w:val="nil"/>
              <w:bottom w:val="single" w:sz="4" w:space="0" w:color="auto"/>
              <w:right w:val="single" w:sz="4" w:space="0" w:color="auto"/>
            </w:tcBorders>
            <w:shd w:val="clear" w:color="auto" w:fill="C6EFCE"/>
            <w:noWrap/>
          </w:tcPr>
          <w:p w14:paraId="58D8C2F7" w14:textId="77777777" w:rsidR="00A00259" w:rsidRDefault="00371282">
            <w:pPr>
              <w:pStyle w:val="P68B1DB1-Normal12"/>
              <w:spacing w:after="0" w:line="240" w:lineRule="auto"/>
              <w:rPr>
                <w:rFonts w:eastAsia="Times New Roman"/>
                <w:noProof/>
              </w:rPr>
            </w:pPr>
            <w:r>
              <w:rPr>
                <w:noProof/>
              </w:rPr>
              <w:t>Publication du droit dérivé avec création de comités et calendrier de codification fiscale.</w:t>
            </w:r>
          </w:p>
        </w:tc>
        <w:tc>
          <w:tcPr>
            <w:tcW w:w="866" w:type="dxa"/>
            <w:tcBorders>
              <w:top w:val="nil"/>
              <w:left w:val="nil"/>
              <w:bottom w:val="single" w:sz="4" w:space="0" w:color="auto"/>
              <w:right w:val="single" w:sz="4" w:space="0" w:color="auto"/>
            </w:tcBorders>
            <w:shd w:val="clear" w:color="auto" w:fill="C6EFCE"/>
            <w:noWrap/>
          </w:tcPr>
          <w:p w14:paraId="0EBC741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6EBF7C6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668" w:type="dxa"/>
            <w:tcBorders>
              <w:top w:val="nil"/>
              <w:left w:val="nil"/>
              <w:bottom w:val="single" w:sz="4" w:space="0" w:color="auto"/>
              <w:right w:val="single" w:sz="4" w:space="0" w:color="auto"/>
            </w:tcBorders>
            <w:shd w:val="clear" w:color="auto" w:fill="C6EFCE"/>
            <w:noWrap/>
          </w:tcPr>
          <w:p w14:paraId="4315B0D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tcBorders>
              <w:top w:val="nil"/>
              <w:left w:val="nil"/>
              <w:bottom w:val="single" w:sz="4" w:space="0" w:color="auto"/>
              <w:right w:val="single" w:sz="4" w:space="0" w:color="auto"/>
            </w:tcBorders>
            <w:shd w:val="clear" w:color="auto" w:fill="C6EFCE"/>
            <w:noWrap/>
          </w:tcPr>
          <w:p w14:paraId="322E5EDB" w14:textId="77777777" w:rsidR="00A00259" w:rsidRDefault="00371282">
            <w:pPr>
              <w:pStyle w:val="P68B1DB1-Normal12"/>
              <w:spacing w:after="0" w:line="240" w:lineRule="auto"/>
              <w:rPr>
                <w:rFonts w:eastAsia="Times New Roman"/>
                <w:noProof/>
              </w:rPr>
            </w:pPr>
            <w:r>
              <w:rPr>
                <w:noProof/>
              </w:rPr>
              <w:t>T3</w:t>
            </w:r>
          </w:p>
        </w:tc>
        <w:tc>
          <w:tcPr>
            <w:tcW w:w="708" w:type="dxa"/>
            <w:tcBorders>
              <w:top w:val="nil"/>
              <w:left w:val="nil"/>
              <w:bottom w:val="single" w:sz="4" w:space="0" w:color="auto"/>
              <w:right w:val="single" w:sz="4" w:space="0" w:color="auto"/>
            </w:tcBorders>
            <w:shd w:val="clear" w:color="auto" w:fill="C6EFCE"/>
            <w:noWrap/>
          </w:tcPr>
          <w:p w14:paraId="37F9D239" w14:textId="77777777" w:rsidR="00A00259" w:rsidRDefault="00371282">
            <w:pPr>
              <w:pStyle w:val="P68B1DB1-Normal12"/>
              <w:spacing w:after="0" w:line="240" w:lineRule="auto"/>
              <w:rPr>
                <w:rFonts w:eastAsia="Times New Roman"/>
                <w:noProof/>
              </w:rPr>
            </w:pPr>
            <w:r>
              <w:rPr>
                <w:noProof/>
              </w:rPr>
              <w:t>2021</w:t>
            </w:r>
          </w:p>
        </w:tc>
        <w:tc>
          <w:tcPr>
            <w:tcW w:w="4830" w:type="dxa"/>
            <w:tcBorders>
              <w:top w:val="nil"/>
              <w:left w:val="nil"/>
              <w:bottom w:val="single" w:sz="4" w:space="0" w:color="auto"/>
              <w:right w:val="single" w:sz="4" w:space="0" w:color="auto"/>
            </w:tcBorders>
            <w:shd w:val="clear" w:color="auto" w:fill="C6EFCE"/>
            <w:noWrap/>
          </w:tcPr>
          <w:p w14:paraId="0602A64F" w14:textId="77777777" w:rsidR="00A00259" w:rsidRDefault="00371282">
            <w:pPr>
              <w:pStyle w:val="P68B1DB1-Normal12"/>
              <w:spacing w:after="0" w:line="240" w:lineRule="auto"/>
              <w:rPr>
                <w:rFonts w:eastAsia="Times New Roman"/>
                <w:noProof/>
              </w:rPr>
            </w:pPr>
            <w:r>
              <w:rPr>
                <w:noProof/>
              </w:rPr>
              <w:t xml:space="preserve">Calendrier détaillé des résultats en matière de codification fiscale, y compris mise en place des comités compétents, calendrier détaillé du ministère des finances et de l’IAPR pour la codification de la législation fiscale et les modalités de consultation. </w:t>
            </w:r>
          </w:p>
        </w:tc>
      </w:tr>
      <w:tr w:rsidR="00A00259" w14:paraId="19B6BA7D" w14:textId="77777777">
        <w:trPr>
          <w:trHeight w:val="313"/>
          <w:jc w:val="center"/>
        </w:trPr>
        <w:tc>
          <w:tcPr>
            <w:tcW w:w="682" w:type="dxa"/>
            <w:tcBorders>
              <w:top w:val="nil"/>
              <w:left w:val="single" w:sz="4" w:space="0" w:color="auto"/>
              <w:bottom w:val="single" w:sz="4" w:space="0" w:color="auto"/>
              <w:right w:val="single" w:sz="4" w:space="0" w:color="auto"/>
            </w:tcBorders>
            <w:shd w:val="clear" w:color="auto" w:fill="C6EFCE"/>
            <w:noWrap/>
          </w:tcPr>
          <w:p w14:paraId="1CFF74D3" w14:textId="77777777" w:rsidR="00A00259" w:rsidRDefault="00371282">
            <w:pPr>
              <w:pStyle w:val="P68B1DB1-Normal12"/>
              <w:spacing w:after="0" w:line="240" w:lineRule="auto"/>
              <w:rPr>
                <w:rFonts w:eastAsia="Times New Roman"/>
                <w:noProof/>
              </w:rPr>
            </w:pPr>
            <w:r>
              <w:rPr>
                <w:noProof/>
              </w:rPr>
              <w:t>200</w:t>
            </w:r>
          </w:p>
        </w:tc>
        <w:tc>
          <w:tcPr>
            <w:tcW w:w="1974" w:type="dxa"/>
            <w:tcBorders>
              <w:top w:val="nil"/>
              <w:left w:val="nil"/>
              <w:bottom w:val="single" w:sz="4" w:space="0" w:color="auto"/>
              <w:right w:val="single" w:sz="4" w:space="0" w:color="auto"/>
            </w:tcBorders>
            <w:shd w:val="clear" w:color="auto" w:fill="C6EFCE"/>
            <w:noWrap/>
          </w:tcPr>
          <w:p w14:paraId="0F318E09" w14:textId="77777777" w:rsidR="00A00259" w:rsidRDefault="00371282">
            <w:pPr>
              <w:pStyle w:val="P68B1DB1-Normal12"/>
              <w:spacing w:after="0" w:line="240" w:lineRule="auto"/>
              <w:rPr>
                <w:rFonts w:eastAsia="Times New Roman"/>
                <w:noProof/>
              </w:rPr>
            </w:pPr>
            <w:r>
              <w:rPr>
                <w:noProof/>
              </w:rPr>
              <w:t>18 - 4.7. Améliorer la compétitivité et promouvoir les investissements privés et le commerce - 16598_Régime d'incitation à la productivité et à l'extraversion des entreprises (augmentation de la taille des entreprises)</w:t>
            </w:r>
          </w:p>
        </w:tc>
        <w:tc>
          <w:tcPr>
            <w:tcW w:w="1172" w:type="dxa"/>
            <w:tcBorders>
              <w:top w:val="nil"/>
              <w:left w:val="nil"/>
              <w:bottom w:val="single" w:sz="4" w:space="0" w:color="auto"/>
              <w:right w:val="single" w:sz="4" w:space="0" w:color="auto"/>
            </w:tcBorders>
            <w:shd w:val="clear" w:color="auto" w:fill="C6EFCE"/>
            <w:noWrap/>
          </w:tcPr>
          <w:p w14:paraId="7B229867" w14:textId="77777777" w:rsidR="00A00259" w:rsidRDefault="00371282">
            <w:pPr>
              <w:pStyle w:val="P68B1DB1-Normal12"/>
              <w:spacing w:after="0" w:line="240" w:lineRule="auto"/>
              <w:rPr>
                <w:rFonts w:eastAsia="Times New Roman"/>
                <w:noProof/>
              </w:rPr>
            </w:pPr>
            <w:r>
              <w:rPr>
                <w:noProof/>
              </w:rPr>
              <w:t>Étape</w:t>
            </w:r>
          </w:p>
        </w:tc>
        <w:tc>
          <w:tcPr>
            <w:tcW w:w="1176" w:type="dxa"/>
            <w:tcBorders>
              <w:top w:val="nil"/>
              <w:left w:val="nil"/>
              <w:bottom w:val="single" w:sz="4" w:space="0" w:color="auto"/>
              <w:right w:val="single" w:sz="4" w:space="0" w:color="auto"/>
            </w:tcBorders>
            <w:shd w:val="clear" w:color="auto" w:fill="C6EFCE"/>
            <w:noWrap/>
          </w:tcPr>
          <w:p w14:paraId="793D9CE7" w14:textId="77777777" w:rsidR="00A00259" w:rsidRDefault="00371282">
            <w:pPr>
              <w:pStyle w:val="P68B1DB1-Normal12"/>
              <w:spacing w:after="0" w:line="240" w:lineRule="auto"/>
              <w:rPr>
                <w:rFonts w:eastAsia="Times New Roman"/>
                <w:noProof/>
              </w:rPr>
            </w:pPr>
            <w:r>
              <w:rPr>
                <w:noProof/>
              </w:rPr>
              <w:t>Projet de loi visant à encourager l'extraversion des entreprises</w:t>
            </w:r>
          </w:p>
        </w:tc>
        <w:tc>
          <w:tcPr>
            <w:tcW w:w="1984" w:type="dxa"/>
            <w:tcBorders>
              <w:top w:val="nil"/>
              <w:left w:val="nil"/>
              <w:bottom w:val="single" w:sz="4" w:space="0" w:color="auto"/>
              <w:right w:val="single" w:sz="4" w:space="0" w:color="auto"/>
            </w:tcBorders>
            <w:shd w:val="clear" w:color="auto" w:fill="C6EFCE"/>
            <w:noWrap/>
          </w:tcPr>
          <w:p w14:paraId="4BB942ED" w14:textId="77777777" w:rsidR="00A00259" w:rsidRDefault="00371282">
            <w:pPr>
              <w:pStyle w:val="P68B1DB1-Normal12"/>
              <w:spacing w:after="0" w:line="240" w:lineRule="auto"/>
              <w:rPr>
                <w:rFonts w:eastAsia="Times New Roman"/>
                <w:noProof/>
              </w:rPr>
            </w:pPr>
            <w:r>
              <w:rPr>
                <w:noProof/>
              </w:rPr>
              <w:t xml:space="preserve">Projets de législation primaire et secondaire pour encourager l'extraversion des entreprises. </w:t>
            </w:r>
          </w:p>
        </w:tc>
        <w:tc>
          <w:tcPr>
            <w:tcW w:w="866" w:type="dxa"/>
            <w:tcBorders>
              <w:top w:val="nil"/>
              <w:left w:val="nil"/>
              <w:bottom w:val="single" w:sz="4" w:space="0" w:color="auto"/>
              <w:right w:val="single" w:sz="4" w:space="0" w:color="auto"/>
            </w:tcBorders>
            <w:shd w:val="clear" w:color="auto" w:fill="C6EFCE"/>
            <w:noWrap/>
          </w:tcPr>
          <w:p w14:paraId="1D49656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23C4CC9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668" w:type="dxa"/>
            <w:tcBorders>
              <w:top w:val="nil"/>
              <w:left w:val="nil"/>
              <w:bottom w:val="single" w:sz="4" w:space="0" w:color="auto"/>
              <w:right w:val="single" w:sz="4" w:space="0" w:color="auto"/>
            </w:tcBorders>
            <w:shd w:val="clear" w:color="auto" w:fill="C6EFCE"/>
            <w:noWrap/>
          </w:tcPr>
          <w:p w14:paraId="4FE93CA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tcBorders>
              <w:top w:val="nil"/>
              <w:left w:val="nil"/>
              <w:bottom w:val="single" w:sz="4" w:space="0" w:color="auto"/>
              <w:right w:val="single" w:sz="4" w:space="0" w:color="auto"/>
            </w:tcBorders>
            <w:shd w:val="clear" w:color="auto" w:fill="C6EFCE"/>
            <w:noWrap/>
          </w:tcPr>
          <w:p w14:paraId="41C7D7C9" w14:textId="77777777" w:rsidR="00A00259" w:rsidRDefault="00371282">
            <w:pPr>
              <w:pStyle w:val="P68B1DB1-Normal12"/>
              <w:spacing w:after="0" w:line="240" w:lineRule="auto"/>
              <w:rPr>
                <w:rFonts w:eastAsia="Times New Roman"/>
                <w:noProof/>
              </w:rPr>
            </w:pPr>
            <w:r>
              <w:rPr>
                <w:noProof/>
              </w:rPr>
              <w:t>T3</w:t>
            </w:r>
          </w:p>
        </w:tc>
        <w:tc>
          <w:tcPr>
            <w:tcW w:w="708" w:type="dxa"/>
            <w:tcBorders>
              <w:top w:val="nil"/>
              <w:left w:val="nil"/>
              <w:bottom w:val="single" w:sz="4" w:space="0" w:color="auto"/>
              <w:right w:val="single" w:sz="4" w:space="0" w:color="auto"/>
            </w:tcBorders>
            <w:shd w:val="clear" w:color="auto" w:fill="C6EFCE"/>
            <w:noWrap/>
          </w:tcPr>
          <w:p w14:paraId="2AAE180E" w14:textId="77777777" w:rsidR="00A00259" w:rsidRDefault="00371282">
            <w:pPr>
              <w:pStyle w:val="P68B1DB1-Normal12"/>
              <w:spacing w:after="0" w:line="240" w:lineRule="auto"/>
              <w:rPr>
                <w:rFonts w:eastAsia="Times New Roman"/>
                <w:noProof/>
              </w:rPr>
            </w:pPr>
            <w:r>
              <w:rPr>
                <w:noProof/>
              </w:rPr>
              <w:t>2021</w:t>
            </w:r>
          </w:p>
        </w:tc>
        <w:tc>
          <w:tcPr>
            <w:tcW w:w="4830" w:type="dxa"/>
            <w:tcBorders>
              <w:top w:val="nil"/>
              <w:left w:val="nil"/>
              <w:bottom w:val="single" w:sz="4" w:space="0" w:color="auto"/>
              <w:right w:val="single" w:sz="4" w:space="0" w:color="auto"/>
            </w:tcBorders>
            <w:shd w:val="clear" w:color="auto" w:fill="C6EFCE"/>
            <w:noWrap/>
          </w:tcPr>
          <w:p w14:paraId="73DDA959" w14:textId="77777777" w:rsidR="00A00259" w:rsidRDefault="00371282">
            <w:pPr>
              <w:pStyle w:val="P68B1DB1-Normal12"/>
              <w:spacing w:after="0" w:line="240" w:lineRule="auto"/>
              <w:rPr>
                <w:rFonts w:eastAsia="Times New Roman"/>
                <w:noProof/>
              </w:rPr>
            </w:pPr>
            <w:r>
              <w:rPr>
                <w:noProof/>
              </w:rPr>
              <w:t>Projets de droit primaire et de droit dérivé à des fins de consultation visant à améliorer le cadre juridique en matière fiscale, financière et d'octroi de licences et à encourager les fusions, conversions et acquisitions</w:t>
            </w:r>
          </w:p>
        </w:tc>
      </w:tr>
      <w:tr w:rsidR="00A00259" w14:paraId="553B5922" w14:textId="77777777">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121D0A54" w14:textId="77777777" w:rsidR="00A00259" w:rsidRDefault="00371282">
            <w:pPr>
              <w:pStyle w:val="P68B1DB1-Normal12"/>
              <w:spacing w:after="0" w:line="240" w:lineRule="auto"/>
              <w:rPr>
                <w:rFonts w:eastAsia="Times New Roman"/>
                <w:noProof/>
              </w:rPr>
            </w:pPr>
            <w:r>
              <w:rPr>
                <w:noProof/>
              </w:rPr>
              <w:t>201</w:t>
            </w:r>
          </w:p>
        </w:tc>
        <w:tc>
          <w:tcPr>
            <w:tcW w:w="1974" w:type="dxa"/>
            <w:tcBorders>
              <w:top w:val="single" w:sz="4" w:space="0" w:color="auto"/>
              <w:left w:val="nil"/>
              <w:bottom w:val="single" w:sz="4" w:space="0" w:color="auto"/>
              <w:right w:val="single" w:sz="4" w:space="0" w:color="auto"/>
            </w:tcBorders>
            <w:shd w:val="clear" w:color="auto" w:fill="C6EFCE"/>
            <w:noWrap/>
          </w:tcPr>
          <w:p w14:paraId="7F2205D7" w14:textId="77777777" w:rsidR="00A00259" w:rsidRDefault="00371282">
            <w:pPr>
              <w:pStyle w:val="P68B1DB1-Normal12"/>
              <w:spacing w:after="0" w:line="240" w:lineRule="auto"/>
              <w:rPr>
                <w:rFonts w:eastAsia="Times New Roman"/>
                <w:noProof/>
              </w:rPr>
            </w:pPr>
            <w:r>
              <w:rPr>
                <w:noProof/>
              </w:rPr>
              <w:t>18 - 4.7. Améliorer la compétitivité et promouvoir les investissements privés et le commerce - 16598_Régime d'incitation à la productivité et à l'extraversion des entreprises (augmentation de la taille des entreprises)</w:t>
            </w:r>
          </w:p>
        </w:tc>
        <w:tc>
          <w:tcPr>
            <w:tcW w:w="1172" w:type="dxa"/>
            <w:tcBorders>
              <w:top w:val="single" w:sz="4" w:space="0" w:color="auto"/>
              <w:left w:val="nil"/>
              <w:bottom w:val="single" w:sz="4" w:space="0" w:color="auto"/>
              <w:right w:val="single" w:sz="4" w:space="0" w:color="auto"/>
            </w:tcBorders>
            <w:shd w:val="clear" w:color="auto" w:fill="C6EFCE"/>
            <w:noWrap/>
          </w:tcPr>
          <w:p w14:paraId="5746F454" w14:textId="77777777" w:rsidR="00A00259" w:rsidRDefault="00371282">
            <w:pPr>
              <w:pStyle w:val="P68B1DB1-Normal12"/>
              <w:spacing w:after="0" w:line="240" w:lineRule="auto"/>
              <w:rPr>
                <w:rFonts w:eastAsia="Times New Roman"/>
                <w:noProof/>
              </w:rPr>
            </w:pPr>
            <w:r>
              <w:rPr>
                <w:noProof/>
              </w:rPr>
              <w:t>Étape</w:t>
            </w:r>
          </w:p>
        </w:tc>
        <w:tc>
          <w:tcPr>
            <w:tcW w:w="1176" w:type="dxa"/>
            <w:tcBorders>
              <w:top w:val="single" w:sz="4" w:space="0" w:color="auto"/>
              <w:left w:val="nil"/>
              <w:bottom w:val="single" w:sz="4" w:space="0" w:color="auto"/>
              <w:right w:val="single" w:sz="4" w:space="0" w:color="auto"/>
            </w:tcBorders>
            <w:shd w:val="clear" w:color="auto" w:fill="C6EFCE"/>
            <w:noWrap/>
          </w:tcPr>
          <w:p w14:paraId="581811A8" w14:textId="77777777" w:rsidR="00A00259" w:rsidRDefault="00371282">
            <w:pPr>
              <w:pStyle w:val="P68B1DB1-Normal12"/>
              <w:spacing w:after="0" w:line="240" w:lineRule="auto"/>
              <w:rPr>
                <w:rFonts w:eastAsia="Times New Roman"/>
                <w:noProof/>
              </w:rPr>
            </w:pPr>
            <w:r>
              <w:rPr>
                <w:noProof/>
              </w:rPr>
              <w:t>Législation visant à encourager l'extraversion des entreprises</w:t>
            </w:r>
          </w:p>
        </w:tc>
        <w:tc>
          <w:tcPr>
            <w:tcW w:w="1984" w:type="dxa"/>
            <w:tcBorders>
              <w:top w:val="single" w:sz="4" w:space="0" w:color="auto"/>
              <w:left w:val="nil"/>
              <w:bottom w:val="single" w:sz="4" w:space="0" w:color="auto"/>
              <w:right w:val="single" w:sz="4" w:space="0" w:color="auto"/>
            </w:tcBorders>
            <w:shd w:val="clear" w:color="auto" w:fill="C6EFCE"/>
            <w:noWrap/>
          </w:tcPr>
          <w:p w14:paraId="2E6A3D63" w14:textId="77777777" w:rsidR="00A00259" w:rsidRDefault="00371282">
            <w:pPr>
              <w:pStyle w:val="P68B1DB1-Normal12"/>
              <w:spacing w:after="0" w:line="240" w:lineRule="auto"/>
              <w:rPr>
                <w:rFonts w:eastAsia="Times New Roman"/>
                <w:noProof/>
              </w:rPr>
            </w:pPr>
            <w:r>
              <w:rPr>
                <w:noProof/>
              </w:rPr>
              <w:t>Entrée en vigueur de la législation visant à encourager l'extraversion des entreprises</w:t>
            </w:r>
          </w:p>
        </w:tc>
        <w:tc>
          <w:tcPr>
            <w:tcW w:w="866" w:type="dxa"/>
            <w:tcBorders>
              <w:top w:val="single" w:sz="4" w:space="0" w:color="auto"/>
              <w:left w:val="nil"/>
              <w:bottom w:val="single" w:sz="4" w:space="0" w:color="auto"/>
              <w:right w:val="single" w:sz="4" w:space="0" w:color="auto"/>
            </w:tcBorders>
            <w:shd w:val="clear" w:color="auto" w:fill="C6EFCE"/>
            <w:noWrap/>
          </w:tcPr>
          <w:p w14:paraId="3CC1D34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72D2721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668" w:type="dxa"/>
            <w:tcBorders>
              <w:top w:val="single" w:sz="4" w:space="0" w:color="auto"/>
              <w:left w:val="nil"/>
              <w:bottom w:val="single" w:sz="4" w:space="0" w:color="auto"/>
              <w:right w:val="single" w:sz="4" w:space="0" w:color="auto"/>
            </w:tcBorders>
            <w:shd w:val="clear" w:color="auto" w:fill="C6EFCE"/>
            <w:noWrap/>
          </w:tcPr>
          <w:p w14:paraId="0E6F40B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5D1238B1" w14:textId="77777777" w:rsidR="00A00259" w:rsidRDefault="00371282">
            <w:pPr>
              <w:pStyle w:val="P68B1DB1-Normal12"/>
              <w:spacing w:after="0" w:line="240" w:lineRule="auto"/>
              <w:rPr>
                <w:rFonts w:eastAsia="Times New Roman"/>
                <w:noProof/>
              </w:rPr>
            </w:pPr>
            <w:r>
              <w:rPr>
                <w:noProof/>
              </w:rPr>
              <w:t>T1</w:t>
            </w:r>
          </w:p>
        </w:tc>
        <w:tc>
          <w:tcPr>
            <w:tcW w:w="708" w:type="dxa"/>
            <w:tcBorders>
              <w:top w:val="single" w:sz="4" w:space="0" w:color="auto"/>
              <w:left w:val="nil"/>
              <w:bottom w:val="single" w:sz="4" w:space="0" w:color="auto"/>
              <w:right w:val="single" w:sz="4" w:space="0" w:color="auto"/>
            </w:tcBorders>
            <w:shd w:val="clear" w:color="auto" w:fill="C6EFCE"/>
            <w:noWrap/>
          </w:tcPr>
          <w:p w14:paraId="1F15CF72" w14:textId="77777777" w:rsidR="00A00259" w:rsidRDefault="00371282">
            <w:pPr>
              <w:pStyle w:val="P68B1DB1-Normal12"/>
              <w:spacing w:after="0" w:line="240" w:lineRule="auto"/>
              <w:rPr>
                <w:rFonts w:eastAsia="Times New Roman"/>
                <w:noProof/>
              </w:rPr>
            </w:pPr>
            <w:r>
              <w:rPr>
                <w:noProof/>
              </w:rPr>
              <w:t>2022</w:t>
            </w:r>
          </w:p>
        </w:tc>
        <w:tc>
          <w:tcPr>
            <w:tcW w:w="4830" w:type="dxa"/>
            <w:tcBorders>
              <w:top w:val="single" w:sz="4" w:space="0" w:color="auto"/>
              <w:left w:val="nil"/>
              <w:bottom w:val="single" w:sz="4" w:space="0" w:color="auto"/>
              <w:right w:val="single" w:sz="4" w:space="0" w:color="auto"/>
            </w:tcBorders>
            <w:shd w:val="clear" w:color="auto" w:fill="C6EFCE"/>
            <w:noWrap/>
          </w:tcPr>
          <w:p w14:paraId="22C40688" w14:textId="77777777" w:rsidR="00A00259" w:rsidRDefault="00371282">
            <w:pPr>
              <w:pStyle w:val="P68B1DB1-Normal12"/>
              <w:spacing w:after="0" w:line="240" w:lineRule="auto"/>
              <w:rPr>
                <w:rFonts w:eastAsia="Times New Roman"/>
                <w:noProof/>
              </w:rPr>
            </w:pPr>
            <w:r>
              <w:rPr>
                <w:noProof/>
              </w:rPr>
              <w:t>Entrée en vigueur des modifications relatives apportant des améliorations au cadre juridique en matière fiscale, financière et d'octroi de licences, ainsi que des incitations aux fusions, conversions et acquisitions</w:t>
            </w:r>
          </w:p>
        </w:tc>
      </w:tr>
      <w:tr w:rsidR="00A00259" w14:paraId="5E36697C" w14:textId="77777777">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60D7635D" w14:textId="77777777" w:rsidR="00A00259" w:rsidRDefault="00371282">
            <w:pPr>
              <w:pStyle w:val="P68B1DB1-Normal12"/>
              <w:spacing w:after="0" w:line="240" w:lineRule="auto"/>
              <w:rPr>
                <w:rFonts w:eastAsia="Times New Roman"/>
                <w:noProof/>
              </w:rPr>
            </w:pPr>
            <w:r>
              <w:rPr>
                <w:noProof/>
              </w:rPr>
              <w:t>202</w:t>
            </w:r>
          </w:p>
        </w:tc>
        <w:tc>
          <w:tcPr>
            <w:tcW w:w="1974" w:type="dxa"/>
            <w:tcBorders>
              <w:top w:val="single" w:sz="4" w:space="0" w:color="auto"/>
              <w:left w:val="nil"/>
              <w:bottom w:val="single" w:sz="4" w:space="0" w:color="auto"/>
              <w:right w:val="single" w:sz="4" w:space="0" w:color="auto"/>
            </w:tcBorders>
            <w:shd w:val="clear" w:color="auto" w:fill="C6EFCE"/>
            <w:noWrap/>
          </w:tcPr>
          <w:p w14:paraId="420BC3D9" w14:textId="77777777" w:rsidR="00A00259" w:rsidRDefault="00371282">
            <w:pPr>
              <w:pStyle w:val="P68B1DB1-Normal12"/>
              <w:spacing w:after="0" w:line="240" w:lineRule="auto"/>
              <w:rPr>
                <w:rFonts w:eastAsia="Times New Roman"/>
                <w:noProof/>
              </w:rPr>
            </w:pPr>
            <w:r>
              <w:rPr>
                <w:noProof/>
              </w:rPr>
              <w:t xml:space="preserve"> 4.1. Rendre les impôts plus propices à la croissance et améliorer l'administration fiscale et la perception des impôts - 16643_Codification et simplification de la législation fiscale</w:t>
            </w:r>
          </w:p>
        </w:tc>
        <w:tc>
          <w:tcPr>
            <w:tcW w:w="1172" w:type="dxa"/>
            <w:tcBorders>
              <w:top w:val="single" w:sz="4" w:space="0" w:color="auto"/>
              <w:left w:val="nil"/>
              <w:bottom w:val="single" w:sz="4" w:space="0" w:color="auto"/>
              <w:right w:val="single" w:sz="4" w:space="0" w:color="auto"/>
            </w:tcBorders>
            <w:shd w:val="clear" w:color="auto" w:fill="C6EFCE"/>
            <w:noWrap/>
          </w:tcPr>
          <w:p w14:paraId="5865263C" w14:textId="77777777" w:rsidR="00A00259" w:rsidRDefault="00371282">
            <w:pPr>
              <w:pStyle w:val="P68B1DB1-Normal12"/>
              <w:spacing w:after="0" w:line="240" w:lineRule="auto"/>
              <w:rPr>
                <w:rFonts w:eastAsia="Times New Roman"/>
                <w:noProof/>
              </w:rPr>
            </w:pPr>
            <w:r>
              <w:rPr>
                <w:noProof/>
              </w:rPr>
              <w:t>Étape</w:t>
            </w:r>
          </w:p>
        </w:tc>
        <w:tc>
          <w:tcPr>
            <w:tcW w:w="1176" w:type="dxa"/>
            <w:tcBorders>
              <w:top w:val="single" w:sz="4" w:space="0" w:color="auto"/>
              <w:left w:val="nil"/>
              <w:bottom w:val="single" w:sz="4" w:space="0" w:color="auto"/>
              <w:right w:val="single" w:sz="4" w:space="0" w:color="auto"/>
            </w:tcBorders>
            <w:shd w:val="clear" w:color="auto" w:fill="C6EFCE"/>
            <w:noWrap/>
          </w:tcPr>
          <w:p w14:paraId="3B78B3CC" w14:textId="77777777" w:rsidR="00A00259" w:rsidRDefault="00371282">
            <w:pPr>
              <w:pStyle w:val="P68B1DB1-Normal12"/>
              <w:spacing w:after="0" w:line="240" w:lineRule="auto"/>
              <w:rPr>
                <w:rFonts w:eastAsia="Times New Roman"/>
                <w:noProof/>
              </w:rPr>
            </w:pPr>
            <w:r>
              <w:rPr>
                <w:noProof/>
              </w:rPr>
              <w:t>Renforcement des capacités en matière de codification fiscale</w:t>
            </w:r>
          </w:p>
        </w:tc>
        <w:tc>
          <w:tcPr>
            <w:tcW w:w="1984" w:type="dxa"/>
            <w:tcBorders>
              <w:top w:val="single" w:sz="4" w:space="0" w:color="auto"/>
              <w:left w:val="nil"/>
              <w:bottom w:val="single" w:sz="4" w:space="0" w:color="auto"/>
              <w:right w:val="single" w:sz="4" w:space="0" w:color="auto"/>
            </w:tcBorders>
            <w:shd w:val="clear" w:color="auto" w:fill="C6EFCE"/>
            <w:noWrap/>
          </w:tcPr>
          <w:p w14:paraId="20967772" w14:textId="77777777" w:rsidR="00A00259" w:rsidRDefault="00371282">
            <w:pPr>
              <w:pStyle w:val="P68B1DB1-Normal12"/>
              <w:spacing w:after="0" w:line="240" w:lineRule="auto"/>
              <w:rPr>
                <w:rFonts w:eastAsia="Times New Roman"/>
                <w:noProof/>
              </w:rPr>
            </w:pPr>
            <w:r>
              <w:rPr>
                <w:noProof/>
              </w:rPr>
              <w:t>Publication du droit dérivé pour la mise en place d’une unité de codification fiscale au sein de la direction de la fourniture de services et des finances du ministère des finances au sein de l’IAPR.</w:t>
            </w:r>
          </w:p>
        </w:tc>
        <w:tc>
          <w:tcPr>
            <w:tcW w:w="866" w:type="dxa"/>
            <w:tcBorders>
              <w:top w:val="single" w:sz="4" w:space="0" w:color="auto"/>
              <w:left w:val="nil"/>
              <w:bottom w:val="single" w:sz="4" w:space="0" w:color="auto"/>
              <w:right w:val="single" w:sz="4" w:space="0" w:color="auto"/>
            </w:tcBorders>
            <w:shd w:val="clear" w:color="auto" w:fill="C6EFCE"/>
            <w:noWrap/>
          </w:tcPr>
          <w:p w14:paraId="47711E3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59A0061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668" w:type="dxa"/>
            <w:tcBorders>
              <w:top w:val="single" w:sz="4" w:space="0" w:color="auto"/>
              <w:left w:val="nil"/>
              <w:bottom w:val="single" w:sz="4" w:space="0" w:color="auto"/>
              <w:right w:val="single" w:sz="4" w:space="0" w:color="auto"/>
            </w:tcBorders>
            <w:shd w:val="clear" w:color="auto" w:fill="C6EFCE"/>
            <w:noWrap/>
          </w:tcPr>
          <w:p w14:paraId="6B171E8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70FA6639" w14:textId="77777777" w:rsidR="00A00259" w:rsidRDefault="00371282">
            <w:pPr>
              <w:pStyle w:val="P68B1DB1-Normal12"/>
              <w:spacing w:after="0" w:line="240" w:lineRule="auto"/>
              <w:rPr>
                <w:rFonts w:eastAsia="Times New Roman"/>
                <w:noProof/>
              </w:rPr>
            </w:pPr>
            <w:r>
              <w:rPr>
                <w:noProof/>
              </w:rPr>
              <w:t>T2</w:t>
            </w:r>
          </w:p>
        </w:tc>
        <w:tc>
          <w:tcPr>
            <w:tcW w:w="708" w:type="dxa"/>
            <w:tcBorders>
              <w:top w:val="single" w:sz="4" w:space="0" w:color="auto"/>
              <w:left w:val="nil"/>
              <w:bottom w:val="single" w:sz="4" w:space="0" w:color="auto"/>
              <w:right w:val="single" w:sz="4" w:space="0" w:color="auto"/>
            </w:tcBorders>
            <w:shd w:val="clear" w:color="auto" w:fill="C6EFCE"/>
            <w:noWrap/>
          </w:tcPr>
          <w:p w14:paraId="5130826E" w14:textId="77777777" w:rsidR="00A00259" w:rsidRDefault="00371282">
            <w:pPr>
              <w:pStyle w:val="P68B1DB1-Normal12"/>
              <w:spacing w:after="0" w:line="240" w:lineRule="auto"/>
              <w:rPr>
                <w:rFonts w:eastAsia="Times New Roman"/>
                <w:noProof/>
              </w:rPr>
            </w:pPr>
            <w:r>
              <w:rPr>
                <w:noProof/>
              </w:rPr>
              <w:t>2022</w:t>
            </w:r>
          </w:p>
        </w:tc>
        <w:tc>
          <w:tcPr>
            <w:tcW w:w="4830" w:type="dxa"/>
            <w:tcBorders>
              <w:top w:val="single" w:sz="4" w:space="0" w:color="auto"/>
              <w:left w:val="nil"/>
              <w:bottom w:val="single" w:sz="4" w:space="0" w:color="auto"/>
              <w:right w:val="single" w:sz="4" w:space="0" w:color="auto"/>
            </w:tcBorders>
            <w:shd w:val="clear" w:color="auto" w:fill="C6EFCE"/>
            <w:noWrap/>
          </w:tcPr>
          <w:p w14:paraId="4D089B30" w14:textId="77777777" w:rsidR="00A00259" w:rsidRDefault="00371282">
            <w:pPr>
              <w:pStyle w:val="P68B1DB1-Normal12"/>
              <w:spacing w:after="0" w:line="240" w:lineRule="auto"/>
              <w:rPr>
                <w:rFonts w:eastAsia="Times New Roman"/>
                <w:noProof/>
              </w:rPr>
            </w:pPr>
            <w:r>
              <w:rPr>
                <w:noProof/>
              </w:rPr>
              <w:t>Mise en place d’une unité fiscale spécifique au sein du ministère des finances chargée de la consolidation et de la cohérence de la législation fiscale primaire et des décisions ministérielles; Création d’une direction de la prestation de services au sein de l’IAPR, notamment chargée de consolider le droit dérivé, de coordonner les compétences de l’IAPR en ce qui concerne le code de procédure fiscale et de mettre à jour et de tenir à jour la base de données fiscale publique</w:t>
            </w:r>
          </w:p>
        </w:tc>
      </w:tr>
      <w:tr w:rsidR="00A00259" w14:paraId="7E48133D" w14:textId="77777777">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6879AD36" w14:textId="77777777" w:rsidR="00A00259" w:rsidRDefault="00371282">
            <w:pPr>
              <w:pStyle w:val="P68B1DB1-Normal12"/>
              <w:spacing w:after="0" w:line="240" w:lineRule="auto"/>
              <w:rPr>
                <w:rFonts w:eastAsia="Times New Roman"/>
                <w:noProof/>
              </w:rPr>
            </w:pPr>
            <w:r>
              <w:rPr>
                <w:noProof/>
              </w:rPr>
              <w:t>203</w:t>
            </w:r>
          </w:p>
        </w:tc>
        <w:tc>
          <w:tcPr>
            <w:tcW w:w="1974" w:type="dxa"/>
            <w:tcBorders>
              <w:top w:val="single" w:sz="4" w:space="0" w:color="auto"/>
              <w:left w:val="nil"/>
              <w:bottom w:val="single" w:sz="4" w:space="0" w:color="auto"/>
              <w:right w:val="single" w:sz="4" w:space="0" w:color="auto"/>
            </w:tcBorders>
            <w:shd w:val="clear" w:color="auto" w:fill="C6EFCE"/>
            <w:noWrap/>
          </w:tcPr>
          <w:p w14:paraId="1EF6D16D" w14:textId="77777777" w:rsidR="00A00259" w:rsidRDefault="00371282">
            <w:pPr>
              <w:pStyle w:val="P68B1DB1-Normal12"/>
              <w:spacing w:after="0" w:line="240" w:lineRule="auto"/>
              <w:rPr>
                <w:rFonts w:eastAsia="Times New Roman"/>
                <w:noProof/>
              </w:rPr>
            </w:pPr>
            <w:r>
              <w:rPr>
                <w:noProof/>
              </w:rPr>
              <w:t>12 - 4.1. Rendre les impôts plus propices à la croissance et améliorer l'administration fiscale et la perception des impôts - 16643_Codification et simplification de la législation fiscale</w:t>
            </w:r>
          </w:p>
        </w:tc>
        <w:tc>
          <w:tcPr>
            <w:tcW w:w="1172" w:type="dxa"/>
            <w:tcBorders>
              <w:top w:val="single" w:sz="4" w:space="0" w:color="auto"/>
              <w:left w:val="nil"/>
              <w:bottom w:val="single" w:sz="4" w:space="0" w:color="auto"/>
              <w:right w:val="single" w:sz="4" w:space="0" w:color="auto"/>
            </w:tcBorders>
            <w:shd w:val="clear" w:color="auto" w:fill="C6EFCE"/>
            <w:noWrap/>
          </w:tcPr>
          <w:p w14:paraId="7DCD1025" w14:textId="77777777" w:rsidR="00A00259" w:rsidRDefault="00371282">
            <w:pPr>
              <w:pStyle w:val="P68B1DB1-Normal12"/>
              <w:spacing w:after="0" w:line="240" w:lineRule="auto"/>
              <w:rPr>
                <w:rFonts w:eastAsia="Times New Roman"/>
                <w:noProof/>
              </w:rPr>
            </w:pPr>
            <w:r>
              <w:rPr>
                <w:noProof/>
              </w:rPr>
              <w:t>Étape</w:t>
            </w:r>
          </w:p>
        </w:tc>
        <w:tc>
          <w:tcPr>
            <w:tcW w:w="1176" w:type="dxa"/>
            <w:tcBorders>
              <w:top w:val="single" w:sz="4" w:space="0" w:color="auto"/>
              <w:left w:val="nil"/>
              <w:bottom w:val="single" w:sz="4" w:space="0" w:color="auto"/>
              <w:right w:val="single" w:sz="4" w:space="0" w:color="auto"/>
            </w:tcBorders>
            <w:shd w:val="clear" w:color="auto" w:fill="C6EFCE"/>
            <w:noWrap/>
          </w:tcPr>
          <w:p w14:paraId="3EF15B92" w14:textId="77777777" w:rsidR="00A00259" w:rsidRDefault="00371282">
            <w:pPr>
              <w:pStyle w:val="P68B1DB1-Normal12"/>
              <w:spacing w:after="0" w:line="240" w:lineRule="auto"/>
              <w:rPr>
                <w:rFonts w:eastAsia="Times New Roman"/>
                <w:noProof/>
              </w:rPr>
            </w:pPr>
            <w:r>
              <w:rPr>
                <w:noProof/>
              </w:rPr>
              <w:t>Recodification des codes d'impôt sur le revenu et de procédure fiscale</w:t>
            </w:r>
          </w:p>
        </w:tc>
        <w:tc>
          <w:tcPr>
            <w:tcW w:w="1984" w:type="dxa"/>
            <w:tcBorders>
              <w:top w:val="single" w:sz="4" w:space="0" w:color="auto"/>
              <w:left w:val="nil"/>
              <w:bottom w:val="single" w:sz="4" w:space="0" w:color="auto"/>
              <w:right w:val="single" w:sz="4" w:space="0" w:color="auto"/>
            </w:tcBorders>
            <w:shd w:val="clear" w:color="auto" w:fill="C6EFCE"/>
            <w:noWrap/>
          </w:tcPr>
          <w:p w14:paraId="4C52BAE4" w14:textId="77777777" w:rsidR="00A00259" w:rsidRDefault="00371282">
            <w:pPr>
              <w:pStyle w:val="P68B1DB1-Normal12"/>
              <w:spacing w:after="0" w:line="240" w:lineRule="auto"/>
              <w:rPr>
                <w:rFonts w:eastAsia="Times New Roman"/>
                <w:noProof/>
              </w:rPr>
            </w:pPr>
            <w:r>
              <w:rPr>
                <w:noProof/>
              </w:rPr>
              <w:t>Entrée en vigueur de la législation fiscale primaire et secondaire codifiée pour le code de l’impôt sur le revenu et le code de l’administration fiscale</w:t>
            </w:r>
          </w:p>
        </w:tc>
        <w:tc>
          <w:tcPr>
            <w:tcW w:w="866" w:type="dxa"/>
            <w:tcBorders>
              <w:top w:val="single" w:sz="4" w:space="0" w:color="auto"/>
              <w:left w:val="nil"/>
              <w:bottom w:val="single" w:sz="4" w:space="0" w:color="auto"/>
              <w:right w:val="single" w:sz="4" w:space="0" w:color="auto"/>
            </w:tcBorders>
            <w:shd w:val="clear" w:color="auto" w:fill="C6EFCE"/>
            <w:noWrap/>
          </w:tcPr>
          <w:p w14:paraId="1CD8A84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3EBC716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668" w:type="dxa"/>
            <w:tcBorders>
              <w:top w:val="single" w:sz="4" w:space="0" w:color="auto"/>
              <w:left w:val="nil"/>
              <w:bottom w:val="single" w:sz="4" w:space="0" w:color="auto"/>
              <w:right w:val="single" w:sz="4" w:space="0" w:color="auto"/>
            </w:tcBorders>
            <w:shd w:val="clear" w:color="auto" w:fill="C6EFCE"/>
            <w:noWrap/>
          </w:tcPr>
          <w:p w14:paraId="5E574C7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561C6497" w14:textId="77777777" w:rsidR="00A00259" w:rsidRDefault="00371282">
            <w:pPr>
              <w:pStyle w:val="P68B1DB1-Normal12"/>
              <w:spacing w:after="0" w:line="240" w:lineRule="auto"/>
              <w:rPr>
                <w:rFonts w:eastAsia="Times New Roman"/>
                <w:noProof/>
              </w:rPr>
            </w:pPr>
            <w:r>
              <w:rPr>
                <w:noProof/>
              </w:rPr>
              <w:t>T2</w:t>
            </w:r>
          </w:p>
        </w:tc>
        <w:tc>
          <w:tcPr>
            <w:tcW w:w="708" w:type="dxa"/>
            <w:tcBorders>
              <w:top w:val="single" w:sz="4" w:space="0" w:color="auto"/>
              <w:left w:val="nil"/>
              <w:bottom w:val="single" w:sz="4" w:space="0" w:color="auto"/>
              <w:right w:val="single" w:sz="4" w:space="0" w:color="auto"/>
            </w:tcBorders>
            <w:shd w:val="clear" w:color="auto" w:fill="C6EFCE"/>
            <w:noWrap/>
          </w:tcPr>
          <w:p w14:paraId="1A4BD105" w14:textId="77777777" w:rsidR="00A00259" w:rsidRDefault="00371282">
            <w:pPr>
              <w:pStyle w:val="P68B1DB1-Normal12"/>
              <w:spacing w:after="0" w:line="240" w:lineRule="auto"/>
              <w:rPr>
                <w:rFonts w:eastAsia="Times New Roman"/>
                <w:noProof/>
              </w:rPr>
            </w:pPr>
            <w:r>
              <w:rPr>
                <w:noProof/>
              </w:rPr>
              <w:t>2023</w:t>
            </w:r>
          </w:p>
        </w:tc>
        <w:tc>
          <w:tcPr>
            <w:tcW w:w="4830" w:type="dxa"/>
            <w:tcBorders>
              <w:top w:val="single" w:sz="4" w:space="0" w:color="auto"/>
              <w:left w:val="nil"/>
              <w:bottom w:val="single" w:sz="4" w:space="0" w:color="auto"/>
              <w:right w:val="single" w:sz="4" w:space="0" w:color="auto"/>
            </w:tcBorders>
            <w:shd w:val="clear" w:color="auto" w:fill="C6EFCE"/>
            <w:noWrap/>
          </w:tcPr>
          <w:p w14:paraId="699E7053" w14:textId="77777777" w:rsidR="00A00259" w:rsidRDefault="00371282">
            <w:pPr>
              <w:pStyle w:val="P68B1DB1-Normal12"/>
              <w:spacing w:after="0" w:line="240" w:lineRule="auto"/>
              <w:rPr>
                <w:rFonts w:eastAsia="Times New Roman"/>
                <w:noProof/>
              </w:rPr>
            </w:pPr>
            <w:r>
              <w:rPr>
                <w:noProof/>
              </w:rPr>
              <w:t>Entrée en vigueur du code codifié de l’impôt sur le revenu et du code de l’administration fiscale (législation primaire et secondaire) afin de simplifier et de mettre à jour la législation à la lumière de la numérisation et des meilleures pratiques de l’UE</w:t>
            </w:r>
          </w:p>
        </w:tc>
      </w:tr>
      <w:tr w:rsidR="00A00259" w14:paraId="21875A0A" w14:textId="77777777">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2E170B5D" w14:textId="77777777" w:rsidR="00A00259" w:rsidRDefault="00371282">
            <w:pPr>
              <w:pStyle w:val="P68B1DB1-Normal12"/>
              <w:spacing w:after="0" w:line="240" w:lineRule="auto"/>
              <w:rPr>
                <w:rFonts w:eastAsia="Times New Roman"/>
                <w:noProof/>
              </w:rPr>
            </w:pPr>
            <w:r>
              <w:rPr>
                <w:noProof/>
              </w:rPr>
              <w:t>204</w:t>
            </w:r>
          </w:p>
        </w:tc>
        <w:tc>
          <w:tcPr>
            <w:tcW w:w="1974" w:type="dxa"/>
            <w:tcBorders>
              <w:top w:val="single" w:sz="4" w:space="0" w:color="auto"/>
              <w:left w:val="nil"/>
              <w:bottom w:val="single" w:sz="4" w:space="0" w:color="auto"/>
              <w:right w:val="single" w:sz="4" w:space="0" w:color="auto"/>
            </w:tcBorders>
            <w:shd w:val="clear" w:color="auto" w:fill="C6EFCE"/>
            <w:noWrap/>
          </w:tcPr>
          <w:p w14:paraId="451BC088" w14:textId="77777777" w:rsidR="00A00259" w:rsidRDefault="00371282">
            <w:pPr>
              <w:pStyle w:val="P68B1DB1-Normal12"/>
              <w:spacing w:after="0" w:line="240" w:lineRule="auto"/>
              <w:rPr>
                <w:rFonts w:eastAsia="Times New Roman"/>
                <w:noProof/>
              </w:rPr>
            </w:pPr>
            <w:r>
              <w:rPr>
                <w:noProof/>
              </w:rPr>
              <w:t>12 - 4.1. Rendre les impôts plus propices à la croissance et améliorer l'administration fiscale et la perception des impôts - 16643_Codification et simplification de la législation fiscale</w:t>
            </w:r>
          </w:p>
        </w:tc>
        <w:tc>
          <w:tcPr>
            <w:tcW w:w="1172" w:type="dxa"/>
            <w:tcBorders>
              <w:top w:val="single" w:sz="4" w:space="0" w:color="auto"/>
              <w:left w:val="nil"/>
              <w:bottom w:val="single" w:sz="4" w:space="0" w:color="auto"/>
              <w:right w:val="single" w:sz="4" w:space="0" w:color="auto"/>
            </w:tcBorders>
            <w:shd w:val="clear" w:color="auto" w:fill="C6EFCE"/>
            <w:noWrap/>
          </w:tcPr>
          <w:p w14:paraId="54B601C3" w14:textId="77777777" w:rsidR="00A00259" w:rsidRDefault="00371282">
            <w:pPr>
              <w:pStyle w:val="P68B1DB1-Normal12"/>
              <w:spacing w:after="0" w:line="240" w:lineRule="auto"/>
              <w:rPr>
                <w:rFonts w:eastAsia="Times New Roman"/>
                <w:noProof/>
              </w:rPr>
            </w:pPr>
            <w:r>
              <w:rPr>
                <w:noProof/>
              </w:rPr>
              <w:t>Étape</w:t>
            </w:r>
          </w:p>
        </w:tc>
        <w:tc>
          <w:tcPr>
            <w:tcW w:w="1176" w:type="dxa"/>
            <w:tcBorders>
              <w:top w:val="single" w:sz="4" w:space="0" w:color="auto"/>
              <w:left w:val="nil"/>
              <w:bottom w:val="single" w:sz="4" w:space="0" w:color="auto"/>
              <w:right w:val="single" w:sz="4" w:space="0" w:color="auto"/>
            </w:tcBorders>
            <w:shd w:val="clear" w:color="auto" w:fill="C6EFCE"/>
            <w:noWrap/>
          </w:tcPr>
          <w:p w14:paraId="656E864E" w14:textId="77777777" w:rsidR="00A00259" w:rsidRDefault="00371282">
            <w:pPr>
              <w:pStyle w:val="P68B1DB1-Normal12"/>
              <w:spacing w:after="0" w:line="240" w:lineRule="auto"/>
              <w:rPr>
                <w:rFonts w:eastAsia="Times New Roman"/>
                <w:noProof/>
              </w:rPr>
            </w:pPr>
            <w:r>
              <w:rPr>
                <w:noProof/>
              </w:rPr>
              <w:t>Achèvement de la codification fiscale initiale et du système d'information des contribuables</w:t>
            </w:r>
          </w:p>
        </w:tc>
        <w:tc>
          <w:tcPr>
            <w:tcW w:w="1984" w:type="dxa"/>
            <w:tcBorders>
              <w:top w:val="single" w:sz="4" w:space="0" w:color="auto"/>
              <w:left w:val="nil"/>
              <w:bottom w:val="single" w:sz="4" w:space="0" w:color="auto"/>
              <w:right w:val="single" w:sz="4" w:space="0" w:color="auto"/>
            </w:tcBorders>
            <w:shd w:val="clear" w:color="auto" w:fill="C6EFCE"/>
            <w:noWrap/>
          </w:tcPr>
          <w:p w14:paraId="5C2350D3" w14:textId="77777777" w:rsidR="00A00259" w:rsidRDefault="00371282">
            <w:pPr>
              <w:pStyle w:val="P68B1DB1-Normal12"/>
              <w:spacing w:after="0" w:line="240" w:lineRule="auto"/>
              <w:rPr>
                <w:rFonts w:eastAsia="Times New Roman"/>
                <w:noProof/>
              </w:rPr>
            </w:pPr>
            <w:r>
              <w:rPr>
                <w:noProof/>
              </w:rPr>
              <w:t>a</w:t>
            </w:r>
            <w:r>
              <w:rPr>
                <w:i/>
                <w:noProof/>
              </w:rPr>
              <w:t>:</w:t>
            </w:r>
            <w:r>
              <w:rPr>
                <w:noProof/>
              </w:rPr>
              <w:t xml:space="preserve"> Entrée en vigueur de la législation fiscale primaire et secondaire codifiée</w:t>
            </w:r>
          </w:p>
          <w:p w14:paraId="51E09D78" w14:textId="77777777" w:rsidR="00A00259" w:rsidRDefault="00A00259">
            <w:pPr>
              <w:spacing w:after="0" w:line="240" w:lineRule="auto"/>
              <w:rPr>
                <w:rFonts w:ascii="Times New Roman" w:eastAsia="Times New Roman" w:hAnsi="Times New Roman" w:cs="Times New Roman"/>
                <w:noProof/>
                <w:color w:val="006100"/>
                <w:sz w:val="18"/>
                <w:szCs w:val="18"/>
              </w:rPr>
            </w:pPr>
          </w:p>
          <w:p w14:paraId="3105F73C" w14:textId="77777777" w:rsidR="00A00259" w:rsidRDefault="00371282">
            <w:pPr>
              <w:pStyle w:val="P68B1DB1-Normal12"/>
              <w:spacing w:after="0" w:line="240" w:lineRule="auto"/>
              <w:rPr>
                <w:rFonts w:eastAsia="Times New Roman"/>
                <w:noProof/>
              </w:rPr>
            </w:pPr>
            <w:r>
              <w:rPr>
                <w:noProof/>
              </w:rPr>
              <w:t>b: Preuves d'acceptation des livrables concernant la mise en place d'un système de gestion de contenu et d'un site Web dédié à l'information des contribuables.</w:t>
            </w:r>
          </w:p>
        </w:tc>
        <w:tc>
          <w:tcPr>
            <w:tcW w:w="866" w:type="dxa"/>
            <w:tcBorders>
              <w:top w:val="single" w:sz="4" w:space="0" w:color="auto"/>
              <w:left w:val="nil"/>
              <w:bottom w:val="single" w:sz="4" w:space="0" w:color="auto"/>
              <w:right w:val="single" w:sz="4" w:space="0" w:color="auto"/>
            </w:tcBorders>
            <w:shd w:val="clear" w:color="auto" w:fill="C6EFCE"/>
            <w:noWrap/>
          </w:tcPr>
          <w:p w14:paraId="4CEA8F3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5D840ED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668" w:type="dxa"/>
            <w:tcBorders>
              <w:top w:val="single" w:sz="4" w:space="0" w:color="auto"/>
              <w:left w:val="nil"/>
              <w:bottom w:val="single" w:sz="4" w:space="0" w:color="auto"/>
              <w:right w:val="single" w:sz="4" w:space="0" w:color="auto"/>
            </w:tcBorders>
            <w:shd w:val="clear" w:color="auto" w:fill="C6EFCE"/>
            <w:noWrap/>
          </w:tcPr>
          <w:p w14:paraId="2E39FEE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01F40776" w14:textId="77777777" w:rsidR="00A00259" w:rsidRDefault="00371282">
            <w:pPr>
              <w:pStyle w:val="P68B1DB1-Normal12"/>
              <w:spacing w:after="0" w:line="240" w:lineRule="auto"/>
              <w:rPr>
                <w:rFonts w:eastAsia="Times New Roman"/>
                <w:noProof/>
              </w:rPr>
            </w:pPr>
            <w:r>
              <w:rPr>
                <w:noProof/>
              </w:rPr>
              <w:t>T2</w:t>
            </w:r>
          </w:p>
        </w:tc>
        <w:tc>
          <w:tcPr>
            <w:tcW w:w="708" w:type="dxa"/>
            <w:tcBorders>
              <w:top w:val="single" w:sz="4" w:space="0" w:color="auto"/>
              <w:left w:val="nil"/>
              <w:bottom w:val="single" w:sz="4" w:space="0" w:color="auto"/>
              <w:right w:val="single" w:sz="4" w:space="0" w:color="auto"/>
            </w:tcBorders>
            <w:shd w:val="clear" w:color="auto" w:fill="C6EFCE"/>
            <w:noWrap/>
          </w:tcPr>
          <w:p w14:paraId="09CEE7CD" w14:textId="77777777" w:rsidR="00A00259" w:rsidRDefault="00371282">
            <w:pPr>
              <w:pStyle w:val="P68B1DB1-Normal12"/>
              <w:spacing w:after="0" w:line="240" w:lineRule="auto"/>
              <w:rPr>
                <w:rFonts w:eastAsia="Times New Roman"/>
                <w:noProof/>
              </w:rPr>
            </w:pPr>
            <w:r>
              <w:rPr>
                <w:noProof/>
              </w:rPr>
              <w:t>2024</w:t>
            </w:r>
          </w:p>
        </w:tc>
        <w:tc>
          <w:tcPr>
            <w:tcW w:w="4830" w:type="dxa"/>
            <w:tcBorders>
              <w:top w:val="single" w:sz="4" w:space="0" w:color="auto"/>
              <w:left w:val="nil"/>
              <w:bottom w:val="single" w:sz="4" w:space="0" w:color="auto"/>
              <w:right w:val="single" w:sz="4" w:space="0" w:color="auto"/>
            </w:tcBorders>
            <w:shd w:val="clear" w:color="auto" w:fill="C6EFCE"/>
            <w:noWrap/>
          </w:tcPr>
          <w:p w14:paraId="619F6436" w14:textId="77777777" w:rsidR="00A00259" w:rsidRDefault="00371282">
            <w:pPr>
              <w:pStyle w:val="P68B1DB1-Normal12"/>
              <w:spacing w:after="0" w:line="240" w:lineRule="auto"/>
              <w:rPr>
                <w:rFonts w:eastAsia="Times New Roman"/>
                <w:noProof/>
              </w:rPr>
            </w:pPr>
            <w:r>
              <w:rPr>
                <w:noProof/>
              </w:rPr>
              <w:t>a. Entrée en vigueur de la codification du droit primaire et du droit dérivé afin de simplifier et de mettre à jour la législation à la lumière de la numérisation et des meilleures pratiques de l’UE, notamment:</w:t>
            </w:r>
          </w:p>
          <w:p w14:paraId="3AD45A0E" w14:textId="77777777" w:rsidR="00A00259" w:rsidRDefault="00371282">
            <w:pPr>
              <w:pStyle w:val="P68B1DB1-Normal12"/>
              <w:numPr>
                <w:ilvl w:val="0"/>
                <w:numId w:val="60"/>
              </w:numPr>
              <w:spacing w:before="120" w:after="0" w:line="259" w:lineRule="auto"/>
              <w:contextualSpacing/>
              <w:jc w:val="both"/>
              <w:rPr>
                <w:rFonts w:eastAsia="Times New Roman"/>
                <w:noProof/>
              </w:rPr>
            </w:pPr>
            <w:r>
              <w:rPr>
                <w:noProof/>
              </w:rPr>
              <w:t>Code TVA</w:t>
            </w:r>
          </w:p>
          <w:p w14:paraId="7F8F8B98" w14:textId="77777777" w:rsidR="00A00259" w:rsidRDefault="00371282">
            <w:pPr>
              <w:pStyle w:val="P68B1DB1-Normal12"/>
              <w:numPr>
                <w:ilvl w:val="0"/>
                <w:numId w:val="60"/>
              </w:numPr>
              <w:spacing w:before="120" w:after="0" w:line="259" w:lineRule="auto"/>
              <w:contextualSpacing/>
              <w:jc w:val="both"/>
              <w:rPr>
                <w:rFonts w:eastAsia="Times New Roman"/>
                <w:noProof/>
              </w:rPr>
            </w:pPr>
            <w:r>
              <w:rPr>
                <w:noProof/>
              </w:rPr>
              <w:t>Droit de timbre</w:t>
            </w:r>
          </w:p>
          <w:p w14:paraId="40EB557B" w14:textId="77777777" w:rsidR="00A00259" w:rsidRDefault="00371282">
            <w:pPr>
              <w:pStyle w:val="P68B1DB1-Normal12"/>
              <w:numPr>
                <w:ilvl w:val="0"/>
                <w:numId w:val="60"/>
              </w:numPr>
              <w:spacing w:before="120" w:after="0" w:line="259" w:lineRule="auto"/>
              <w:contextualSpacing/>
              <w:jc w:val="both"/>
              <w:rPr>
                <w:rFonts w:eastAsia="Times New Roman"/>
                <w:noProof/>
              </w:rPr>
            </w:pPr>
            <w:r>
              <w:rPr>
                <w:noProof/>
              </w:rPr>
              <w:t>Impôts fonciers</w:t>
            </w:r>
          </w:p>
          <w:p w14:paraId="1F3B34EA" w14:textId="77777777" w:rsidR="00A00259" w:rsidRDefault="00371282">
            <w:pPr>
              <w:pStyle w:val="P68B1DB1-Normal12"/>
              <w:numPr>
                <w:ilvl w:val="0"/>
                <w:numId w:val="60"/>
              </w:numPr>
              <w:spacing w:before="120" w:after="0" w:line="259" w:lineRule="auto"/>
              <w:contextualSpacing/>
              <w:jc w:val="both"/>
              <w:rPr>
                <w:rFonts w:eastAsia="Times New Roman"/>
                <w:noProof/>
              </w:rPr>
            </w:pPr>
            <w:r>
              <w:rPr>
                <w:noProof/>
              </w:rPr>
              <w:t>Recouvrement de créances de l'État (KEDE)</w:t>
            </w:r>
          </w:p>
          <w:p w14:paraId="3D69B7B2" w14:textId="77777777" w:rsidR="00A00259" w:rsidRDefault="00371282">
            <w:pPr>
              <w:pStyle w:val="P68B1DB1-Normal12"/>
              <w:numPr>
                <w:ilvl w:val="0"/>
                <w:numId w:val="60"/>
              </w:numPr>
              <w:spacing w:before="120" w:after="0" w:line="259" w:lineRule="auto"/>
              <w:contextualSpacing/>
              <w:jc w:val="both"/>
              <w:rPr>
                <w:rFonts w:eastAsia="Times New Roman"/>
                <w:noProof/>
              </w:rPr>
            </w:pPr>
            <w:r>
              <w:rPr>
                <w:noProof/>
              </w:rPr>
              <w:t>Code des douanes national</w:t>
            </w:r>
          </w:p>
          <w:p w14:paraId="1BB8F478" w14:textId="77777777" w:rsidR="00A00259" w:rsidRDefault="00371282">
            <w:pPr>
              <w:pStyle w:val="P68B1DB1-Normal12"/>
              <w:spacing w:after="0" w:line="240" w:lineRule="auto"/>
              <w:rPr>
                <w:rFonts w:eastAsia="Times New Roman"/>
                <w:noProof/>
              </w:rPr>
            </w:pPr>
            <w:r>
              <w:rPr>
                <w:noProof/>
              </w:rPr>
              <w:t>b. Mise en place d'un système de gestion de contenu et d'un site Web dédié à l'information des contribuables.</w:t>
            </w:r>
          </w:p>
        </w:tc>
      </w:tr>
      <w:tr w:rsidR="00A00259" w14:paraId="01DAB4C2" w14:textId="77777777">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6095FF2F" w14:textId="77777777" w:rsidR="00A00259" w:rsidRDefault="00371282">
            <w:pPr>
              <w:pStyle w:val="P68B1DB1-Normal12"/>
              <w:spacing w:after="0" w:line="240" w:lineRule="auto"/>
              <w:rPr>
                <w:noProof/>
              </w:rPr>
            </w:pPr>
            <w:r>
              <w:rPr>
                <w:noProof/>
              </w:rPr>
              <w:t>204 bis</w:t>
            </w:r>
          </w:p>
        </w:tc>
        <w:tc>
          <w:tcPr>
            <w:tcW w:w="1974" w:type="dxa"/>
            <w:tcBorders>
              <w:top w:val="single" w:sz="4" w:space="0" w:color="auto"/>
              <w:left w:val="nil"/>
              <w:bottom w:val="single" w:sz="4" w:space="0" w:color="auto"/>
              <w:right w:val="single" w:sz="4" w:space="0" w:color="auto"/>
            </w:tcBorders>
            <w:shd w:val="clear" w:color="auto" w:fill="C6EFCE"/>
            <w:noWrap/>
          </w:tcPr>
          <w:p w14:paraId="756B87D6" w14:textId="77777777" w:rsidR="00A00259" w:rsidRDefault="00371282">
            <w:pPr>
              <w:pStyle w:val="P68B1DB1-Normal12"/>
              <w:spacing w:after="0" w:line="240" w:lineRule="auto"/>
              <w:rPr>
                <w:noProof/>
              </w:rPr>
            </w:pPr>
            <w:r>
              <w:rPr>
                <w:noProof/>
              </w:rPr>
              <w:t>12 - 4.1. Rendre les impôts plus propices à la croissance et améliorer l'administration fiscale et la perception des impôts – 16643 _Codification et simplification de la législation fiscale</w:t>
            </w:r>
          </w:p>
        </w:tc>
        <w:tc>
          <w:tcPr>
            <w:tcW w:w="1172" w:type="dxa"/>
            <w:tcBorders>
              <w:top w:val="single" w:sz="4" w:space="0" w:color="auto"/>
              <w:left w:val="nil"/>
              <w:bottom w:val="single" w:sz="4" w:space="0" w:color="auto"/>
              <w:right w:val="single" w:sz="4" w:space="0" w:color="auto"/>
            </w:tcBorders>
            <w:shd w:val="clear" w:color="auto" w:fill="C6EFCE"/>
            <w:noWrap/>
          </w:tcPr>
          <w:p w14:paraId="39470DCF" w14:textId="77777777" w:rsidR="00A00259" w:rsidRDefault="00371282">
            <w:pPr>
              <w:pStyle w:val="P68B1DB1-Normal12"/>
              <w:spacing w:after="0" w:line="240" w:lineRule="auto"/>
              <w:rPr>
                <w:noProof/>
              </w:rPr>
            </w:pPr>
            <w:r>
              <w:rPr>
                <w:noProof/>
              </w:rPr>
              <w:t>Étape</w:t>
            </w:r>
          </w:p>
        </w:tc>
        <w:tc>
          <w:tcPr>
            <w:tcW w:w="1176" w:type="dxa"/>
            <w:tcBorders>
              <w:top w:val="single" w:sz="4" w:space="0" w:color="auto"/>
              <w:left w:val="nil"/>
              <w:bottom w:val="single" w:sz="4" w:space="0" w:color="auto"/>
              <w:right w:val="single" w:sz="4" w:space="0" w:color="auto"/>
            </w:tcBorders>
            <w:shd w:val="clear" w:color="auto" w:fill="C6EFCE"/>
            <w:noWrap/>
          </w:tcPr>
          <w:p w14:paraId="75E99BC8" w14:textId="77777777" w:rsidR="00A00259" w:rsidRDefault="00371282">
            <w:pPr>
              <w:pStyle w:val="P68B1DB1-Normal12"/>
              <w:spacing w:after="0" w:line="240" w:lineRule="auto"/>
              <w:rPr>
                <w:noProof/>
              </w:rPr>
            </w:pPr>
            <w:r>
              <w:rPr>
                <w:noProof/>
              </w:rPr>
              <w:t>Publication du droit primaire et du droit dérivé sur le site web du contribuable</w:t>
            </w:r>
          </w:p>
        </w:tc>
        <w:tc>
          <w:tcPr>
            <w:tcW w:w="1984" w:type="dxa"/>
            <w:tcBorders>
              <w:top w:val="single" w:sz="4" w:space="0" w:color="auto"/>
              <w:left w:val="nil"/>
              <w:bottom w:val="single" w:sz="4" w:space="0" w:color="auto"/>
              <w:right w:val="single" w:sz="4" w:space="0" w:color="auto"/>
            </w:tcBorders>
            <w:shd w:val="clear" w:color="auto" w:fill="C6EFCE"/>
            <w:noWrap/>
          </w:tcPr>
          <w:p w14:paraId="1E0A42D7" w14:textId="77777777" w:rsidR="00A00259" w:rsidRDefault="00371282">
            <w:pPr>
              <w:pStyle w:val="P68B1DB1-Normal12"/>
              <w:spacing w:after="0" w:line="240" w:lineRule="auto"/>
              <w:rPr>
                <w:noProof/>
              </w:rPr>
            </w:pPr>
            <w:r>
              <w:rPr>
                <w:noProof/>
              </w:rPr>
              <w:t>Publication de la législation fiscale et douanière primaire et secondaire.</w:t>
            </w:r>
          </w:p>
        </w:tc>
        <w:tc>
          <w:tcPr>
            <w:tcW w:w="866" w:type="dxa"/>
            <w:tcBorders>
              <w:top w:val="single" w:sz="4" w:space="0" w:color="auto"/>
              <w:left w:val="nil"/>
              <w:bottom w:val="single" w:sz="4" w:space="0" w:color="auto"/>
              <w:right w:val="single" w:sz="4" w:space="0" w:color="auto"/>
            </w:tcBorders>
            <w:shd w:val="clear" w:color="auto" w:fill="C6EFCE"/>
            <w:noWrap/>
          </w:tcPr>
          <w:p w14:paraId="0AB2FD4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0FAAADF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668" w:type="dxa"/>
            <w:tcBorders>
              <w:top w:val="single" w:sz="4" w:space="0" w:color="auto"/>
              <w:left w:val="nil"/>
              <w:bottom w:val="single" w:sz="4" w:space="0" w:color="auto"/>
              <w:right w:val="single" w:sz="4" w:space="0" w:color="auto"/>
            </w:tcBorders>
            <w:shd w:val="clear" w:color="auto" w:fill="C6EFCE"/>
            <w:noWrap/>
          </w:tcPr>
          <w:p w14:paraId="21DF855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170A1F96" w14:textId="77777777" w:rsidR="00A00259" w:rsidRDefault="00371282">
            <w:pPr>
              <w:pStyle w:val="P68B1DB1-Normal12"/>
              <w:spacing w:after="0" w:line="240" w:lineRule="auto"/>
              <w:rPr>
                <w:noProof/>
              </w:rPr>
            </w:pPr>
            <w:r>
              <w:rPr>
                <w:noProof/>
              </w:rPr>
              <w:t>T4</w:t>
            </w:r>
          </w:p>
        </w:tc>
        <w:tc>
          <w:tcPr>
            <w:tcW w:w="708" w:type="dxa"/>
            <w:tcBorders>
              <w:top w:val="single" w:sz="4" w:space="0" w:color="auto"/>
              <w:left w:val="nil"/>
              <w:bottom w:val="single" w:sz="4" w:space="0" w:color="auto"/>
              <w:right w:val="single" w:sz="4" w:space="0" w:color="auto"/>
            </w:tcBorders>
            <w:shd w:val="clear" w:color="auto" w:fill="C6EFCE"/>
            <w:noWrap/>
          </w:tcPr>
          <w:p w14:paraId="7A6A88F1" w14:textId="77777777" w:rsidR="00A00259" w:rsidRDefault="00371282">
            <w:pPr>
              <w:pStyle w:val="P68B1DB1-Normal12"/>
              <w:spacing w:after="0" w:line="240" w:lineRule="auto"/>
              <w:rPr>
                <w:noProof/>
              </w:rPr>
            </w:pPr>
            <w:r>
              <w:rPr>
                <w:noProof/>
              </w:rPr>
              <w:t>2025</w:t>
            </w:r>
          </w:p>
        </w:tc>
        <w:tc>
          <w:tcPr>
            <w:tcW w:w="4830" w:type="dxa"/>
            <w:tcBorders>
              <w:top w:val="single" w:sz="4" w:space="0" w:color="auto"/>
              <w:left w:val="nil"/>
              <w:bottom w:val="single" w:sz="4" w:space="0" w:color="auto"/>
              <w:right w:val="single" w:sz="4" w:space="0" w:color="auto"/>
            </w:tcBorders>
            <w:shd w:val="clear" w:color="auto" w:fill="C6EFCE"/>
            <w:noWrap/>
          </w:tcPr>
          <w:p w14:paraId="64148261" w14:textId="77777777" w:rsidR="00A00259" w:rsidRDefault="00371282">
            <w:pPr>
              <w:pStyle w:val="P68B1DB1-Normal12"/>
              <w:spacing w:after="0" w:line="240" w:lineRule="auto"/>
              <w:rPr>
                <w:noProof/>
              </w:rPr>
            </w:pPr>
            <w:r>
              <w:rPr>
                <w:noProof/>
              </w:rPr>
              <w:t xml:space="preserve">Publication de la législation fiscale et douanière primaire et secondaire évaluée au jalon 204 sur le site web dédié à l’information des contribuables. </w:t>
            </w:r>
          </w:p>
        </w:tc>
      </w:tr>
      <w:tr w:rsidR="00A00259" w14:paraId="7475CAC0" w14:textId="77777777">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3E553112" w14:textId="77777777" w:rsidR="00A00259" w:rsidRDefault="00371282">
            <w:pPr>
              <w:pStyle w:val="P68B1DB1-Normal12"/>
              <w:spacing w:after="0" w:line="240" w:lineRule="auto"/>
              <w:rPr>
                <w:rFonts w:eastAsia="Times New Roman"/>
                <w:noProof/>
              </w:rPr>
            </w:pPr>
            <w:r>
              <w:rPr>
                <w:noProof/>
              </w:rPr>
              <w:t>337</w:t>
            </w:r>
          </w:p>
        </w:tc>
        <w:tc>
          <w:tcPr>
            <w:tcW w:w="1974" w:type="dxa"/>
            <w:tcBorders>
              <w:top w:val="single" w:sz="4" w:space="0" w:color="auto"/>
              <w:left w:val="nil"/>
              <w:bottom w:val="single" w:sz="4" w:space="0" w:color="auto"/>
              <w:right w:val="single" w:sz="4" w:space="0" w:color="auto"/>
            </w:tcBorders>
            <w:shd w:val="clear" w:color="auto" w:fill="C6EFCE"/>
            <w:noWrap/>
          </w:tcPr>
          <w:p w14:paraId="65485B07" w14:textId="77777777" w:rsidR="00A00259" w:rsidRDefault="00371282">
            <w:pPr>
              <w:pStyle w:val="P68B1DB1-Normal12"/>
              <w:spacing w:after="0" w:line="240" w:lineRule="auto"/>
              <w:rPr>
                <w:rFonts w:eastAsia="Times New Roman"/>
                <w:noProof/>
              </w:rPr>
            </w:pPr>
            <w:r>
              <w:rPr>
                <w:noProof/>
              </w:rPr>
              <w:t>12 - 4.1. Rendre les impôts plus propices à la croissance et améliorer l'administration fiscale et le recouvrement des impôts – 16985_Modifications du cadre de la politique fiscale de la Grèce</w:t>
            </w:r>
          </w:p>
        </w:tc>
        <w:tc>
          <w:tcPr>
            <w:tcW w:w="1172" w:type="dxa"/>
            <w:tcBorders>
              <w:top w:val="single" w:sz="4" w:space="0" w:color="auto"/>
              <w:left w:val="nil"/>
              <w:bottom w:val="single" w:sz="4" w:space="0" w:color="auto"/>
              <w:right w:val="single" w:sz="4" w:space="0" w:color="auto"/>
            </w:tcBorders>
            <w:shd w:val="clear" w:color="auto" w:fill="C6EFCE"/>
            <w:noWrap/>
          </w:tcPr>
          <w:p w14:paraId="23D90412" w14:textId="77777777" w:rsidR="00A00259" w:rsidRDefault="00371282">
            <w:pPr>
              <w:pStyle w:val="P68B1DB1-Normal12"/>
              <w:spacing w:after="0" w:line="240" w:lineRule="auto"/>
              <w:rPr>
                <w:rFonts w:eastAsia="Times New Roman"/>
                <w:noProof/>
              </w:rPr>
            </w:pPr>
            <w:r>
              <w:rPr>
                <w:noProof/>
              </w:rPr>
              <w:t>Étape</w:t>
            </w:r>
          </w:p>
        </w:tc>
        <w:tc>
          <w:tcPr>
            <w:tcW w:w="1176" w:type="dxa"/>
            <w:tcBorders>
              <w:top w:val="single" w:sz="4" w:space="0" w:color="auto"/>
              <w:left w:val="nil"/>
              <w:bottom w:val="single" w:sz="4" w:space="0" w:color="auto"/>
              <w:right w:val="single" w:sz="4" w:space="0" w:color="auto"/>
            </w:tcBorders>
            <w:shd w:val="clear" w:color="auto" w:fill="C6EFCE"/>
            <w:noWrap/>
          </w:tcPr>
          <w:p w14:paraId="577DE8ED" w14:textId="77777777" w:rsidR="00A00259" w:rsidRDefault="00371282">
            <w:pPr>
              <w:pStyle w:val="P68B1DB1-Normal12"/>
              <w:spacing w:after="0" w:line="240" w:lineRule="auto"/>
              <w:rPr>
                <w:rFonts w:eastAsia="Times New Roman"/>
                <w:noProof/>
              </w:rPr>
            </w:pPr>
            <w:r>
              <w:rPr>
                <w:noProof/>
              </w:rPr>
              <w:t>Lutter contre l'évasion fiscale et promouvoir les paiements électroniques.</w:t>
            </w:r>
          </w:p>
        </w:tc>
        <w:tc>
          <w:tcPr>
            <w:tcW w:w="1984" w:type="dxa"/>
            <w:tcBorders>
              <w:top w:val="single" w:sz="4" w:space="0" w:color="auto"/>
              <w:left w:val="nil"/>
              <w:bottom w:val="single" w:sz="4" w:space="0" w:color="auto"/>
              <w:right w:val="single" w:sz="4" w:space="0" w:color="auto"/>
            </w:tcBorders>
            <w:shd w:val="clear" w:color="auto" w:fill="C6EFCE"/>
            <w:noWrap/>
          </w:tcPr>
          <w:p w14:paraId="145DA364" w14:textId="77777777" w:rsidR="00A00259" w:rsidRDefault="00371282">
            <w:pPr>
              <w:pStyle w:val="P68B1DB1-Normal12"/>
              <w:spacing w:after="0" w:line="240" w:lineRule="auto"/>
              <w:rPr>
                <w:rFonts w:eastAsia="Times New Roman"/>
                <w:noProof/>
              </w:rPr>
            </w:pPr>
            <w:r>
              <w:rPr>
                <w:noProof/>
              </w:rPr>
              <w:t xml:space="preserve">Cadre juridique révisé adopté pour promouvoir les paiements électroniques, renforcer et fixer de nouvelles exigences en matière de déclaration myDATA et permettre l’utilisation de myDATA aux fins de la TVA. </w:t>
            </w:r>
          </w:p>
          <w:p w14:paraId="6751FE41" w14:textId="77777777" w:rsidR="00A00259" w:rsidRDefault="00371282">
            <w:pPr>
              <w:pStyle w:val="P68B1DB1-Normal12"/>
              <w:spacing w:after="0" w:line="240" w:lineRule="auto"/>
              <w:rPr>
                <w:rFonts w:eastAsia="Times New Roman"/>
                <w:noProof/>
              </w:rPr>
            </w:pPr>
            <w:r>
              <w:rPr>
                <w:noProof/>
              </w:rPr>
              <w:t>Copie du rapport sur les options pour la réforme de la fiscalité des travailleurs indépendants.</w:t>
            </w:r>
          </w:p>
        </w:tc>
        <w:tc>
          <w:tcPr>
            <w:tcW w:w="866" w:type="dxa"/>
            <w:tcBorders>
              <w:top w:val="single" w:sz="4" w:space="0" w:color="auto"/>
              <w:left w:val="nil"/>
              <w:bottom w:val="single" w:sz="4" w:space="0" w:color="auto"/>
              <w:right w:val="single" w:sz="4" w:space="0" w:color="auto"/>
            </w:tcBorders>
            <w:shd w:val="clear" w:color="auto" w:fill="C6EFCE"/>
            <w:noWrap/>
          </w:tcPr>
          <w:p w14:paraId="4F93F60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7A52526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668" w:type="dxa"/>
            <w:tcBorders>
              <w:top w:val="single" w:sz="4" w:space="0" w:color="auto"/>
              <w:left w:val="nil"/>
              <w:bottom w:val="single" w:sz="4" w:space="0" w:color="auto"/>
              <w:right w:val="single" w:sz="4" w:space="0" w:color="auto"/>
            </w:tcBorders>
            <w:shd w:val="clear" w:color="auto" w:fill="C6EFCE"/>
            <w:noWrap/>
          </w:tcPr>
          <w:p w14:paraId="432FBD1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1975F173" w14:textId="77777777" w:rsidR="00A00259" w:rsidRDefault="00371282">
            <w:pPr>
              <w:pStyle w:val="P68B1DB1-Normal12"/>
              <w:spacing w:after="0" w:line="240" w:lineRule="auto"/>
              <w:rPr>
                <w:rFonts w:eastAsia="Times New Roman"/>
                <w:noProof/>
              </w:rPr>
            </w:pPr>
            <w:r>
              <w:rPr>
                <w:noProof/>
              </w:rPr>
              <w:t>T4</w:t>
            </w:r>
          </w:p>
        </w:tc>
        <w:tc>
          <w:tcPr>
            <w:tcW w:w="708" w:type="dxa"/>
            <w:tcBorders>
              <w:top w:val="single" w:sz="4" w:space="0" w:color="auto"/>
              <w:left w:val="nil"/>
              <w:bottom w:val="single" w:sz="4" w:space="0" w:color="auto"/>
              <w:right w:val="single" w:sz="4" w:space="0" w:color="auto"/>
            </w:tcBorders>
            <w:shd w:val="clear" w:color="auto" w:fill="C6EFCE"/>
            <w:noWrap/>
          </w:tcPr>
          <w:p w14:paraId="5CBC974D" w14:textId="77777777" w:rsidR="00A00259" w:rsidRDefault="00371282">
            <w:pPr>
              <w:pStyle w:val="P68B1DB1-Normal12"/>
              <w:spacing w:after="0" w:line="240" w:lineRule="auto"/>
              <w:rPr>
                <w:rFonts w:eastAsia="Times New Roman"/>
                <w:noProof/>
              </w:rPr>
            </w:pPr>
            <w:r>
              <w:rPr>
                <w:noProof/>
              </w:rPr>
              <w:t>2023</w:t>
            </w:r>
          </w:p>
        </w:tc>
        <w:tc>
          <w:tcPr>
            <w:tcW w:w="4830" w:type="dxa"/>
            <w:tcBorders>
              <w:top w:val="single" w:sz="4" w:space="0" w:color="auto"/>
              <w:left w:val="nil"/>
              <w:bottom w:val="single" w:sz="4" w:space="0" w:color="auto"/>
              <w:right w:val="single" w:sz="4" w:space="0" w:color="auto"/>
            </w:tcBorders>
            <w:shd w:val="clear" w:color="auto" w:fill="C6EFCE"/>
            <w:noWrap/>
          </w:tcPr>
          <w:p w14:paraId="4A054C99" w14:textId="77777777" w:rsidR="00A00259" w:rsidRDefault="00371282">
            <w:pPr>
              <w:pStyle w:val="P68B1DB1-Normal12"/>
              <w:spacing w:after="0" w:line="240" w:lineRule="auto"/>
              <w:rPr>
                <w:rFonts w:eastAsia="Times New Roman"/>
                <w:noProof/>
              </w:rPr>
            </w:pPr>
            <w:r>
              <w:rPr>
                <w:noProof/>
              </w:rPr>
              <w:t xml:space="preserve">Entrée en vigueur du droit primaire et du droit dérivé </w:t>
            </w:r>
          </w:p>
          <w:p w14:paraId="48586B70" w14:textId="77777777" w:rsidR="00A00259" w:rsidRDefault="00371282">
            <w:pPr>
              <w:pStyle w:val="P68B1DB1-Normal12"/>
              <w:spacing w:after="0" w:line="240" w:lineRule="auto"/>
              <w:rPr>
                <w:noProof/>
              </w:rPr>
            </w:pPr>
            <w:r>
              <w:rPr>
                <w:noProof/>
              </w:rPr>
              <w:t>i) étendre largement l’acceptation obligatoire des paiements électroniques directs sur le marché de détail;</w:t>
            </w:r>
          </w:p>
          <w:p w14:paraId="031E8A13" w14:textId="77777777" w:rsidR="00A00259" w:rsidRDefault="00371282">
            <w:pPr>
              <w:pStyle w:val="P68B1DB1-Normal12"/>
              <w:spacing w:after="0" w:line="240" w:lineRule="auto"/>
              <w:rPr>
                <w:noProof/>
              </w:rPr>
            </w:pPr>
            <w:r>
              <w:rPr>
                <w:noProof/>
              </w:rPr>
              <w:t xml:space="preserve">ii) aligner les exigences en matière de partage d’informations applicables aux prestataires de services de paiement sur les définitions de la Banque de Grèce; </w:t>
            </w:r>
          </w:p>
          <w:p w14:paraId="45A39AF9" w14:textId="77777777" w:rsidR="00A00259" w:rsidRDefault="00371282">
            <w:pPr>
              <w:pStyle w:val="P68B1DB1-Normal12"/>
              <w:spacing w:after="0" w:line="240" w:lineRule="auto"/>
              <w:rPr>
                <w:noProof/>
              </w:rPr>
            </w:pPr>
            <w:r>
              <w:rPr>
                <w:noProof/>
              </w:rPr>
              <w:t>iii) établir de nouvelles obligations de déclaration myDATA pour les entreprises (y compris les travailleurs indépendants) à appliquer aux déclarations de TVA; et</w:t>
            </w:r>
          </w:p>
          <w:p w14:paraId="307D1269" w14:textId="77777777" w:rsidR="00A00259" w:rsidRDefault="00371282">
            <w:pPr>
              <w:pStyle w:val="P68B1DB1-Normal12"/>
              <w:spacing w:after="0" w:line="240" w:lineRule="auto"/>
              <w:rPr>
                <w:noProof/>
              </w:rPr>
            </w:pPr>
            <w:r>
              <w:rPr>
                <w:noProof/>
              </w:rPr>
              <w:t>iv) Achèvement du rapport sur les options envisageables pour la réforme de la fiscalité des travailleurs indépendants.</w:t>
            </w:r>
          </w:p>
          <w:p w14:paraId="4938095B" w14:textId="77777777" w:rsidR="00A00259" w:rsidRDefault="00A00259">
            <w:pPr>
              <w:spacing w:after="0" w:line="240" w:lineRule="auto"/>
              <w:rPr>
                <w:rFonts w:ascii="Times New Roman" w:eastAsia="Times New Roman" w:hAnsi="Times New Roman" w:cs="Times New Roman"/>
                <w:noProof/>
                <w:color w:val="006100"/>
                <w:sz w:val="18"/>
                <w:szCs w:val="18"/>
              </w:rPr>
            </w:pPr>
          </w:p>
          <w:p w14:paraId="05CBBF47" w14:textId="77777777" w:rsidR="00A00259" w:rsidRDefault="00A00259">
            <w:pPr>
              <w:spacing w:after="0" w:line="240" w:lineRule="auto"/>
              <w:rPr>
                <w:rFonts w:ascii="Times New Roman" w:eastAsia="Times New Roman" w:hAnsi="Times New Roman" w:cs="Times New Roman"/>
                <w:noProof/>
                <w:color w:val="006100"/>
                <w:sz w:val="18"/>
                <w:szCs w:val="18"/>
              </w:rPr>
            </w:pPr>
          </w:p>
        </w:tc>
      </w:tr>
      <w:tr w:rsidR="00A00259" w14:paraId="62C0E78E" w14:textId="77777777">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65F01E49" w14:textId="77777777" w:rsidR="00A00259" w:rsidRDefault="00371282">
            <w:pPr>
              <w:pStyle w:val="P68B1DB1-Normal12"/>
              <w:spacing w:after="0" w:line="240" w:lineRule="auto"/>
              <w:rPr>
                <w:rFonts w:eastAsia="Times New Roman"/>
                <w:noProof/>
              </w:rPr>
            </w:pPr>
            <w:r>
              <w:rPr>
                <w:noProof/>
              </w:rPr>
              <w:t>338</w:t>
            </w:r>
          </w:p>
        </w:tc>
        <w:tc>
          <w:tcPr>
            <w:tcW w:w="1974" w:type="dxa"/>
            <w:tcBorders>
              <w:top w:val="single" w:sz="4" w:space="0" w:color="auto"/>
              <w:left w:val="nil"/>
              <w:bottom w:val="single" w:sz="4" w:space="0" w:color="auto"/>
              <w:right w:val="single" w:sz="4" w:space="0" w:color="auto"/>
            </w:tcBorders>
            <w:shd w:val="clear" w:color="auto" w:fill="C6EFCE"/>
            <w:noWrap/>
          </w:tcPr>
          <w:p w14:paraId="47C6BE25" w14:textId="77777777" w:rsidR="00A00259" w:rsidRDefault="00371282">
            <w:pPr>
              <w:pStyle w:val="P68B1DB1-Normal12"/>
              <w:spacing w:after="0" w:line="240" w:lineRule="auto"/>
              <w:rPr>
                <w:rFonts w:eastAsia="Times New Roman"/>
                <w:noProof/>
              </w:rPr>
            </w:pPr>
            <w:r>
              <w:rPr>
                <w:noProof/>
              </w:rPr>
              <w:t>12 - 4.1. Rendre les impôts plus propices à la croissance et améliorer l'administration fiscale et le recouvrement des impôts – 16985_Modifications du cadre de la politique fiscale de la Grèce</w:t>
            </w:r>
          </w:p>
        </w:tc>
        <w:tc>
          <w:tcPr>
            <w:tcW w:w="1172" w:type="dxa"/>
            <w:tcBorders>
              <w:top w:val="single" w:sz="4" w:space="0" w:color="auto"/>
              <w:left w:val="nil"/>
              <w:bottom w:val="single" w:sz="4" w:space="0" w:color="auto"/>
              <w:right w:val="single" w:sz="4" w:space="0" w:color="auto"/>
            </w:tcBorders>
            <w:shd w:val="clear" w:color="auto" w:fill="C6EFCE"/>
            <w:noWrap/>
          </w:tcPr>
          <w:p w14:paraId="2E79734D" w14:textId="77777777" w:rsidR="00A00259" w:rsidRDefault="00371282">
            <w:pPr>
              <w:pStyle w:val="P68B1DB1-Normal12"/>
              <w:spacing w:after="0" w:line="240" w:lineRule="auto"/>
              <w:rPr>
                <w:rFonts w:eastAsia="Times New Roman"/>
                <w:noProof/>
              </w:rPr>
            </w:pPr>
            <w:r>
              <w:rPr>
                <w:noProof/>
              </w:rPr>
              <w:t>Étape</w:t>
            </w:r>
          </w:p>
        </w:tc>
        <w:tc>
          <w:tcPr>
            <w:tcW w:w="1176" w:type="dxa"/>
            <w:tcBorders>
              <w:top w:val="single" w:sz="4" w:space="0" w:color="auto"/>
              <w:left w:val="nil"/>
              <w:bottom w:val="single" w:sz="4" w:space="0" w:color="auto"/>
              <w:right w:val="single" w:sz="4" w:space="0" w:color="auto"/>
            </w:tcBorders>
            <w:shd w:val="clear" w:color="auto" w:fill="C6EFCE"/>
            <w:noWrap/>
          </w:tcPr>
          <w:p w14:paraId="04490CFF" w14:textId="77777777" w:rsidR="00A00259" w:rsidRDefault="00371282">
            <w:pPr>
              <w:pStyle w:val="P68B1DB1-Normal12"/>
              <w:spacing w:after="0" w:line="240" w:lineRule="auto"/>
              <w:rPr>
                <w:rFonts w:eastAsia="Times New Roman"/>
                <w:noProof/>
              </w:rPr>
            </w:pPr>
            <w:r>
              <w:rPr>
                <w:noProof/>
              </w:rPr>
              <w:t>Réformer l'imposition des travailleurs indépendants et le droit de timbre.</w:t>
            </w:r>
          </w:p>
        </w:tc>
        <w:tc>
          <w:tcPr>
            <w:tcW w:w="1984" w:type="dxa"/>
            <w:tcBorders>
              <w:top w:val="single" w:sz="4" w:space="0" w:color="auto"/>
              <w:left w:val="nil"/>
              <w:bottom w:val="single" w:sz="4" w:space="0" w:color="auto"/>
              <w:right w:val="single" w:sz="4" w:space="0" w:color="auto"/>
            </w:tcBorders>
            <w:shd w:val="clear" w:color="auto" w:fill="C6EFCE"/>
            <w:noWrap/>
          </w:tcPr>
          <w:p w14:paraId="018432B6" w14:textId="77777777" w:rsidR="00A00259" w:rsidRDefault="00371282">
            <w:pPr>
              <w:pStyle w:val="P68B1DB1-Normal12"/>
              <w:spacing w:after="0" w:line="240" w:lineRule="auto"/>
              <w:rPr>
                <w:rFonts w:eastAsia="Times New Roman"/>
                <w:noProof/>
              </w:rPr>
            </w:pPr>
            <w:r>
              <w:rPr>
                <w:noProof/>
              </w:rPr>
              <w:t>Adoption d’un cadre juridique révisé relatif à la fiscalité des travailleurs indépendants et remplacement du droit de timbre par une taxe numérique.</w:t>
            </w:r>
          </w:p>
        </w:tc>
        <w:tc>
          <w:tcPr>
            <w:tcW w:w="866" w:type="dxa"/>
            <w:tcBorders>
              <w:top w:val="single" w:sz="4" w:space="0" w:color="auto"/>
              <w:left w:val="nil"/>
              <w:bottom w:val="single" w:sz="4" w:space="0" w:color="auto"/>
              <w:right w:val="single" w:sz="4" w:space="0" w:color="auto"/>
            </w:tcBorders>
            <w:shd w:val="clear" w:color="auto" w:fill="C6EFCE"/>
            <w:noWrap/>
          </w:tcPr>
          <w:p w14:paraId="479A19B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7DD8E0F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668" w:type="dxa"/>
            <w:tcBorders>
              <w:top w:val="single" w:sz="4" w:space="0" w:color="auto"/>
              <w:left w:val="nil"/>
              <w:bottom w:val="single" w:sz="4" w:space="0" w:color="auto"/>
              <w:right w:val="single" w:sz="4" w:space="0" w:color="auto"/>
            </w:tcBorders>
            <w:shd w:val="clear" w:color="auto" w:fill="C6EFCE"/>
            <w:noWrap/>
          </w:tcPr>
          <w:p w14:paraId="043B291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6CA51F2A" w14:textId="77777777" w:rsidR="00A00259" w:rsidRDefault="00371282">
            <w:pPr>
              <w:pStyle w:val="P68B1DB1-Normal12"/>
              <w:spacing w:after="0" w:line="240" w:lineRule="auto"/>
              <w:rPr>
                <w:rFonts w:eastAsia="Times New Roman"/>
                <w:noProof/>
              </w:rPr>
            </w:pPr>
            <w:r>
              <w:rPr>
                <w:noProof/>
              </w:rPr>
              <w:t>T2</w:t>
            </w:r>
          </w:p>
        </w:tc>
        <w:tc>
          <w:tcPr>
            <w:tcW w:w="708" w:type="dxa"/>
            <w:tcBorders>
              <w:top w:val="single" w:sz="4" w:space="0" w:color="auto"/>
              <w:left w:val="nil"/>
              <w:bottom w:val="single" w:sz="4" w:space="0" w:color="auto"/>
              <w:right w:val="single" w:sz="4" w:space="0" w:color="auto"/>
            </w:tcBorders>
            <w:shd w:val="clear" w:color="auto" w:fill="C6EFCE"/>
            <w:noWrap/>
          </w:tcPr>
          <w:p w14:paraId="15A9821A" w14:textId="77777777" w:rsidR="00A00259" w:rsidRDefault="00371282">
            <w:pPr>
              <w:pStyle w:val="P68B1DB1-Normal12"/>
              <w:spacing w:after="0" w:line="240" w:lineRule="auto"/>
              <w:rPr>
                <w:rFonts w:eastAsia="Times New Roman"/>
                <w:noProof/>
              </w:rPr>
            </w:pPr>
            <w:r>
              <w:rPr>
                <w:noProof/>
              </w:rPr>
              <w:t>2024</w:t>
            </w:r>
          </w:p>
        </w:tc>
        <w:tc>
          <w:tcPr>
            <w:tcW w:w="4830" w:type="dxa"/>
            <w:tcBorders>
              <w:top w:val="single" w:sz="4" w:space="0" w:color="auto"/>
              <w:left w:val="nil"/>
              <w:bottom w:val="single" w:sz="4" w:space="0" w:color="auto"/>
              <w:right w:val="single" w:sz="4" w:space="0" w:color="auto"/>
            </w:tcBorders>
            <w:shd w:val="clear" w:color="auto" w:fill="C6EFCE"/>
            <w:noWrap/>
          </w:tcPr>
          <w:p w14:paraId="22F0CC08" w14:textId="77777777" w:rsidR="00A00259" w:rsidRDefault="00371282">
            <w:pPr>
              <w:pStyle w:val="P68B1DB1-Normal12"/>
              <w:spacing w:after="0" w:line="240" w:lineRule="auto"/>
              <w:rPr>
                <w:rFonts w:eastAsia="Times New Roman"/>
                <w:noProof/>
              </w:rPr>
            </w:pPr>
            <w:r>
              <w:rPr>
                <w:noProof/>
              </w:rPr>
              <w:t>Entrée en vigueur du droit primaire et du droit dérivé visant à réformer l’imposition des travailleurs indépendants et à permettre la réduction progressive de la taxe sur les frais généraux des travailleurs indépendants (τέλος επιτηδεύματος). Il s’agira notamment de fixer de nouvelles exigences en matière de rapports obligatoires sur la manière dont les dépenses et les recettes sont déclarées par l’intermédiaire de myDATA.</w:t>
            </w:r>
          </w:p>
          <w:p w14:paraId="0AD0054F" w14:textId="77777777" w:rsidR="00A00259" w:rsidRDefault="00A00259">
            <w:pPr>
              <w:spacing w:after="0" w:line="240" w:lineRule="auto"/>
              <w:rPr>
                <w:rFonts w:ascii="Times New Roman" w:eastAsia="Times New Roman" w:hAnsi="Times New Roman" w:cs="Times New Roman"/>
                <w:noProof/>
                <w:color w:val="006100"/>
                <w:sz w:val="18"/>
                <w:szCs w:val="18"/>
              </w:rPr>
            </w:pPr>
          </w:p>
          <w:p w14:paraId="6968563A" w14:textId="77777777" w:rsidR="00A00259" w:rsidRDefault="00371282">
            <w:pPr>
              <w:pStyle w:val="P68B1DB1-Normal12"/>
              <w:spacing w:after="0" w:line="240" w:lineRule="auto"/>
              <w:rPr>
                <w:rFonts w:eastAsia="Times New Roman"/>
                <w:noProof/>
              </w:rPr>
            </w:pPr>
            <w:r>
              <w:rPr>
                <w:noProof/>
              </w:rPr>
              <w:t>Entrée en vigueur du droit primaire et du droit dérivé pour remplacer le droit de timbre existant par une nouvelle taxe numérique.</w:t>
            </w:r>
          </w:p>
        </w:tc>
      </w:tr>
      <w:tr w:rsidR="00A00259" w14:paraId="7AC3B276" w14:textId="77777777">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1D800F6D" w14:textId="77777777" w:rsidR="00A00259" w:rsidRDefault="00371282">
            <w:pPr>
              <w:pStyle w:val="P68B1DB1-Normal12"/>
              <w:spacing w:after="0" w:line="240" w:lineRule="auto"/>
              <w:rPr>
                <w:rFonts w:eastAsia="Times New Roman"/>
                <w:noProof/>
              </w:rPr>
            </w:pPr>
            <w:r>
              <w:rPr>
                <w:noProof/>
              </w:rPr>
              <w:t>339</w:t>
            </w:r>
          </w:p>
        </w:tc>
        <w:tc>
          <w:tcPr>
            <w:tcW w:w="1974" w:type="dxa"/>
            <w:tcBorders>
              <w:top w:val="single" w:sz="4" w:space="0" w:color="auto"/>
              <w:left w:val="nil"/>
              <w:bottom w:val="single" w:sz="4" w:space="0" w:color="auto"/>
              <w:right w:val="single" w:sz="4" w:space="0" w:color="auto"/>
            </w:tcBorders>
            <w:shd w:val="clear" w:color="auto" w:fill="C6EFCE"/>
            <w:noWrap/>
          </w:tcPr>
          <w:p w14:paraId="54DC7E18" w14:textId="77777777" w:rsidR="00A00259" w:rsidRDefault="00371282">
            <w:pPr>
              <w:pStyle w:val="P68B1DB1-Normal12"/>
              <w:spacing w:after="0" w:line="240" w:lineRule="auto"/>
              <w:rPr>
                <w:rFonts w:eastAsia="Times New Roman"/>
                <w:noProof/>
              </w:rPr>
            </w:pPr>
            <w:r>
              <w:rPr>
                <w:noProof/>
              </w:rPr>
              <w:t>12 - 4.1. Rendre les impôts plus propices à la croissance et améliorer l'administration fiscale et le recouvrement des impôts – 16985_Modifications du cadre de la politique fiscale de la Grèce</w:t>
            </w:r>
          </w:p>
        </w:tc>
        <w:tc>
          <w:tcPr>
            <w:tcW w:w="1172" w:type="dxa"/>
            <w:tcBorders>
              <w:top w:val="single" w:sz="4" w:space="0" w:color="auto"/>
              <w:left w:val="nil"/>
              <w:bottom w:val="single" w:sz="4" w:space="0" w:color="auto"/>
              <w:right w:val="single" w:sz="4" w:space="0" w:color="auto"/>
            </w:tcBorders>
            <w:shd w:val="clear" w:color="auto" w:fill="C6EFCE"/>
            <w:noWrap/>
          </w:tcPr>
          <w:p w14:paraId="29DE5316" w14:textId="77777777" w:rsidR="00A00259" w:rsidRDefault="00371282">
            <w:pPr>
              <w:pStyle w:val="P68B1DB1-Normal12"/>
              <w:spacing w:after="0" w:line="240" w:lineRule="auto"/>
              <w:rPr>
                <w:rFonts w:eastAsia="Times New Roman"/>
                <w:noProof/>
              </w:rPr>
            </w:pPr>
            <w:r>
              <w:rPr>
                <w:noProof/>
              </w:rPr>
              <w:t>Étape</w:t>
            </w:r>
          </w:p>
        </w:tc>
        <w:tc>
          <w:tcPr>
            <w:tcW w:w="1176" w:type="dxa"/>
            <w:tcBorders>
              <w:top w:val="single" w:sz="4" w:space="0" w:color="auto"/>
              <w:left w:val="nil"/>
              <w:bottom w:val="single" w:sz="4" w:space="0" w:color="auto"/>
              <w:right w:val="single" w:sz="4" w:space="0" w:color="auto"/>
            </w:tcBorders>
            <w:shd w:val="clear" w:color="auto" w:fill="C6EFCE"/>
            <w:noWrap/>
          </w:tcPr>
          <w:p w14:paraId="512629D7" w14:textId="77777777" w:rsidR="00A00259" w:rsidRDefault="00371282">
            <w:pPr>
              <w:pStyle w:val="P68B1DB1-Normal12"/>
              <w:spacing w:after="0" w:line="240" w:lineRule="auto"/>
              <w:rPr>
                <w:rFonts w:eastAsia="Times New Roman"/>
                <w:noProof/>
              </w:rPr>
            </w:pPr>
            <w:r>
              <w:rPr>
                <w:noProof/>
              </w:rPr>
              <w:t>Renforcer l'autonomie opérationnelle de l'Autorité indépendante des recettes publiques (AIPR)</w:t>
            </w:r>
          </w:p>
        </w:tc>
        <w:tc>
          <w:tcPr>
            <w:tcW w:w="1984" w:type="dxa"/>
            <w:tcBorders>
              <w:top w:val="single" w:sz="4" w:space="0" w:color="auto"/>
              <w:left w:val="nil"/>
              <w:bottom w:val="single" w:sz="4" w:space="0" w:color="auto"/>
              <w:right w:val="single" w:sz="4" w:space="0" w:color="auto"/>
            </w:tcBorders>
            <w:shd w:val="clear" w:color="auto" w:fill="C6EFCE"/>
            <w:noWrap/>
          </w:tcPr>
          <w:p w14:paraId="401FF572" w14:textId="77777777" w:rsidR="00A00259" w:rsidRDefault="00371282">
            <w:pPr>
              <w:pStyle w:val="P68B1DB1-Normal12"/>
              <w:spacing w:after="0" w:line="240" w:lineRule="auto"/>
              <w:rPr>
                <w:rFonts w:eastAsia="Times New Roman"/>
                <w:noProof/>
              </w:rPr>
            </w:pPr>
            <w:r>
              <w:rPr>
                <w:noProof/>
              </w:rPr>
              <w:t>Cadre juridique révisé pour clarifier les compétences de l'IAPR et du ministère de la gouvernance numérique.</w:t>
            </w:r>
          </w:p>
          <w:p w14:paraId="2517F62D" w14:textId="77777777" w:rsidR="00A00259" w:rsidRDefault="00A00259">
            <w:pPr>
              <w:spacing w:after="0" w:line="240" w:lineRule="auto"/>
              <w:rPr>
                <w:rFonts w:ascii="Times New Roman" w:eastAsia="Times New Roman" w:hAnsi="Times New Roman" w:cs="Times New Roman"/>
                <w:noProof/>
                <w:color w:val="006100"/>
                <w:sz w:val="18"/>
                <w:szCs w:val="18"/>
              </w:rPr>
            </w:pPr>
          </w:p>
          <w:p w14:paraId="234BD512" w14:textId="77777777" w:rsidR="00A00259" w:rsidRDefault="00371282">
            <w:pPr>
              <w:pStyle w:val="P68B1DB1-Normal12"/>
              <w:spacing w:after="0" w:line="240" w:lineRule="auto"/>
              <w:rPr>
                <w:rFonts w:eastAsia="Times New Roman"/>
                <w:noProof/>
              </w:rPr>
            </w:pPr>
            <w:r>
              <w:rPr>
                <w:noProof/>
              </w:rPr>
              <w:t>Décision de l'IAPR définissant de nouveaux indicateurs de performance clés pour l'IAPR.</w:t>
            </w:r>
          </w:p>
          <w:p w14:paraId="2F39DA46" w14:textId="77777777" w:rsidR="00A00259" w:rsidRDefault="00A00259">
            <w:pPr>
              <w:spacing w:after="0" w:line="240" w:lineRule="auto"/>
              <w:rPr>
                <w:rFonts w:ascii="Times New Roman" w:eastAsia="Times New Roman" w:hAnsi="Times New Roman" w:cs="Times New Roman"/>
                <w:noProof/>
                <w:color w:val="006100"/>
                <w:sz w:val="18"/>
                <w:szCs w:val="18"/>
              </w:rPr>
            </w:pPr>
          </w:p>
          <w:p w14:paraId="597774E3" w14:textId="77777777" w:rsidR="00A00259" w:rsidRDefault="00371282">
            <w:pPr>
              <w:pStyle w:val="P68B1DB1-Normal12"/>
              <w:spacing w:after="0" w:line="240" w:lineRule="auto"/>
              <w:rPr>
                <w:noProof/>
              </w:rPr>
            </w:pPr>
            <w:r>
              <w:rPr>
                <w:noProof/>
              </w:rPr>
              <w:t xml:space="preserve">Signature de l’accord de niveau de service, y compris l’obligation d’établir un rapport annuel de mise en œuvre, à compter de l’année suivante. </w:t>
            </w:r>
          </w:p>
        </w:tc>
        <w:tc>
          <w:tcPr>
            <w:tcW w:w="866" w:type="dxa"/>
            <w:tcBorders>
              <w:top w:val="single" w:sz="4" w:space="0" w:color="auto"/>
              <w:left w:val="nil"/>
              <w:bottom w:val="single" w:sz="4" w:space="0" w:color="auto"/>
              <w:right w:val="single" w:sz="4" w:space="0" w:color="auto"/>
            </w:tcBorders>
            <w:shd w:val="clear" w:color="auto" w:fill="C6EFCE"/>
            <w:noWrap/>
          </w:tcPr>
          <w:p w14:paraId="56CC10E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6DB1C2C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668" w:type="dxa"/>
            <w:tcBorders>
              <w:top w:val="single" w:sz="4" w:space="0" w:color="auto"/>
              <w:left w:val="nil"/>
              <w:bottom w:val="single" w:sz="4" w:space="0" w:color="auto"/>
              <w:right w:val="single" w:sz="4" w:space="0" w:color="auto"/>
            </w:tcBorders>
            <w:shd w:val="clear" w:color="auto" w:fill="C6EFCE"/>
            <w:noWrap/>
          </w:tcPr>
          <w:p w14:paraId="578A9AC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7B614EA9" w14:textId="77777777" w:rsidR="00A00259" w:rsidRDefault="00371282">
            <w:pPr>
              <w:pStyle w:val="P68B1DB1-Normal12"/>
              <w:spacing w:after="0" w:line="240" w:lineRule="auto"/>
              <w:rPr>
                <w:rFonts w:eastAsia="Times New Roman"/>
                <w:noProof/>
              </w:rPr>
            </w:pPr>
            <w:r>
              <w:rPr>
                <w:noProof/>
              </w:rPr>
              <w:t>T2</w:t>
            </w:r>
          </w:p>
        </w:tc>
        <w:tc>
          <w:tcPr>
            <w:tcW w:w="708" w:type="dxa"/>
            <w:tcBorders>
              <w:top w:val="single" w:sz="4" w:space="0" w:color="auto"/>
              <w:left w:val="nil"/>
              <w:bottom w:val="single" w:sz="4" w:space="0" w:color="auto"/>
              <w:right w:val="single" w:sz="4" w:space="0" w:color="auto"/>
            </w:tcBorders>
            <w:shd w:val="clear" w:color="auto" w:fill="C6EFCE"/>
            <w:noWrap/>
          </w:tcPr>
          <w:p w14:paraId="5F139F55" w14:textId="77777777" w:rsidR="00A00259" w:rsidRDefault="00371282">
            <w:pPr>
              <w:pStyle w:val="P68B1DB1-Normal12"/>
              <w:spacing w:after="0" w:line="240" w:lineRule="auto"/>
              <w:rPr>
                <w:rFonts w:eastAsia="Times New Roman"/>
                <w:noProof/>
              </w:rPr>
            </w:pPr>
            <w:r>
              <w:rPr>
                <w:noProof/>
              </w:rPr>
              <w:t>2024</w:t>
            </w:r>
          </w:p>
        </w:tc>
        <w:tc>
          <w:tcPr>
            <w:tcW w:w="4830" w:type="dxa"/>
            <w:tcBorders>
              <w:top w:val="single" w:sz="4" w:space="0" w:color="auto"/>
              <w:left w:val="nil"/>
              <w:bottom w:val="single" w:sz="4" w:space="0" w:color="auto"/>
              <w:right w:val="single" w:sz="4" w:space="0" w:color="auto"/>
            </w:tcBorders>
            <w:shd w:val="clear" w:color="auto" w:fill="C6EFCE"/>
            <w:noWrap/>
          </w:tcPr>
          <w:p w14:paraId="0ED45620" w14:textId="77777777" w:rsidR="00A00259" w:rsidRDefault="00371282">
            <w:pPr>
              <w:pStyle w:val="P68B1DB1-Normal12"/>
              <w:spacing w:after="0" w:line="240" w:lineRule="auto"/>
              <w:rPr>
                <w:noProof/>
              </w:rPr>
            </w:pPr>
            <w:r>
              <w:rPr>
                <w:noProof/>
              </w:rPr>
              <w:t>Entrée en vigueur de la législation habilitante et signature d'un accord global de niveau de service qui confirme les responsabilités et la répartition des ressources entre l'IAPR et le ministère de la gouvernance numérique en ce qui concerne les licences de logiciels informatiques et de stockage, les services Web et la gestion de bases de données. L'accord de niveau de service comprend une disposition permettant aux deux autorités de produire conjointement un rapport annuel de mise en œuvre, à compter de l'année suivante.</w:t>
            </w:r>
          </w:p>
          <w:p w14:paraId="02F8BFBA" w14:textId="77777777" w:rsidR="00A00259" w:rsidRDefault="00A00259">
            <w:pPr>
              <w:spacing w:after="0" w:line="240" w:lineRule="auto"/>
              <w:rPr>
                <w:rFonts w:ascii="Times New Roman" w:eastAsia="Times New Roman" w:hAnsi="Times New Roman" w:cs="Times New Roman"/>
                <w:noProof/>
                <w:color w:val="006100"/>
                <w:sz w:val="18"/>
                <w:szCs w:val="18"/>
              </w:rPr>
            </w:pPr>
          </w:p>
          <w:p w14:paraId="1BDFFB98" w14:textId="77777777" w:rsidR="00A00259" w:rsidRDefault="00371282">
            <w:pPr>
              <w:pStyle w:val="P68B1DB1-Normal12"/>
              <w:spacing w:after="0" w:line="240" w:lineRule="auto"/>
              <w:rPr>
                <w:rFonts w:eastAsia="Times New Roman"/>
                <w:noProof/>
              </w:rPr>
            </w:pPr>
            <w:r>
              <w:rPr>
                <w:noProof/>
              </w:rPr>
              <w:t>Décision relative à l'examen approfondi et approfondi définissant de nouveaux indicateurs de performance clés, notamment en ce qui concerne l'efficacité de l'audit, pour l'examen approfondi et approfondi; et ii) mettre en place une ou plusieurs enquêtes annuelles de satisfaction des clients.</w:t>
            </w:r>
          </w:p>
        </w:tc>
      </w:tr>
      <w:tr w:rsidR="00A00259" w14:paraId="4A85CB2F" w14:textId="77777777">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40A24B35" w14:textId="77777777" w:rsidR="00A00259" w:rsidRDefault="00371282">
            <w:pPr>
              <w:pStyle w:val="P68B1DB1-Normal12"/>
              <w:spacing w:after="0" w:line="240" w:lineRule="auto"/>
              <w:rPr>
                <w:rFonts w:eastAsia="Times New Roman"/>
                <w:noProof/>
              </w:rPr>
            </w:pPr>
            <w:r>
              <w:rPr>
                <w:noProof/>
              </w:rPr>
              <w:t>340</w:t>
            </w:r>
          </w:p>
        </w:tc>
        <w:tc>
          <w:tcPr>
            <w:tcW w:w="1974" w:type="dxa"/>
            <w:tcBorders>
              <w:top w:val="single" w:sz="4" w:space="0" w:color="auto"/>
              <w:left w:val="nil"/>
              <w:bottom w:val="single" w:sz="4" w:space="0" w:color="auto"/>
              <w:right w:val="single" w:sz="4" w:space="0" w:color="auto"/>
            </w:tcBorders>
            <w:shd w:val="clear" w:color="auto" w:fill="C6EFCE"/>
            <w:noWrap/>
          </w:tcPr>
          <w:p w14:paraId="2D2C114A" w14:textId="77777777" w:rsidR="00A00259" w:rsidRDefault="00371282">
            <w:pPr>
              <w:pStyle w:val="P68B1DB1-Normal12"/>
              <w:spacing w:after="0" w:line="240" w:lineRule="auto"/>
              <w:rPr>
                <w:rFonts w:eastAsia="Times New Roman"/>
                <w:noProof/>
              </w:rPr>
            </w:pPr>
            <w:r>
              <w:rPr>
                <w:noProof/>
              </w:rPr>
              <w:t>12 - 4.1. Rendre les impôts plus propices à la croissance et améliorer l'administration fiscale et le recouvrement des impôts – 16985_Modifications du cadre de la politique fiscale de la Grèce</w:t>
            </w:r>
          </w:p>
        </w:tc>
        <w:tc>
          <w:tcPr>
            <w:tcW w:w="1172" w:type="dxa"/>
            <w:tcBorders>
              <w:top w:val="single" w:sz="4" w:space="0" w:color="auto"/>
              <w:left w:val="nil"/>
              <w:bottom w:val="single" w:sz="4" w:space="0" w:color="auto"/>
              <w:right w:val="single" w:sz="4" w:space="0" w:color="auto"/>
            </w:tcBorders>
            <w:shd w:val="clear" w:color="auto" w:fill="C6EFCE"/>
            <w:noWrap/>
          </w:tcPr>
          <w:p w14:paraId="0E9FFFFB" w14:textId="77777777" w:rsidR="00A00259" w:rsidRDefault="00371282">
            <w:pPr>
              <w:pStyle w:val="P68B1DB1-Normal12"/>
              <w:spacing w:after="0" w:line="240" w:lineRule="auto"/>
              <w:rPr>
                <w:rFonts w:eastAsia="Times New Roman"/>
                <w:noProof/>
              </w:rPr>
            </w:pPr>
            <w:r>
              <w:rPr>
                <w:noProof/>
              </w:rPr>
              <w:t>Étape</w:t>
            </w:r>
          </w:p>
        </w:tc>
        <w:tc>
          <w:tcPr>
            <w:tcW w:w="1176" w:type="dxa"/>
            <w:tcBorders>
              <w:top w:val="single" w:sz="4" w:space="0" w:color="auto"/>
              <w:left w:val="nil"/>
              <w:bottom w:val="single" w:sz="4" w:space="0" w:color="auto"/>
              <w:right w:val="single" w:sz="4" w:space="0" w:color="auto"/>
            </w:tcBorders>
            <w:shd w:val="clear" w:color="auto" w:fill="C6EFCE"/>
            <w:noWrap/>
          </w:tcPr>
          <w:p w14:paraId="2B2BE739" w14:textId="77777777" w:rsidR="00A00259" w:rsidRDefault="00371282">
            <w:pPr>
              <w:pStyle w:val="P68B1DB1-Normal12"/>
              <w:spacing w:after="0" w:line="240" w:lineRule="auto"/>
              <w:rPr>
                <w:rFonts w:eastAsia="Times New Roman"/>
                <w:noProof/>
              </w:rPr>
            </w:pPr>
            <w:r>
              <w:rPr>
                <w:noProof/>
              </w:rPr>
              <w:t xml:space="preserve">Lutter contre l'évasion fiscale en utilisant myDATA à des fins d'impôt sur le revenu. </w:t>
            </w:r>
          </w:p>
        </w:tc>
        <w:tc>
          <w:tcPr>
            <w:tcW w:w="1984" w:type="dxa"/>
            <w:tcBorders>
              <w:top w:val="single" w:sz="4" w:space="0" w:color="auto"/>
              <w:left w:val="nil"/>
              <w:bottom w:val="single" w:sz="4" w:space="0" w:color="auto"/>
              <w:right w:val="single" w:sz="4" w:space="0" w:color="auto"/>
            </w:tcBorders>
            <w:shd w:val="clear" w:color="auto" w:fill="C6EFCE"/>
            <w:noWrap/>
          </w:tcPr>
          <w:p w14:paraId="4E524189" w14:textId="77777777" w:rsidR="00A00259" w:rsidRDefault="00371282">
            <w:pPr>
              <w:pStyle w:val="P68B1DB1-Normal12"/>
              <w:spacing w:after="0" w:line="240" w:lineRule="auto"/>
              <w:rPr>
                <w:rFonts w:eastAsia="Times New Roman"/>
                <w:noProof/>
              </w:rPr>
            </w:pPr>
            <w:r>
              <w:rPr>
                <w:noProof/>
              </w:rPr>
              <w:t>Cadre juridique révisé adopté pour établir de nouvelles exigences de déclaration myDATA et permettre l'utilisation de myDATA aux fins de l'impôt sur le revenu.</w:t>
            </w:r>
          </w:p>
        </w:tc>
        <w:tc>
          <w:tcPr>
            <w:tcW w:w="866" w:type="dxa"/>
            <w:tcBorders>
              <w:top w:val="single" w:sz="4" w:space="0" w:color="auto"/>
              <w:left w:val="nil"/>
              <w:bottom w:val="single" w:sz="4" w:space="0" w:color="auto"/>
              <w:right w:val="single" w:sz="4" w:space="0" w:color="auto"/>
            </w:tcBorders>
            <w:shd w:val="clear" w:color="auto" w:fill="C6EFCE"/>
            <w:noWrap/>
          </w:tcPr>
          <w:p w14:paraId="44A8F7B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2134043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668" w:type="dxa"/>
            <w:tcBorders>
              <w:top w:val="single" w:sz="4" w:space="0" w:color="auto"/>
              <w:left w:val="nil"/>
              <w:bottom w:val="single" w:sz="4" w:space="0" w:color="auto"/>
              <w:right w:val="single" w:sz="4" w:space="0" w:color="auto"/>
            </w:tcBorders>
            <w:shd w:val="clear" w:color="auto" w:fill="C6EFCE"/>
            <w:noWrap/>
          </w:tcPr>
          <w:p w14:paraId="6393936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2F8B41FE" w14:textId="77777777" w:rsidR="00A00259" w:rsidRDefault="00371282">
            <w:pPr>
              <w:pStyle w:val="P68B1DB1-Normal12"/>
              <w:spacing w:after="0" w:line="240" w:lineRule="auto"/>
              <w:rPr>
                <w:rFonts w:eastAsia="Times New Roman"/>
                <w:noProof/>
              </w:rPr>
            </w:pPr>
            <w:r>
              <w:rPr>
                <w:noProof/>
              </w:rPr>
              <w:t>T2</w:t>
            </w:r>
          </w:p>
        </w:tc>
        <w:tc>
          <w:tcPr>
            <w:tcW w:w="708" w:type="dxa"/>
            <w:tcBorders>
              <w:top w:val="single" w:sz="4" w:space="0" w:color="auto"/>
              <w:left w:val="nil"/>
              <w:bottom w:val="single" w:sz="4" w:space="0" w:color="auto"/>
              <w:right w:val="single" w:sz="4" w:space="0" w:color="auto"/>
            </w:tcBorders>
            <w:shd w:val="clear" w:color="auto" w:fill="C6EFCE"/>
            <w:noWrap/>
          </w:tcPr>
          <w:p w14:paraId="0C6F8A1D" w14:textId="77777777" w:rsidR="00A00259" w:rsidRDefault="00371282">
            <w:pPr>
              <w:pStyle w:val="P68B1DB1-Normal12"/>
              <w:spacing w:after="0" w:line="240" w:lineRule="auto"/>
              <w:rPr>
                <w:rFonts w:eastAsia="Times New Roman"/>
                <w:noProof/>
              </w:rPr>
            </w:pPr>
            <w:r>
              <w:rPr>
                <w:noProof/>
              </w:rPr>
              <w:t>2024</w:t>
            </w:r>
          </w:p>
        </w:tc>
        <w:tc>
          <w:tcPr>
            <w:tcW w:w="4830" w:type="dxa"/>
            <w:tcBorders>
              <w:top w:val="single" w:sz="4" w:space="0" w:color="auto"/>
              <w:left w:val="nil"/>
              <w:bottom w:val="single" w:sz="4" w:space="0" w:color="auto"/>
              <w:right w:val="single" w:sz="4" w:space="0" w:color="auto"/>
            </w:tcBorders>
            <w:shd w:val="clear" w:color="auto" w:fill="C6EFCE"/>
            <w:noWrap/>
          </w:tcPr>
          <w:p w14:paraId="2E123009" w14:textId="77777777" w:rsidR="00A00259" w:rsidRDefault="00371282">
            <w:pPr>
              <w:pStyle w:val="P68B1DB1-Normal12"/>
              <w:spacing w:after="0" w:line="240" w:lineRule="auto"/>
              <w:rPr>
                <w:rFonts w:eastAsia="Times New Roman"/>
                <w:noProof/>
              </w:rPr>
            </w:pPr>
            <w:r>
              <w:rPr>
                <w:noProof/>
              </w:rPr>
              <w:t xml:space="preserve">Entrée en vigueur du droit primaire et du droit dérivé </w:t>
            </w:r>
          </w:p>
          <w:p w14:paraId="0AC99746" w14:textId="77777777" w:rsidR="00A00259" w:rsidRDefault="00371282">
            <w:pPr>
              <w:pStyle w:val="P68B1DB1-Normal12"/>
              <w:spacing w:after="0" w:line="240" w:lineRule="auto"/>
              <w:rPr>
                <w:rFonts w:eastAsia="Times New Roman"/>
                <w:noProof/>
              </w:rPr>
            </w:pPr>
            <w:r>
              <w:rPr>
                <w:noProof/>
              </w:rPr>
              <w:t xml:space="preserve">permettre l’utilisation de la déclaration myDATA sur les entreprises (y compris les travailleurs indépendants) pour les déclarations d’impôt sur le revenu. </w:t>
            </w:r>
          </w:p>
          <w:p w14:paraId="72BD0F46" w14:textId="3AEC8E6E" w:rsidR="00A00259" w:rsidRDefault="00A00259">
            <w:pPr>
              <w:spacing w:after="0" w:line="240" w:lineRule="auto"/>
              <w:rPr>
                <w:rFonts w:ascii="Times New Roman" w:eastAsia="Times New Roman" w:hAnsi="Times New Roman" w:cs="Times New Roman"/>
                <w:noProof/>
                <w:color w:val="006100"/>
                <w:sz w:val="18"/>
                <w:szCs w:val="18"/>
              </w:rPr>
            </w:pPr>
          </w:p>
          <w:p w14:paraId="59FFEF22" w14:textId="77777777" w:rsidR="00A00259" w:rsidRDefault="00A00259">
            <w:pPr>
              <w:spacing w:after="0" w:line="240" w:lineRule="auto"/>
              <w:rPr>
                <w:rFonts w:ascii="Times New Roman" w:eastAsia="Times New Roman" w:hAnsi="Times New Roman" w:cs="Times New Roman"/>
                <w:noProof/>
                <w:color w:val="006100"/>
                <w:sz w:val="18"/>
                <w:szCs w:val="18"/>
              </w:rPr>
            </w:pPr>
          </w:p>
        </w:tc>
      </w:tr>
    </w:tbl>
    <w:p w14:paraId="09D0B021" w14:textId="77777777" w:rsidR="00A00259" w:rsidRDefault="00A00259">
      <w:pPr>
        <w:spacing w:before="120" w:after="120" w:line="240" w:lineRule="auto"/>
        <w:ind w:left="709"/>
        <w:jc w:val="both"/>
        <w:rPr>
          <w:rFonts w:ascii="Times New Roman" w:hAnsi="Times New Roman" w:cs="Times New Roman"/>
          <w:noProof/>
          <w:sz w:val="24"/>
        </w:rPr>
        <w:sectPr w:rsidR="00A00259">
          <w:headerReference w:type="even" r:id="rId264"/>
          <w:headerReference w:type="default" r:id="rId265"/>
          <w:footerReference w:type="even" r:id="rId266"/>
          <w:footerReference w:type="default" r:id="rId267"/>
          <w:headerReference w:type="first" r:id="rId268"/>
          <w:footerReference w:type="first" r:id="rId269"/>
          <w:pgSz w:w="16839" w:h="11907" w:orient="landscape"/>
          <w:pgMar w:top="1134" w:right="1134" w:bottom="1134" w:left="1134" w:header="567" w:footer="567" w:gutter="0"/>
          <w:cols w:space="720"/>
          <w:docGrid w:linePitch="360"/>
        </w:sectPr>
      </w:pPr>
    </w:p>
    <w:p w14:paraId="2601A49A" w14:textId="77777777" w:rsidR="00A00259" w:rsidRDefault="00371282">
      <w:pPr>
        <w:pStyle w:val="P68B1DB1-Normal48"/>
        <w:spacing w:before="120" w:after="120" w:line="240" w:lineRule="auto"/>
        <w:ind w:firstLine="6"/>
        <w:jc w:val="both"/>
        <w:outlineLvl w:val="3"/>
        <w:rPr>
          <w:rFonts w:cs="Times New Roman"/>
          <w:bCs/>
          <w:noProof/>
        </w:rPr>
      </w:pPr>
      <w:r>
        <w:rPr>
          <w:noProof/>
        </w:rPr>
        <w:t>M. ÉLÉMENT 4.2: MODERNISER L'ADMINISTRATION PUBLIQUE, Y COMPRIS LA VITESSE DE LA MISE EN ŒUVRE DES INVESTISSEMENTS PUBLICS, L'AMÉLIORATION DU CADRE DE MARCHÉS PUBLICS, LES MESURES DE RENFORCEMENT DES CAPACITÉS ET LA LUTTE CONTRE LA CORRUPTION</w:t>
      </w:r>
    </w:p>
    <w:p w14:paraId="28146DC8" w14:textId="77777777" w:rsidR="00A00259" w:rsidRDefault="00371282">
      <w:pPr>
        <w:pStyle w:val="P68B1DB1-Normal5"/>
        <w:spacing w:before="120" w:after="120" w:line="240" w:lineRule="auto"/>
        <w:jc w:val="both"/>
        <w:rPr>
          <w:rFonts w:cs="Times New Roman"/>
          <w:noProof/>
        </w:rPr>
      </w:pPr>
      <w:r>
        <w:rPr>
          <w:noProof/>
        </w:rPr>
        <w:t>Ce volet du plan grec pour la reprise et la résilience comprend un ensemble de réformes de grande ampleur ainsi que des investissements dans le fonctionnement de l’administration publique en vue d’améliorer la conception et la mise en œuvre des politiques. Ce volet comprend des mesures visant à moderniser l’administration publique au moyen d’actions spécifiques visant à renforcer la planification et la coordination des politiques et la gestion des ressources humaines, ainsi qu’à achever le cadastre national, qui devrait fournir un système d’enregistrement foncier efficace et assurer la sécurité juridique des droits de propriété. D’autres mesures visent à remédier au manque de préparation des projets pour les investissements publics (y compris la corruption) et à renforcer encore le domaine de la gestion des finances publiques. Ces réformes et investissements contribuent à relever les défis liés a) à l’administration publique numérique. Ce volet soutient la mise en œuvre des recommandations par pays sur les investissements publics et privés (recommandation par pays no 3 de 2020), les réformes structurelles visant à améliorer le fonctionnement de l’économie (recommandation par pays no 4 de 2020) et l’achèvement de la réforme en cours sur le cadastre qui a été poursuivie dans le cadre d’une surveillance renforcée (recommandation par pays no 3 de 2022 et recommandation par pays no 3 de 2023). 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32C45039" w14:textId="77777777" w:rsidR="00A00259" w:rsidRDefault="00371282">
      <w:pPr>
        <w:pStyle w:val="P68B1DB1-Normal6"/>
        <w:spacing w:before="120" w:after="120" w:line="240" w:lineRule="auto"/>
        <w:jc w:val="both"/>
        <w:rPr>
          <w:rFonts w:cs="Times New Roman"/>
          <w:bCs/>
          <w:i/>
          <w:iCs/>
          <w:noProof/>
          <w:color w:val="4F81BD"/>
        </w:rPr>
      </w:pPr>
      <w:r>
        <w:rPr>
          <w:noProof/>
        </w:rPr>
        <w:t>M.1. Description des réformes et des investissements pour le soutien financier non remboursable</w:t>
      </w:r>
    </w:p>
    <w:p w14:paraId="304667E2"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Réforme de l'administration publique (mesure ID 16972)</w:t>
      </w:r>
    </w:p>
    <w:p w14:paraId="180C2664" w14:textId="77777777" w:rsidR="00A00259" w:rsidRDefault="00371282">
      <w:pPr>
        <w:pStyle w:val="P68B1DB1-Normal7"/>
        <w:spacing w:before="120" w:after="120" w:line="240" w:lineRule="auto"/>
        <w:jc w:val="both"/>
        <w:rPr>
          <w:rFonts w:cs="Times New Roman"/>
          <w:noProof/>
        </w:rPr>
      </w:pPr>
      <w:r>
        <w:rPr>
          <w:noProof/>
        </w:rPr>
        <w:t>Cette réforme vise à poursuivre les efforts de modernisation de l'administration publique et à investir dans ses ressources humaines. La réforme consiste en des actions qui mettront en place des systèmes d’information à l’appui du cadre stratégique de planification des effectifs et des procédures de sélection du Conseil supérieur de sélection du personnel civil (ASEP) et mèneront à bien un programme de formation à grande échelle pour les fonctionnaires.</w:t>
      </w:r>
    </w:p>
    <w:p w14:paraId="25298347"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Lutte contre le commerce illicite et protection de la propriété intellectuelle (mesure ID 16703)</w:t>
      </w:r>
    </w:p>
    <w:p w14:paraId="449DF011" w14:textId="77777777" w:rsidR="00A00259" w:rsidRDefault="00371282">
      <w:pPr>
        <w:spacing w:before="120" w:after="120" w:line="240" w:lineRule="auto"/>
        <w:jc w:val="both"/>
        <w:rPr>
          <w:rFonts w:ascii="Times New Roman" w:hAnsi="Times New Roman" w:cs="Times New Roman"/>
          <w:noProof/>
          <w:sz w:val="24"/>
        </w:rPr>
      </w:pPr>
      <w:r>
        <w:rPr>
          <w:rFonts w:ascii="Times New Roman" w:hAnsi="Times New Roman"/>
          <w:noProof/>
          <w:sz w:val="24"/>
        </w:rPr>
        <w:t>L'objectif de cette réforme est d'améliorer la lutte contre le commerce illégal. La réforme consiste en</w:t>
      </w:r>
      <w:r>
        <w:rPr>
          <w:noProof/>
        </w:rPr>
        <w:t xml:space="preserve"> </w:t>
      </w:r>
      <w:r>
        <w:rPr>
          <w:rFonts w:ascii="Times New Roman" w:hAnsi="Times New Roman"/>
          <w:noProof/>
          <w:sz w:val="24"/>
        </w:rPr>
        <w:t xml:space="preserve">un système d'information, des postes de contrôle et une formation. </w:t>
      </w:r>
    </w:p>
    <w:p w14:paraId="7A0F9BA2"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Renforcement du cadre national de lutte contre la corruption (mesure ID 16952)</w:t>
      </w:r>
    </w:p>
    <w:p w14:paraId="43D27F6D" w14:textId="77777777" w:rsidR="00A00259" w:rsidRDefault="00371282">
      <w:pPr>
        <w:pStyle w:val="P68B1DB1-Normal5"/>
        <w:spacing w:before="120" w:after="120" w:line="240" w:lineRule="auto"/>
        <w:jc w:val="both"/>
        <w:rPr>
          <w:rFonts w:cs="Times New Roman"/>
          <w:noProof/>
        </w:rPr>
      </w:pPr>
      <w:r>
        <w:rPr>
          <w:noProof/>
        </w:rPr>
        <w:t>L'objectif de cette réforme est de contribuer à la détection et à la prévention de la corruption. La réforme consiste en des projets visant à soutenir les capacités numériques et d’infrastructure de l’autorité nationale de transparence.</w:t>
      </w:r>
    </w:p>
    <w:p w14:paraId="7D6F4FE3"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Renforcement du réseau d’aides d’État (mesure ID 16701)</w:t>
      </w:r>
    </w:p>
    <w:p w14:paraId="3258A8C2" w14:textId="77777777" w:rsidR="00A00259" w:rsidRDefault="00371282">
      <w:pPr>
        <w:pStyle w:val="P68B1DB1-Normal7"/>
        <w:spacing w:before="120" w:after="120" w:line="240" w:lineRule="auto"/>
        <w:jc w:val="both"/>
        <w:rPr>
          <w:noProof/>
        </w:rPr>
      </w:pPr>
      <w:r>
        <w:rPr>
          <w:noProof/>
        </w:rPr>
        <w:t>L’objectif de cette réforme est de renforcer la capacité du réseau d’unités chargées des aides d’État dans l’ensemble des ministères et d’accroître la numérisation de l’unité centrale des aides d’État en améliorant ses capacités technologiques et ses fonctionnalités opérationnelles. La réforme consiste en une révision du cadre juridique des aides d’État pour le fonctionnement du réseau central des aides d’État (CESANET), afin de renforcer les compétences de l’unité centrale des aides d’État et des unités décentralisées des aides d’État.</w:t>
      </w:r>
    </w:p>
    <w:p w14:paraId="0E4EE688" w14:textId="2020DEC4" w:rsidR="00A00259" w:rsidRDefault="00371282">
      <w:pPr>
        <w:pStyle w:val="P68B1DB1-Normal5"/>
        <w:spacing w:before="120" w:after="120" w:line="240" w:lineRule="auto"/>
        <w:jc w:val="both"/>
        <w:rPr>
          <w:rFonts w:cs="Times New Roman"/>
          <w:noProof/>
        </w:rPr>
      </w:pPr>
      <w:r>
        <w:rPr>
          <w:noProof/>
        </w:rPr>
        <w:br w:type="page"/>
      </w:r>
      <w:r>
        <w:rPr>
          <w:b/>
          <w:noProof/>
        </w:rPr>
        <w:t>Réforme:</w:t>
      </w:r>
      <w:r>
        <w:rPr>
          <w:noProof/>
        </w:rPr>
        <w:t xml:space="preserve"> Renforcement du cadre de lutte contre le blanchiment de capitaux et le financement du terrorisme (mesure ID 16702)</w:t>
      </w:r>
    </w:p>
    <w:p w14:paraId="03EEB0E6" w14:textId="77777777" w:rsidR="00A00259" w:rsidRDefault="00371282">
      <w:pPr>
        <w:pStyle w:val="P68B1DB1-Normal7"/>
        <w:spacing w:before="120" w:after="120" w:line="240" w:lineRule="auto"/>
        <w:jc w:val="both"/>
        <w:rPr>
          <w:rFonts w:cs="Times New Roman"/>
          <w:noProof/>
        </w:rPr>
      </w:pPr>
      <w:r>
        <w:rPr>
          <w:noProof/>
        </w:rPr>
        <w:t>La réforme concerne la mise en place d’une plateforme numérique pour la collecte de données statistiques détenues par les autorités judiciaires, de surveillance et répressives, ainsi que l’amélioration du registre central des bénéficiaires effectifs afin de faciliter l’accès direct des autorités compétentes aux informations sur les bénéficiaires effectifs. La mise en œuvre de la réforme est achevée au plus tard le 30 juin 2024.</w:t>
      </w:r>
    </w:p>
    <w:p w14:paraId="77051196"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Réforme comptable (mesure ID 16974)</w:t>
      </w:r>
    </w:p>
    <w:p w14:paraId="1880A3E0" w14:textId="77777777" w:rsidR="00A00259" w:rsidRDefault="00371282">
      <w:pPr>
        <w:pStyle w:val="P68B1DB1-Normal7"/>
        <w:spacing w:before="120" w:after="120" w:line="240" w:lineRule="auto"/>
        <w:jc w:val="both"/>
        <w:rPr>
          <w:rFonts w:cs="Times New Roman"/>
          <w:noProof/>
        </w:rPr>
      </w:pPr>
      <w:r>
        <w:rPr>
          <w:noProof/>
        </w:rPr>
        <w:t>L’objectif de cette réforme est de renforcer la capacité de la Grèce à produire des informations financières conformes aux normes comptables internationales et aux méthodes de comptabilité d’exercice. Cette mesure consiste à passer progressivement de la comptabilité de caisse modifiée à la comptabilité d'exercice et à l'information financière consolidée au sein des administrations publiques.</w:t>
      </w:r>
    </w:p>
    <w:p w14:paraId="1A1B8FEF"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Cadre institutionnel moderne pour les entreprises publiques (mesure ID 16657)</w:t>
      </w:r>
    </w:p>
    <w:p w14:paraId="2E6D8936" w14:textId="77777777" w:rsidR="00A00259" w:rsidRDefault="00371282">
      <w:pPr>
        <w:pStyle w:val="P68B1DB1-Normal7"/>
        <w:spacing w:before="120" w:after="120" w:line="240" w:lineRule="auto"/>
        <w:jc w:val="both"/>
        <w:rPr>
          <w:rFonts w:cs="Times New Roman"/>
          <w:noProof/>
        </w:rPr>
      </w:pPr>
      <w:r>
        <w:rPr>
          <w:noProof/>
        </w:rPr>
        <w:t>Cette réforme met en place un cadre juridique moderne pour le fonctionnement et la gestion des entreprises et organisations publiques. Elle définit des lignes directrices en matière de gouvernance d’entreprise et des règles spécifiques pour la gestion des entreprises publiques, telles que la nomination du président, des PDG et des administrateurs exécutifs par le conseil d’administration, ainsi que des dispositions relatives à la mise en place de comités d’audit interne afin d’assurer la transparence. La réforme met également en place un registre numérique pour enregistrer toutes les entreprises, organisations et autres entités juridiques auxquelles l’État participe, en promouvant un suivi et un contrôle efficaces de la participation de l’État. La mise en œuvre de la réforme est achevée au plus tard le 31 décembre 2022.</w:t>
      </w:r>
    </w:p>
    <w:p w14:paraId="3B3597BC"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Lutte efficace contre la corruption (mesure ID 16978)</w:t>
      </w:r>
    </w:p>
    <w:p w14:paraId="120AED34" w14:textId="77777777" w:rsidR="00A00259" w:rsidRDefault="00371282">
      <w:pPr>
        <w:pStyle w:val="P68B1DB1-Normal7"/>
        <w:spacing w:before="120" w:after="120" w:line="240" w:lineRule="auto"/>
        <w:jc w:val="both"/>
        <w:rPr>
          <w:rFonts w:cs="Times New Roman"/>
          <w:noProof/>
        </w:rPr>
      </w:pPr>
      <w:r>
        <w:rPr>
          <w:noProof/>
        </w:rPr>
        <w:t xml:space="preserve">La réforme procédera à une série d'amendements dans le cadre juridique de la Grèce, afin d'améliorer la réponse juridique à la corruption. Plus précisément, il couvre quatre domaines: i) les déclarations de patrimoine; ii) la protection des personnes qui signalent des violations du droit de l’Union; iii) Code pénal et Code de procédure pénale; et iv) </w:t>
      </w:r>
      <w:r>
        <w:rPr>
          <w:noProof/>
          <w:color w:val="000000" w:themeColor="text1"/>
        </w:rPr>
        <w:t>la codification de la législation relative aux partis politiques.</w:t>
      </w:r>
      <w:r>
        <w:rPr>
          <w:noProof/>
        </w:rPr>
        <w:t xml:space="preserve"> La mise en œuvre de la réforme est achevée au plus tard le 30 septembre 2022.</w:t>
      </w:r>
    </w:p>
    <w:p w14:paraId="483A9891"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Transformation de la gestion et de la surveillance budgétaires en matière de gouvernance (mesure ID 16705)</w:t>
      </w:r>
    </w:p>
    <w:p w14:paraId="0AFBC0C1" w14:textId="77777777" w:rsidR="00A00259" w:rsidRDefault="00371282">
      <w:pPr>
        <w:pStyle w:val="P68B1DB1-Normal7"/>
        <w:spacing w:before="120" w:after="120" w:line="240" w:lineRule="auto"/>
        <w:jc w:val="both"/>
        <w:rPr>
          <w:rFonts w:cs="Times New Roman"/>
          <w:noProof/>
        </w:rPr>
      </w:pPr>
      <w:r>
        <w:rPr>
          <w:noProof/>
        </w:rPr>
        <w:t>L'objectif de cet investissement est d'améliorer l'efficacité de la gestion des finances publiques. Cette mesure consiste en la mise en place d'un système de planification des ressources de l'entreprise publique (ERP) pour l'administration centrale.</w:t>
      </w:r>
    </w:p>
    <w:p w14:paraId="771E69ED" w14:textId="77777777" w:rsidR="00A00259" w:rsidRDefault="00371282">
      <w:pPr>
        <w:pStyle w:val="P68B1DB1-Normal5"/>
        <w:spacing w:before="120" w:after="120" w:line="240" w:lineRule="auto"/>
        <w:jc w:val="both"/>
        <w:rPr>
          <w:b/>
          <w:noProof/>
        </w:rPr>
      </w:pPr>
      <w:r>
        <w:rPr>
          <w:b/>
          <w:noProof/>
        </w:rPr>
        <w:t>Investissement:</w:t>
      </w:r>
      <w:r>
        <w:rPr>
          <w:noProof/>
        </w:rPr>
        <w:t xml:space="preserve"> Moderniser le Hellenic Consignment Deposit and Loans Fund (mesure ID 16940)</w:t>
      </w:r>
    </w:p>
    <w:p w14:paraId="64D2A3AE" w14:textId="77777777" w:rsidR="00A00259" w:rsidRDefault="00371282">
      <w:pPr>
        <w:pStyle w:val="P68B1DB1-Normal5"/>
        <w:spacing w:before="120" w:after="120" w:line="240" w:lineRule="auto"/>
        <w:jc w:val="both"/>
        <w:rPr>
          <w:rFonts w:cs="Times New Roman"/>
          <w:noProof/>
        </w:rPr>
      </w:pPr>
      <w:r>
        <w:rPr>
          <w:noProof/>
        </w:rPr>
        <w:t>L'objectif de cet investissement est d'accroître l'efficacité du Hellenic Consignment Deposit and Loans Fund. L'investissement consiste en un système de numérisation des archives et de gestion des documents, ainsi qu'un système d'information intégré pour le Fonds hellénique de dépôts et de prêts.</w:t>
      </w:r>
    </w:p>
    <w:p w14:paraId="7FDE2A57"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Professionnalisation du domaine des marchés publics (mesure ID 16711)</w:t>
      </w:r>
    </w:p>
    <w:p w14:paraId="090B4D89" w14:textId="7C591CA6" w:rsidR="00A00259" w:rsidRDefault="00371282">
      <w:pPr>
        <w:pStyle w:val="P68B1DB1-Normal7"/>
        <w:spacing w:before="120" w:after="120" w:line="240" w:lineRule="auto"/>
        <w:jc w:val="both"/>
        <w:rPr>
          <w:rFonts w:cs="Times New Roman"/>
          <w:noProof/>
        </w:rPr>
      </w:pPr>
      <w:r>
        <w:rPr>
          <w:noProof/>
        </w:rPr>
        <w:t xml:space="preserve">La réforme vise à améliorer le cadre des marchés publics en Grèce et à remédier à ses faiblesses actuelles. La réforme consiste en une certification lors de la participation à un programme de formation spécifique intitulé: «Certification des professionnels des marchés publics». </w:t>
      </w:r>
    </w:p>
    <w:p w14:paraId="11AA330D"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Amélioration de la planification et de la coordination des politiques (mesure ID 16981)</w:t>
      </w:r>
    </w:p>
    <w:p w14:paraId="497528A1" w14:textId="77777777" w:rsidR="00A00259" w:rsidRDefault="00371282">
      <w:pPr>
        <w:pStyle w:val="P68B1DB1-Normal7"/>
        <w:spacing w:before="120" w:after="120" w:line="240" w:lineRule="auto"/>
        <w:jc w:val="both"/>
        <w:rPr>
          <w:rFonts w:cs="Times New Roman"/>
          <w:noProof/>
        </w:rPr>
      </w:pPr>
      <w:r>
        <w:rPr>
          <w:noProof/>
        </w:rPr>
        <w:t>La réforme renforce la coordination, la planification et l'élaboration des politiques de l'administration centrale. Les actions spécifiques à mettre en œuvre sont i) la mise en place d’un mécanisme de suivi permettant de suivre les progrès accomplis pour déterminer si le droit dérivé a été adopté conformément au droit primaire; ii) la mise en place d’une plateforme électronique pour faciliter l’achèvement de l’analyse d’impact complétant chaque projet de loi; et iii) le lancement d’un programme de formation et d’une procédure d’accréditation connexe ciblant les fonctionnaires et visant à améliorer la qualité des analyses d’impact préparées. Le programme de formation aura recruté au moins 100 fonctionnaires pour son lancement qui aura lieu au quatrième trimestre 2022. La mise en œuvre de la réforme est achevée au plus tard le 30 juin 2023.</w:t>
      </w:r>
    </w:p>
    <w:p w14:paraId="2EA47717"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Achèvement du cadastre national (mesure ID: 16986)</w:t>
      </w:r>
    </w:p>
    <w:p w14:paraId="76797595" w14:textId="77777777" w:rsidR="00A00259" w:rsidRDefault="00371282">
      <w:pPr>
        <w:pStyle w:val="P68B1DB1-Normal8"/>
        <w:spacing w:before="120" w:after="120" w:line="240" w:lineRule="auto"/>
        <w:jc w:val="both"/>
        <w:rPr>
          <w:rFonts w:ascii="Times New Roman" w:hAnsi="Times New Roman" w:cs="Times New Roman"/>
          <w:i/>
          <w:iCs/>
          <w:noProof/>
          <w:color w:val="4F81BD"/>
        </w:rPr>
      </w:pPr>
      <w:r>
        <w:rPr>
          <w:rFonts w:ascii="Times New Roman" w:hAnsi="Times New Roman"/>
          <w:noProof/>
        </w:rPr>
        <w:t xml:space="preserve">L’objectif de la réforme est d’achever a) </w:t>
      </w:r>
      <w:r>
        <w:rPr>
          <w:rFonts w:asciiTheme="minorHAnsi" w:eastAsiaTheme="minorEastAsia" w:hAnsiTheme="minorHAnsi" w:cstheme="minorBidi"/>
          <w:noProof/>
        </w:rPr>
        <w:t>la</w:t>
      </w:r>
      <w:r>
        <w:rPr>
          <w:rFonts w:ascii="Times New Roman" w:hAnsi="Times New Roman"/>
          <w:noProof/>
        </w:rPr>
        <w:t xml:space="preserve"> cartographie adastrale dans toute la Grèce et b) la transition complète de l’ancien système d’enregistrement des biens immobiliers via l’ancienne structure des bureaux des hypothèques à la nouvelle agence «Cadastre hellénique». Il consiste en la cartographie de tous les droits de propriété en Grèce, et l'ouverture et le début de l'exploitation de l'ensemble des 17 bureaux cadastraux régionaux et 75 succursales en Grèce, conformément à la loi 4512/2018, et la fermeture de l'ensemble des 388 anciens bureaux hypothécaires.</w:t>
      </w:r>
    </w:p>
    <w:p w14:paraId="2CA0D93B" w14:textId="77777777" w:rsidR="00A00259" w:rsidRDefault="00A00259">
      <w:pPr>
        <w:spacing w:before="120" w:after="120" w:line="240" w:lineRule="auto"/>
        <w:ind w:left="709"/>
        <w:jc w:val="both"/>
        <w:rPr>
          <w:rFonts w:ascii="Times New Roman" w:hAnsi="Times New Roman" w:cs="Times New Roman"/>
          <w:noProof/>
          <w:sz w:val="24"/>
        </w:rPr>
      </w:pPr>
    </w:p>
    <w:p w14:paraId="31BA68E7" w14:textId="77777777" w:rsidR="00A00259" w:rsidRDefault="00A00259">
      <w:pPr>
        <w:spacing w:before="120" w:after="120" w:line="240" w:lineRule="auto"/>
        <w:ind w:left="709"/>
        <w:jc w:val="both"/>
        <w:rPr>
          <w:rFonts w:ascii="Times New Roman" w:hAnsi="Times New Roman" w:cs="Times New Roman"/>
          <w:noProof/>
          <w:sz w:val="24"/>
        </w:rPr>
        <w:sectPr w:rsidR="00A00259">
          <w:headerReference w:type="even" r:id="rId270"/>
          <w:headerReference w:type="default" r:id="rId271"/>
          <w:footerReference w:type="even" r:id="rId272"/>
          <w:footerReference w:type="default" r:id="rId273"/>
          <w:headerReference w:type="first" r:id="rId274"/>
          <w:footerReference w:type="first" r:id="rId275"/>
          <w:pgSz w:w="11906" w:h="16838"/>
          <w:pgMar w:top="1134" w:right="1134" w:bottom="1134" w:left="1134" w:header="567" w:footer="567" w:gutter="0"/>
          <w:cols w:space="708"/>
          <w:docGrid w:linePitch="360"/>
        </w:sectPr>
      </w:pPr>
    </w:p>
    <w:p w14:paraId="57572FCC" w14:textId="77777777" w:rsidR="00A00259" w:rsidRDefault="00371282">
      <w:pPr>
        <w:pStyle w:val="P68B1DB1-Normal6"/>
        <w:spacing w:before="120" w:after="120" w:line="240" w:lineRule="auto"/>
        <w:ind w:left="709"/>
        <w:jc w:val="both"/>
        <w:rPr>
          <w:rFonts w:cs="Times New Roman"/>
          <w:bCs/>
          <w:noProof/>
        </w:rPr>
      </w:pPr>
      <w:r>
        <w:rPr>
          <w:noProof/>
        </w:rPr>
        <w:t>M.2. Étapes, cibles, indicateurs et calendrier pour le suivi et la mise en œuvre du soutien financier non remboursable</w:t>
      </w:r>
    </w:p>
    <w:p w14:paraId="46D182B2" w14:textId="77777777" w:rsidR="00A00259" w:rsidRDefault="00371282">
      <w:pPr>
        <w:pStyle w:val="P68B1DB1-Normal9"/>
        <w:keepNext/>
        <w:keepLines/>
        <w:spacing w:before="40" w:after="0" w:line="240" w:lineRule="auto"/>
        <w:jc w:val="both"/>
        <w:outlineLvl w:val="4"/>
        <w:rPr>
          <w:noProof/>
        </w:rPr>
      </w:pPr>
      <w:r>
        <w:rPr>
          <w:noProof/>
        </w:rPr>
        <w:t xml:space="preserve">Réforme clé 9: Réforme de l'administration publique </w:t>
      </w:r>
    </w:p>
    <w:tbl>
      <w:tblPr>
        <w:tblW w:w="15897" w:type="dxa"/>
        <w:jc w:val="center"/>
        <w:tblLook w:val="04A0" w:firstRow="1" w:lastRow="0" w:firstColumn="1" w:lastColumn="0" w:noHBand="0" w:noVBand="1"/>
      </w:tblPr>
      <w:tblGrid>
        <w:gridCol w:w="582"/>
        <w:gridCol w:w="2038"/>
        <w:gridCol w:w="1107"/>
        <w:gridCol w:w="1482"/>
        <w:gridCol w:w="1520"/>
        <w:gridCol w:w="1054"/>
        <w:gridCol w:w="936"/>
        <w:gridCol w:w="846"/>
        <w:gridCol w:w="986"/>
        <w:gridCol w:w="827"/>
        <w:gridCol w:w="4819"/>
      </w:tblGrid>
      <w:tr w:rsidR="00A00259" w14:paraId="6780291F" w14:textId="77777777">
        <w:trPr>
          <w:trHeight w:val="648"/>
          <w:tblHeader/>
          <w:jc w:val="center"/>
        </w:trPr>
        <w:tc>
          <w:tcPr>
            <w:tcW w:w="5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E8FBB7B" w14:textId="77777777" w:rsidR="00A00259" w:rsidRDefault="00371282">
            <w:pPr>
              <w:pStyle w:val="P68B1DB1-Normal15"/>
              <w:spacing w:after="0" w:line="240" w:lineRule="auto"/>
              <w:jc w:val="center"/>
              <w:rPr>
                <w:rFonts w:eastAsia="Times New Roman"/>
                <w:bCs/>
                <w:noProof/>
              </w:rPr>
            </w:pPr>
            <w:r>
              <w:rPr>
                <w:noProof/>
              </w:rPr>
              <w:t xml:space="preserve">Seq. </w:t>
            </w:r>
            <w:r>
              <w:rPr>
                <w:noProof/>
              </w:rPr>
              <w:br/>
              <w:t>Non.</w:t>
            </w:r>
          </w:p>
        </w:tc>
        <w:tc>
          <w:tcPr>
            <w:tcW w:w="20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184F34"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1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A33890"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4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6BDA868"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4F26B2E"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271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306B5E6" w14:textId="77777777" w:rsidR="00A00259" w:rsidRDefault="00371282">
            <w:pPr>
              <w:pStyle w:val="P68B1DB1-Normal10"/>
              <w:spacing w:after="0" w:line="240" w:lineRule="auto"/>
              <w:jc w:val="center"/>
              <w:rPr>
                <w:rFonts w:eastAsia="Times New Roman" w:cs="Times New Roman"/>
                <w:bCs/>
                <w:noProof/>
                <w:szCs w:val="18"/>
              </w:rPr>
            </w:pPr>
            <w:r>
              <w:rPr>
                <w:noProof/>
              </w:rPr>
              <w:t>Indicateurs quantitatifs (pour les objectifs)</w:t>
            </w:r>
          </w:p>
        </w:tc>
        <w:tc>
          <w:tcPr>
            <w:tcW w:w="167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37D31DD"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481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4EEC81F"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62A83692" w14:textId="77777777">
        <w:trPr>
          <w:trHeight w:val="562"/>
          <w:tblHeader/>
          <w:jc w:val="center"/>
        </w:trPr>
        <w:tc>
          <w:tcPr>
            <w:tcW w:w="542" w:type="dxa"/>
            <w:vMerge/>
            <w:tcBorders>
              <w:top w:val="single" w:sz="4" w:space="0" w:color="auto"/>
              <w:left w:val="single" w:sz="4" w:space="0" w:color="auto"/>
              <w:bottom w:val="single" w:sz="4" w:space="0" w:color="auto"/>
              <w:right w:val="single" w:sz="4" w:space="0" w:color="auto"/>
            </w:tcBorders>
            <w:vAlign w:val="center"/>
            <w:hideMark/>
          </w:tcPr>
          <w:p w14:paraId="3AB67EA0" w14:textId="77777777" w:rsidR="00A00259" w:rsidRDefault="00A00259">
            <w:pPr>
              <w:spacing w:after="0" w:line="240" w:lineRule="auto"/>
              <w:rPr>
                <w:rFonts w:ascii="Times New Roman" w:eastAsia="Times New Roman" w:hAnsi="Times New Roman" w:cs="Times New Roman"/>
                <w:b/>
                <w:bCs/>
                <w:noProof/>
                <w:sz w:val="18"/>
                <w:szCs w:val="18"/>
              </w:rPr>
            </w:pPr>
          </w:p>
        </w:tc>
        <w:tc>
          <w:tcPr>
            <w:tcW w:w="2038" w:type="dxa"/>
            <w:vMerge/>
            <w:tcBorders>
              <w:top w:val="single" w:sz="4" w:space="0" w:color="auto"/>
              <w:left w:val="single" w:sz="4" w:space="0" w:color="auto"/>
              <w:bottom w:val="single" w:sz="4" w:space="0" w:color="auto"/>
              <w:right w:val="single" w:sz="4" w:space="0" w:color="auto"/>
            </w:tcBorders>
            <w:vAlign w:val="center"/>
            <w:hideMark/>
          </w:tcPr>
          <w:p w14:paraId="06249D57" w14:textId="77777777" w:rsidR="00A00259" w:rsidRDefault="00A00259">
            <w:pPr>
              <w:spacing w:after="0" w:line="240" w:lineRule="auto"/>
              <w:rPr>
                <w:rFonts w:ascii="Times New Roman" w:eastAsia="Times New Roman" w:hAnsi="Times New Roman" w:cs="Times New Roman"/>
                <w:b/>
                <w:bCs/>
                <w:noProof/>
                <w:sz w:val="18"/>
                <w:szCs w:val="18"/>
              </w:rPr>
            </w:pPr>
          </w:p>
        </w:tc>
        <w:tc>
          <w:tcPr>
            <w:tcW w:w="1107" w:type="dxa"/>
            <w:vMerge/>
            <w:tcBorders>
              <w:top w:val="single" w:sz="4" w:space="0" w:color="auto"/>
              <w:left w:val="single" w:sz="4" w:space="0" w:color="auto"/>
              <w:bottom w:val="single" w:sz="4" w:space="0" w:color="auto"/>
              <w:right w:val="single" w:sz="4" w:space="0" w:color="auto"/>
            </w:tcBorders>
            <w:vAlign w:val="center"/>
            <w:hideMark/>
          </w:tcPr>
          <w:p w14:paraId="45B4C495" w14:textId="77777777" w:rsidR="00A00259" w:rsidRDefault="00A00259">
            <w:pPr>
              <w:spacing w:after="0" w:line="240" w:lineRule="auto"/>
              <w:rPr>
                <w:rFonts w:ascii="Times New Roman" w:eastAsia="Times New Roman" w:hAnsi="Times New Roman" w:cs="Times New Roman"/>
                <w:b/>
                <w:bCs/>
                <w:noProof/>
                <w:sz w:val="18"/>
                <w:szCs w:val="18"/>
              </w:rPr>
            </w:pPr>
          </w:p>
        </w:tc>
        <w:tc>
          <w:tcPr>
            <w:tcW w:w="1482" w:type="dxa"/>
            <w:vMerge/>
            <w:tcBorders>
              <w:top w:val="single" w:sz="4" w:space="0" w:color="auto"/>
              <w:left w:val="single" w:sz="4" w:space="0" w:color="auto"/>
              <w:bottom w:val="single" w:sz="4" w:space="0" w:color="auto"/>
              <w:right w:val="single" w:sz="4" w:space="0" w:color="auto"/>
            </w:tcBorders>
            <w:vAlign w:val="center"/>
            <w:hideMark/>
          </w:tcPr>
          <w:p w14:paraId="42E667E3" w14:textId="77777777" w:rsidR="00A00259" w:rsidRDefault="00A00259">
            <w:pPr>
              <w:spacing w:after="0" w:line="240" w:lineRule="auto"/>
              <w:rPr>
                <w:rFonts w:ascii="Times New Roman" w:eastAsia="Times New Roman" w:hAnsi="Times New Roman" w:cs="Times New Roman"/>
                <w:b/>
                <w:bCs/>
                <w:noProof/>
                <w:sz w:val="18"/>
                <w:szCs w:val="18"/>
              </w:rPr>
            </w:pPr>
          </w:p>
        </w:tc>
        <w:tc>
          <w:tcPr>
            <w:tcW w:w="1520" w:type="dxa"/>
            <w:vMerge/>
            <w:tcBorders>
              <w:top w:val="single" w:sz="4" w:space="0" w:color="auto"/>
              <w:left w:val="single" w:sz="4" w:space="0" w:color="auto"/>
              <w:bottom w:val="single" w:sz="4" w:space="0" w:color="auto"/>
              <w:right w:val="single" w:sz="4" w:space="0" w:color="auto"/>
            </w:tcBorders>
            <w:vAlign w:val="center"/>
            <w:hideMark/>
          </w:tcPr>
          <w:p w14:paraId="1C2C4E8D" w14:textId="77777777" w:rsidR="00A00259" w:rsidRDefault="00A00259">
            <w:pPr>
              <w:spacing w:after="0" w:line="240" w:lineRule="auto"/>
              <w:rPr>
                <w:rFonts w:ascii="Times New Roman" w:eastAsia="Times New Roman" w:hAnsi="Times New Roman" w:cs="Times New Roman"/>
                <w:b/>
                <w:bCs/>
                <w:noProof/>
                <w:sz w:val="18"/>
                <w:szCs w:val="18"/>
              </w:rPr>
            </w:pPr>
          </w:p>
        </w:tc>
        <w:tc>
          <w:tcPr>
            <w:tcW w:w="105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ACE3DF4"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8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52BA577"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80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6778864"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84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2B84D13"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82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371CFB5"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4819" w:type="dxa"/>
            <w:vMerge/>
            <w:tcBorders>
              <w:top w:val="single" w:sz="4" w:space="0" w:color="auto"/>
              <w:left w:val="single" w:sz="4" w:space="0" w:color="auto"/>
              <w:bottom w:val="single" w:sz="4" w:space="0" w:color="auto"/>
              <w:right w:val="single" w:sz="4" w:space="0" w:color="auto"/>
            </w:tcBorders>
            <w:vAlign w:val="center"/>
            <w:hideMark/>
          </w:tcPr>
          <w:p w14:paraId="503A2B9E"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5EA67A04" w14:textId="77777777">
        <w:trPr>
          <w:trHeight w:val="313"/>
          <w:jc w:val="center"/>
        </w:trPr>
        <w:tc>
          <w:tcPr>
            <w:tcW w:w="542" w:type="dxa"/>
            <w:tcBorders>
              <w:top w:val="single" w:sz="4" w:space="0" w:color="auto"/>
              <w:left w:val="single" w:sz="4" w:space="0" w:color="auto"/>
              <w:bottom w:val="single" w:sz="4" w:space="0" w:color="auto"/>
              <w:right w:val="single" w:sz="4" w:space="0" w:color="auto"/>
            </w:tcBorders>
            <w:shd w:val="clear" w:color="auto" w:fill="C6EFCE"/>
            <w:noWrap/>
          </w:tcPr>
          <w:p w14:paraId="6A4267A3" w14:textId="77777777" w:rsidR="00A00259" w:rsidRDefault="00371282">
            <w:pPr>
              <w:pStyle w:val="P68B1DB1-Normal12"/>
              <w:spacing w:after="0" w:line="240" w:lineRule="auto"/>
              <w:rPr>
                <w:rFonts w:eastAsia="Times New Roman"/>
                <w:noProof/>
              </w:rPr>
            </w:pPr>
            <w:r>
              <w:rPr>
                <w:noProof/>
              </w:rPr>
              <w:t>205</w:t>
            </w:r>
          </w:p>
        </w:tc>
        <w:tc>
          <w:tcPr>
            <w:tcW w:w="2038" w:type="dxa"/>
            <w:tcBorders>
              <w:top w:val="single" w:sz="4" w:space="0" w:color="auto"/>
              <w:left w:val="nil"/>
              <w:bottom w:val="single" w:sz="4" w:space="0" w:color="auto"/>
              <w:right w:val="single" w:sz="4" w:space="0" w:color="auto"/>
            </w:tcBorders>
            <w:shd w:val="clear" w:color="auto" w:fill="C6EFCE"/>
            <w:noWrap/>
          </w:tcPr>
          <w:p w14:paraId="108EC7F0" w14:textId="77777777" w:rsidR="00A00259" w:rsidRDefault="00371282">
            <w:pPr>
              <w:pStyle w:val="P68B1DB1-Normal12"/>
              <w:spacing w:after="0" w:line="240" w:lineRule="auto"/>
              <w:rPr>
                <w:rFonts w:eastAsia="Times New Roman"/>
                <w:noProof/>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- 16972_Reforming Public Administration</w:t>
            </w:r>
          </w:p>
        </w:tc>
        <w:tc>
          <w:tcPr>
            <w:tcW w:w="1107" w:type="dxa"/>
            <w:tcBorders>
              <w:top w:val="single" w:sz="4" w:space="0" w:color="auto"/>
              <w:left w:val="nil"/>
              <w:bottom w:val="single" w:sz="4" w:space="0" w:color="auto"/>
              <w:right w:val="single" w:sz="4" w:space="0" w:color="auto"/>
            </w:tcBorders>
            <w:shd w:val="clear" w:color="auto" w:fill="C6EFCE"/>
            <w:noWrap/>
          </w:tcPr>
          <w:p w14:paraId="5098EEFE" w14:textId="77777777" w:rsidR="00A00259" w:rsidRDefault="00371282">
            <w:pPr>
              <w:pStyle w:val="P68B1DB1-Normal12"/>
              <w:spacing w:after="0" w:line="240" w:lineRule="auto"/>
              <w:rPr>
                <w:rFonts w:eastAsia="Times New Roman"/>
                <w:noProof/>
              </w:rPr>
            </w:pPr>
            <w:r>
              <w:rPr>
                <w:noProof/>
              </w:rPr>
              <w:t>Étape</w:t>
            </w:r>
          </w:p>
        </w:tc>
        <w:tc>
          <w:tcPr>
            <w:tcW w:w="1482" w:type="dxa"/>
            <w:tcBorders>
              <w:top w:val="single" w:sz="4" w:space="0" w:color="auto"/>
              <w:left w:val="nil"/>
              <w:bottom w:val="single" w:sz="4" w:space="0" w:color="auto"/>
              <w:right w:val="single" w:sz="4" w:space="0" w:color="auto"/>
            </w:tcBorders>
            <w:shd w:val="clear" w:color="auto" w:fill="C6EFCE"/>
            <w:noWrap/>
          </w:tcPr>
          <w:p w14:paraId="161577F1" w14:textId="77777777" w:rsidR="00A00259" w:rsidRDefault="00371282">
            <w:pPr>
              <w:pStyle w:val="P68B1DB1-Normal12"/>
              <w:spacing w:after="0" w:line="240" w:lineRule="auto"/>
              <w:rPr>
                <w:rFonts w:eastAsia="Times New Roman"/>
                <w:noProof/>
              </w:rPr>
            </w:pPr>
            <w:r>
              <w:rPr>
                <w:noProof/>
              </w:rPr>
              <w:t>Administration publique – lancement du système de rémunération à la performance</w:t>
            </w:r>
          </w:p>
          <w:p w14:paraId="50A7211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520" w:type="dxa"/>
            <w:tcBorders>
              <w:top w:val="single" w:sz="4" w:space="0" w:color="auto"/>
              <w:left w:val="nil"/>
              <w:bottom w:val="single" w:sz="4" w:space="0" w:color="auto"/>
              <w:right w:val="single" w:sz="4" w:space="0" w:color="auto"/>
            </w:tcBorders>
            <w:shd w:val="clear" w:color="auto" w:fill="C6EFCE"/>
            <w:noWrap/>
          </w:tcPr>
          <w:p w14:paraId="36ACF5E0" w14:textId="77777777" w:rsidR="00A00259" w:rsidRDefault="00371282">
            <w:pPr>
              <w:pStyle w:val="P68B1DB1-Normal12"/>
              <w:spacing w:after="0" w:line="240" w:lineRule="auto"/>
              <w:rPr>
                <w:rFonts w:eastAsia="Times New Roman"/>
                <w:noProof/>
              </w:rPr>
            </w:pPr>
            <w:r>
              <w:rPr>
                <w:noProof/>
              </w:rPr>
              <w:t xml:space="preserve">Entrée en vigueur de la législation primaire établissant un système pilote de récompense. </w:t>
            </w:r>
          </w:p>
        </w:tc>
        <w:tc>
          <w:tcPr>
            <w:tcW w:w="1054" w:type="dxa"/>
            <w:tcBorders>
              <w:top w:val="single" w:sz="4" w:space="0" w:color="auto"/>
              <w:left w:val="nil"/>
              <w:bottom w:val="single" w:sz="4" w:space="0" w:color="auto"/>
              <w:right w:val="single" w:sz="4" w:space="0" w:color="auto"/>
            </w:tcBorders>
            <w:shd w:val="clear" w:color="auto" w:fill="C6EFCE"/>
            <w:noWrap/>
          </w:tcPr>
          <w:p w14:paraId="246164A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475EF8B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05" w:type="dxa"/>
            <w:tcBorders>
              <w:top w:val="single" w:sz="4" w:space="0" w:color="auto"/>
              <w:left w:val="nil"/>
              <w:bottom w:val="single" w:sz="4" w:space="0" w:color="auto"/>
              <w:right w:val="single" w:sz="4" w:space="0" w:color="auto"/>
            </w:tcBorders>
            <w:shd w:val="clear" w:color="auto" w:fill="C6EFCE"/>
            <w:noWrap/>
          </w:tcPr>
          <w:p w14:paraId="2178581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20D8AC32" w14:textId="77777777" w:rsidR="00A00259" w:rsidRDefault="00371282">
            <w:pPr>
              <w:pStyle w:val="P68B1DB1-Normal12"/>
              <w:spacing w:after="0" w:line="240" w:lineRule="auto"/>
              <w:rPr>
                <w:rFonts w:eastAsia="Times New Roman"/>
                <w:noProof/>
              </w:rPr>
            </w:pPr>
            <w:r>
              <w:rPr>
                <w:noProof/>
              </w:rPr>
              <w:t>T2</w:t>
            </w:r>
          </w:p>
        </w:tc>
        <w:tc>
          <w:tcPr>
            <w:tcW w:w="827" w:type="dxa"/>
            <w:tcBorders>
              <w:top w:val="single" w:sz="4" w:space="0" w:color="auto"/>
              <w:left w:val="nil"/>
              <w:bottom w:val="single" w:sz="4" w:space="0" w:color="auto"/>
              <w:right w:val="single" w:sz="4" w:space="0" w:color="auto"/>
            </w:tcBorders>
            <w:shd w:val="clear" w:color="auto" w:fill="C6EFCE"/>
            <w:noWrap/>
          </w:tcPr>
          <w:p w14:paraId="3352D055" w14:textId="77777777" w:rsidR="00A00259" w:rsidRDefault="00371282">
            <w:pPr>
              <w:pStyle w:val="P68B1DB1-Normal12"/>
              <w:spacing w:after="0" w:line="240" w:lineRule="auto"/>
              <w:rPr>
                <w:rFonts w:eastAsia="Times New Roman"/>
                <w:noProof/>
              </w:rPr>
            </w:pPr>
            <w:r>
              <w:rPr>
                <w:noProof/>
              </w:rPr>
              <w:t>2022</w:t>
            </w:r>
          </w:p>
        </w:tc>
        <w:tc>
          <w:tcPr>
            <w:tcW w:w="4819" w:type="dxa"/>
            <w:tcBorders>
              <w:top w:val="single" w:sz="4" w:space="0" w:color="auto"/>
              <w:left w:val="nil"/>
              <w:bottom w:val="single" w:sz="4" w:space="0" w:color="auto"/>
              <w:right w:val="single" w:sz="4" w:space="0" w:color="auto"/>
            </w:tcBorders>
            <w:shd w:val="clear" w:color="auto" w:fill="C6EFCE"/>
            <w:noWrap/>
          </w:tcPr>
          <w:p w14:paraId="0B0F2260" w14:textId="77777777" w:rsidR="00A00259" w:rsidRDefault="00371282">
            <w:pPr>
              <w:pStyle w:val="P68B1DB1-Normal12"/>
              <w:spacing w:after="0" w:line="240" w:lineRule="auto"/>
              <w:rPr>
                <w:rFonts w:eastAsia="Times New Roman"/>
                <w:noProof/>
              </w:rPr>
            </w:pPr>
            <w:r>
              <w:rPr>
                <w:noProof/>
              </w:rPr>
              <w:t>Entrée en vigueur de la législation primaire pour le lancement d’un système de rémunération aux performances pour un certain nombre d’entités pilotes et jusqu’à 6 000 fonctionnaires, qui alimentera la réforme plus large introduisant un système de gestion fixant des objectifs (voir jalon T4 2023). Le projet pilote couvre les fonctionnaires participant à la mise en œuvre du plan pour la reprise et la résilience. Les principales caractéristiques du système doivent être compatibles avec la grille salariale unifiée (loi 4354/2015).</w:t>
            </w:r>
          </w:p>
        </w:tc>
      </w:tr>
      <w:tr w:rsidR="00A00259" w14:paraId="12918B8B" w14:textId="77777777">
        <w:trPr>
          <w:trHeight w:val="313"/>
          <w:jc w:val="center"/>
        </w:trPr>
        <w:tc>
          <w:tcPr>
            <w:tcW w:w="542" w:type="dxa"/>
            <w:tcBorders>
              <w:top w:val="nil"/>
              <w:left w:val="single" w:sz="4" w:space="0" w:color="auto"/>
              <w:bottom w:val="single" w:sz="4" w:space="0" w:color="auto"/>
              <w:right w:val="single" w:sz="4" w:space="0" w:color="auto"/>
            </w:tcBorders>
            <w:shd w:val="clear" w:color="auto" w:fill="C6EFCE"/>
            <w:noWrap/>
          </w:tcPr>
          <w:p w14:paraId="33A3CDAF" w14:textId="77777777" w:rsidR="00A00259" w:rsidRDefault="00371282">
            <w:pPr>
              <w:pStyle w:val="P68B1DB1-Normal12"/>
              <w:spacing w:after="0" w:line="240" w:lineRule="auto"/>
              <w:rPr>
                <w:rFonts w:eastAsia="Times New Roman"/>
                <w:noProof/>
              </w:rPr>
            </w:pPr>
            <w:r>
              <w:rPr>
                <w:noProof/>
              </w:rPr>
              <w:t>206</w:t>
            </w:r>
          </w:p>
        </w:tc>
        <w:tc>
          <w:tcPr>
            <w:tcW w:w="2038" w:type="dxa"/>
            <w:tcBorders>
              <w:top w:val="nil"/>
              <w:left w:val="nil"/>
              <w:bottom w:val="single" w:sz="4" w:space="0" w:color="auto"/>
              <w:right w:val="single" w:sz="4" w:space="0" w:color="auto"/>
            </w:tcBorders>
            <w:shd w:val="clear" w:color="auto" w:fill="C6EFCE"/>
            <w:noWrap/>
          </w:tcPr>
          <w:p w14:paraId="2E16916F" w14:textId="77777777" w:rsidR="00A00259" w:rsidRDefault="00371282">
            <w:pPr>
              <w:pStyle w:val="P68B1DB1-Normal12"/>
              <w:spacing w:after="0" w:line="240" w:lineRule="auto"/>
              <w:rPr>
                <w:rFonts w:eastAsia="Times New Roman"/>
                <w:noProof/>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- 16972_Reforming Public Administration</w:t>
            </w:r>
          </w:p>
        </w:tc>
        <w:tc>
          <w:tcPr>
            <w:tcW w:w="1107" w:type="dxa"/>
            <w:tcBorders>
              <w:top w:val="nil"/>
              <w:left w:val="nil"/>
              <w:bottom w:val="single" w:sz="4" w:space="0" w:color="auto"/>
              <w:right w:val="single" w:sz="4" w:space="0" w:color="auto"/>
            </w:tcBorders>
            <w:shd w:val="clear" w:color="auto" w:fill="C6EFCE"/>
            <w:noWrap/>
          </w:tcPr>
          <w:p w14:paraId="32D62784" w14:textId="77777777" w:rsidR="00A00259" w:rsidRDefault="00371282">
            <w:pPr>
              <w:pStyle w:val="P68B1DB1-Normal12"/>
              <w:spacing w:after="0" w:line="240" w:lineRule="auto"/>
              <w:rPr>
                <w:rFonts w:eastAsia="Times New Roman"/>
                <w:noProof/>
              </w:rPr>
            </w:pPr>
            <w:r>
              <w:rPr>
                <w:noProof/>
              </w:rPr>
              <w:t>Étape</w:t>
            </w:r>
          </w:p>
        </w:tc>
        <w:tc>
          <w:tcPr>
            <w:tcW w:w="1482" w:type="dxa"/>
            <w:tcBorders>
              <w:top w:val="nil"/>
              <w:left w:val="nil"/>
              <w:bottom w:val="single" w:sz="4" w:space="0" w:color="auto"/>
              <w:right w:val="single" w:sz="4" w:space="0" w:color="auto"/>
            </w:tcBorders>
            <w:shd w:val="clear" w:color="auto" w:fill="C6EFCE"/>
            <w:noWrap/>
          </w:tcPr>
          <w:p w14:paraId="5CB6C4C6" w14:textId="77777777" w:rsidR="00A00259" w:rsidRDefault="00371282">
            <w:pPr>
              <w:pStyle w:val="P68B1DB1-Normal12"/>
              <w:spacing w:after="0" w:line="240" w:lineRule="auto"/>
              <w:rPr>
                <w:rFonts w:eastAsia="Times New Roman"/>
                <w:noProof/>
              </w:rPr>
            </w:pPr>
            <w:r>
              <w:rPr>
                <w:noProof/>
              </w:rPr>
              <w:t>Administration publique – cadre législatif visant à clarifier les mandats</w:t>
            </w:r>
          </w:p>
        </w:tc>
        <w:tc>
          <w:tcPr>
            <w:tcW w:w="1520" w:type="dxa"/>
            <w:tcBorders>
              <w:top w:val="nil"/>
              <w:left w:val="nil"/>
              <w:bottom w:val="single" w:sz="4" w:space="0" w:color="auto"/>
              <w:right w:val="single" w:sz="4" w:space="0" w:color="auto"/>
            </w:tcBorders>
            <w:shd w:val="clear" w:color="auto" w:fill="C6EFCE"/>
            <w:noWrap/>
          </w:tcPr>
          <w:p w14:paraId="6AA7C741" w14:textId="77777777" w:rsidR="00A00259" w:rsidRDefault="00371282">
            <w:pPr>
              <w:pStyle w:val="P68B1DB1-Normal12"/>
              <w:spacing w:after="0" w:line="240" w:lineRule="auto"/>
              <w:rPr>
                <w:rFonts w:eastAsia="Times New Roman"/>
                <w:noProof/>
              </w:rPr>
            </w:pPr>
            <w:r>
              <w:rPr>
                <w:noProof/>
              </w:rPr>
              <w:t xml:space="preserve">Entrée en vigueur de dispositions juridiques modifiant le cadre législatif des administrations publiques aux niveaux central, régional et local. </w:t>
            </w:r>
          </w:p>
        </w:tc>
        <w:tc>
          <w:tcPr>
            <w:tcW w:w="1054" w:type="dxa"/>
            <w:tcBorders>
              <w:top w:val="nil"/>
              <w:left w:val="nil"/>
              <w:bottom w:val="single" w:sz="4" w:space="0" w:color="auto"/>
              <w:right w:val="single" w:sz="4" w:space="0" w:color="auto"/>
            </w:tcBorders>
            <w:shd w:val="clear" w:color="auto" w:fill="C6EFCE"/>
            <w:noWrap/>
          </w:tcPr>
          <w:p w14:paraId="4193F4F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64294DD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05" w:type="dxa"/>
            <w:tcBorders>
              <w:top w:val="nil"/>
              <w:left w:val="nil"/>
              <w:bottom w:val="single" w:sz="4" w:space="0" w:color="auto"/>
              <w:right w:val="single" w:sz="4" w:space="0" w:color="auto"/>
            </w:tcBorders>
            <w:shd w:val="clear" w:color="auto" w:fill="C6EFCE"/>
            <w:noWrap/>
          </w:tcPr>
          <w:p w14:paraId="1F9D28F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nil"/>
              <w:left w:val="nil"/>
              <w:bottom w:val="single" w:sz="4" w:space="0" w:color="auto"/>
              <w:right w:val="single" w:sz="4" w:space="0" w:color="auto"/>
            </w:tcBorders>
            <w:shd w:val="clear" w:color="auto" w:fill="C6EFCE"/>
            <w:noWrap/>
          </w:tcPr>
          <w:p w14:paraId="6B38A9F2" w14:textId="77777777" w:rsidR="00A00259" w:rsidRDefault="00371282">
            <w:pPr>
              <w:pStyle w:val="P68B1DB1-Normal12"/>
              <w:spacing w:after="0" w:line="240" w:lineRule="auto"/>
              <w:rPr>
                <w:rFonts w:eastAsia="Times New Roman"/>
                <w:noProof/>
              </w:rPr>
            </w:pPr>
            <w:r>
              <w:rPr>
                <w:noProof/>
              </w:rPr>
              <w:t>T3</w:t>
            </w:r>
          </w:p>
        </w:tc>
        <w:tc>
          <w:tcPr>
            <w:tcW w:w="827" w:type="dxa"/>
            <w:tcBorders>
              <w:top w:val="nil"/>
              <w:left w:val="nil"/>
              <w:bottom w:val="single" w:sz="4" w:space="0" w:color="auto"/>
              <w:right w:val="single" w:sz="4" w:space="0" w:color="auto"/>
            </w:tcBorders>
            <w:shd w:val="clear" w:color="auto" w:fill="C6EFCE"/>
            <w:noWrap/>
          </w:tcPr>
          <w:p w14:paraId="77DCA78A" w14:textId="77777777" w:rsidR="00A00259" w:rsidRDefault="00371282">
            <w:pPr>
              <w:pStyle w:val="P68B1DB1-Normal12"/>
              <w:spacing w:after="0" w:line="240" w:lineRule="auto"/>
              <w:rPr>
                <w:rFonts w:eastAsia="Times New Roman"/>
                <w:noProof/>
              </w:rPr>
            </w:pPr>
            <w:r>
              <w:rPr>
                <w:noProof/>
              </w:rPr>
              <w:t>2022</w:t>
            </w:r>
          </w:p>
        </w:tc>
        <w:tc>
          <w:tcPr>
            <w:tcW w:w="4819" w:type="dxa"/>
            <w:tcBorders>
              <w:top w:val="nil"/>
              <w:left w:val="nil"/>
              <w:bottom w:val="single" w:sz="4" w:space="0" w:color="auto"/>
              <w:right w:val="single" w:sz="4" w:space="0" w:color="auto"/>
            </w:tcBorders>
            <w:shd w:val="clear" w:color="auto" w:fill="C6EFCE"/>
            <w:noWrap/>
          </w:tcPr>
          <w:p w14:paraId="6714586F" w14:textId="77777777" w:rsidR="00A00259" w:rsidRDefault="00371282">
            <w:pPr>
              <w:pStyle w:val="P68B1DB1-Normal12"/>
              <w:spacing w:after="0" w:line="240" w:lineRule="auto"/>
              <w:rPr>
                <w:rFonts w:eastAsia="Times New Roman"/>
                <w:noProof/>
              </w:rPr>
            </w:pPr>
            <w:r>
              <w:rPr>
                <w:noProof/>
              </w:rPr>
              <w:t>Entrée en vigueur d’une législation primaire et secondaire révisée visant à mettre en place un système d’allocation de la gouvernance à plusieurs niveaux visant à clarifier les responsabilités entre tous les niveaux de l’administration publique et à remédier aux chevauchements. Le cadre juridique révisé définit les domaines de responsabilité de chaque entité en matière de planification et de mise en œuvre, y compris en ce qui concerne des fonctions telles que l’assurance des ressources et les responsabilités en matière de suivi et d’évaluation.</w:t>
            </w:r>
          </w:p>
        </w:tc>
      </w:tr>
      <w:tr w:rsidR="00A00259" w14:paraId="34B594B5" w14:textId="77777777">
        <w:trPr>
          <w:trHeight w:val="313"/>
          <w:jc w:val="center"/>
        </w:trPr>
        <w:tc>
          <w:tcPr>
            <w:tcW w:w="542" w:type="dxa"/>
            <w:tcBorders>
              <w:top w:val="nil"/>
              <w:left w:val="single" w:sz="4" w:space="0" w:color="auto"/>
              <w:bottom w:val="single" w:sz="4" w:space="0" w:color="auto"/>
              <w:right w:val="single" w:sz="4" w:space="0" w:color="auto"/>
            </w:tcBorders>
            <w:shd w:val="clear" w:color="auto" w:fill="C6EFCE"/>
            <w:noWrap/>
          </w:tcPr>
          <w:p w14:paraId="74A31894" w14:textId="77777777" w:rsidR="00A00259" w:rsidRDefault="00371282">
            <w:pPr>
              <w:pStyle w:val="P68B1DB1-Normal12"/>
              <w:spacing w:after="0" w:line="240" w:lineRule="auto"/>
              <w:rPr>
                <w:rFonts w:eastAsia="Times New Roman"/>
                <w:noProof/>
              </w:rPr>
            </w:pPr>
            <w:r>
              <w:rPr>
                <w:noProof/>
              </w:rPr>
              <w:t>207</w:t>
            </w:r>
          </w:p>
        </w:tc>
        <w:tc>
          <w:tcPr>
            <w:tcW w:w="2038" w:type="dxa"/>
            <w:tcBorders>
              <w:top w:val="nil"/>
              <w:left w:val="nil"/>
              <w:bottom w:val="single" w:sz="4" w:space="0" w:color="auto"/>
              <w:right w:val="single" w:sz="4" w:space="0" w:color="auto"/>
            </w:tcBorders>
            <w:shd w:val="clear" w:color="auto" w:fill="C6EFCE"/>
            <w:noWrap/>
          </w:tcPr>
          <w:p w14:paraId="2FF2D1BD" w14:textId="77777777" w:rsidR="00A00259" w:rsidRDefault="00371282">
            <w:pPr>
              <w:pStyle w:val="P68B1DB1-Normal12"/>
              <w:spacing w:after="0" w:line="240" w:lineRule="auto"/>
              <w:rPr>
                <w:rFonts w:eastAsia="Times New Roman"/>
                <w:noProof/>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- 16972_Reforming Public Administration</w:t>
            </w:r>
          </w:p>
        </w:tc>
        <w:tc>
          <w:tcPr>
            <w:tcW w:w="1107" w:type="dxa"/>
            <w:tcBorders>
              <w:top w:val="nil"/>
              <w:left w:val="nil"/>
              <w:bottom w:val="single" w:sz="4" w:space="0" w:color="auto"/>
              <w:right w:val="single" w:sz="4" w:space="0" w:color="auto"/>
            </w:tcBorders>
            <w:shd w:val="clear" w:color="auto" w:fill="C6EFCE"/>
            <w:noWrap/>
          </w:tcPr>
          <w:p w14:paraId="11650FC3" w14:textId="77777777" w:rsidR="00A00259" w:rsidRDefault="00371282">
            <w:pPr>
              <w:pStyle w:val="P68B1DB1-Normal12"/>
              <w:spacing w:after="0" w:line="240" w:lineRule="auto"/>
              <w:rPr>
                <w:rFonts w:eastAsia="Times New Roman"/>
                <w:noProof/>
              </w:rPr>
            </w:pPr>
            <w:r>
              <w:rPr>
                <w:noProof/>
              </w:rPr>
              <w:t>Étape</w:t>
            </w:r>
          </w:p>
        </w:tc>
        <w:tc>
          <w:tcPr>
            <w:tcW w:w="1482" w:type="dxa"/>
            <w:tcBorders>
              <w:top w:val="nil"/>
              <w:left w:val="nil"/>
              <w:bottom w:val="single" w:sz="4" w:space="0" w:color="auto"/>
              <w:right w:val="single" w:sz="4" w:space="0" w:color="auto"/>
            </w:tcBorders>
            <w:shd w:val="clear" w:color="auto" w:fill="C6EFCE"/>
            <w:noWrap/>
          </w:tcPr>
          <w:p w14:paraId="6D1A65FB" w14:textId="77777777" w:rsidR="00A00259" w:rsidRDefault="00371282">
            <w:pPr>
              <w:pStyle w:val="P68B1DB1-Normal12"/>
              <w:spacing w:after="0" w:line="240" w:lineRule="auto"/>
              <w:rPr>
                <w:rFonts w:eastAsia="Times New Roman"/>
                <w:noProof/>
              </w:rPr>
            </w:pPr>
            <w:r>
              <w:rPr>
                <w:noProof/>
              </w:rPr>
              <w:t>Administration publique – nouveau système de récompense</w:t>
            </w:r>
          </w:p>
        </w:tc>
        <w:tc>
          <w:tcPr>
            <w:tcW w:w="1520" w:type="dxa"/>
            <w:tcBorders>
              <w:top w:val="nil"/>
              <w:left w:val="nil"/>
              <w:bottom w:val="single" w:sz="4" w:space="0" w:color="auto"/>
              <w:right w:val="single" w:sz="4" w:space="0" w:color="auto"/>
            </w:tcBorders>
            <w:shd w:val="clear" w:color="auto" w:fill="C6EFCE"/>
            <w:noWrap/>
          </w:tcPr>
          <w:p w14:paraId="28C74C97" w14:textId="77777777" w:rsidR="00A00259" w:rsidRDefault="00371282">
            <w:pPr>
              <w:pStyle w:val="P68B1DB1-Normal12"/>
              <w:spacing w:after="0" w:line="240" w:lineRule="auto"/>
              <w:rPr>
                <w:rFonts w:eastAsia="Times New Roman"/>
                <w:noProof/>
              </w:rPr>
            </w:pPr>
            <w:r>
              <w:rPr>
                <w:noProof/>
              </w:rPr>
              <w:t>Entrée en vigueur de la législation primaire établissant le système de récompense.</w:t>
            </w:r>
          </w:p>
        </w:tc>
        <w:tc>
          <w:tcPr>
            <w:tcW w:w="1054" w:type="dxa"/>
            <w:tcBorders>
              <w:top w:val="nil"/>
              <w:left w:val="nil"/>
              <w:bottom w:val="single" w:sz="4" w:space="0" w:color="auto"/>
              <w:right w:val="single" w:sz="4" w:space="0" w:color="auto"/>
            </w:tcBorders>
            <w:shd w:val="clear" w:color="auto" w:fill="C6EFCE"/>
            <w:noWrap/>
          </w:tcPr>
          <w:p w14:paraId="00D200D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1376221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05" w:type="dxa"/>
            <w:tcBorders>
              <w:top w:val="nil"/>
              <w:left w:val="nil"/>
              <w:bottom w:val="single" w:sz="4" w:space="0" w:color="auto"/>
              <w:right w:val="single" w:sz="4" w:space="0" w:color="auto"/>
            </w:tcBorders>
            <w:shd w:val="clear" w:color="auto" w:fill="C6EFCE"/>
            <w:noWrap/>
          </w:tcPr>
          <w:p w14:paraId="3607008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nil"/>
              <w:left w:val="nil"/>
              <w:bottom w:val="single" w:sz="4" w:space="0" w:color="auto"/>
              <w:right w:val="single" w:sz="4" w:space="0" w:color="auto"/>
            </w:tcBorders>
            <w:shd w:val="clear" w:color="auto" w:fill="C6EFCE"/>
            <w:noWrap/>
          </w:tcPr>
          <w:p w14:paraId="45AD4D5F" w14:textId="77777777" w:rsidR="00A00259" w:rsidRDefault="00371282">
            <w:pPr>
              <w:pStyle w:val="P68B1DB1-Normal12"/>
              <w:spacing w:after="0" w:line="240" w:lineRule="auto"/>
              <w:rPr>
                <w:rFonts w:eastAsia="Times New Roman"/>
                <w:noProof/>
              </w:rPr>
            </w:pPr>
            <w:r>
              <w:rPr>
                <w:noProof/>
              </w:rPr>
              <w:t>T4</w:t>
            </w:r>
          </w:p>
        </w:tc>
        <w:tc>
          <w:tcPr>
            <w:tcW w:w="827" w:type="dxa"/>
            <w:tcBorders>
              <w:top w:val="nil"/>
              <w:left w:val="nil"/>
              <w:bottom w:val="single" w:sz="4" w:space="0" w:color="auto"/>
              <w:right w:val="single" w:sz="4" w:space="0" w:color="auto"/>
            </w:tcBorders>
            <w:shd w:val="clear" w:color="auto" w:fill="C6EFCE"/>
            <w:noWrap/>
          </w:tcPr>
          <w:p w14:paraId="247E0862" w14:textId="77777777" w:rsidR="00A00259" w:rsidRDefault="00371282">
            <w:pPr>
              <w:pStyle w:val="P68B1DB1-Normal12"/>
              <w:spacing w:after="0" w:line="240" w:lineRule="auto"/>
              <w:rPr>
                <w:rFonts w:eastAsia="Times New Roman"/>
                <w:noProof/>
              </w:rPr>
            </w:pPr>
            <w:r>
              <w:rPr>
                <w:noProof/>
              </w:rPr>
              <w:t>2023</w:t>
            </w:r>
          </w:p>
        </w:tc>
        <w:tc>
          <w:tcPr>
            <w:tcW w:w="4819" w:type="dxa"/>
            <w:tcBorders>
              <w:top w:val="nil"/>
              <w:left w:val="nil"/>
              <w:bottom w:val="single" w:sz="4" w:space="0" w:color="auto"/>
              <w:right w:val="single" w:sz="4" w:space="0" w:color="auto"/>
            </w:tcBorders>
            <w:shd w:val="clear" w:color="auto" w:fill="C6EFCE"/>
            <w:noWrap/>
          </w:tcPr>
          <w:p w14:paraId="12146D66" w14:textId="77777777" w:rsidR="00A00259" w:rsidRDefault="00371282">
            <w:pPr>
              <w:pStyle w:val="P68B1DB1-Normal12"/>
              <w:spacing w:after="0" w:line="240" w:lineRule="auto"/>
              <w:rPr>
                <w:rFonts w:eastAsia="Times New Roman"/>
                <w:noProof/>
              </w:rPr>
            </w:pPr>
            <w:r>
              <w:rPr>
                <w:noProof/>
              </w:rPr>
              <w:t>Entrée en vigueur de la législation primaire introduisant un système de gestion de fixation d’objectifs visant à récompenser les organisations publiques de manière équitable et cohérente après la réalisation d’objectifs prédéfinis. Les principales caractéristiques du système doivent être compatibles avec la grille salariale unifiée (loi 4354/2015).</w:t>
            </w:r>
          </w:p>
        </w:tc>
      </w:tr>
      <w:tr w:rsidR="00A00259" w14:paraId="61563E32" w14:textId="77777777">
        <w:trPr>
          <w:trHeight w:val="313"/>
          <w:jc w:val="center"/>
        </w:trPr>
        <w:tc>
          <w:tcPr>
            <w:tcW w:w="542" w:type="dxa"/>
            <w:tcBorders>
              <w:top w:val="nil"/>
              <w:left w:val="single" w:sz="4" w:space="0" w:color="auto"/>
              <w:bottom w:val="single" w:sz="4" w:space="0" w:color="auto"/>
              <w:right w:val="single" w:sz="4" w:space="0" w:color="auto"/>
            </w:tcBorders>
            <w:shd w:val="clear" w:color="auto" w:fill="C6EFCE"/>
            <w:noWrap/>
          </w:tcPr>
          <w:p w14:paraId="3516B580" w14:textId="77777777" w:rsidR="00A00259" w:rsidRDefault="00371282">
            <w:pPr>
              <w:pStyle w:val="P68B1DB1-Normal12"/>
              <w:spacing w:after="0" w:line="240" w:lineRule="auto"/>
              <w:rPr>
                <w:rFonts w:eastAsia="Times New Roman"/>
                <w:noProof/>
              </w:rPr>
            </w:pPr>
            <w:r>
              <w:rPr>
                <w:noProof/>
              </w:rPr>
              <w:t>208</w:t>
            </w:r>
          </w:p>
        </w:tc>
        <w:tc>
          <w:tcPr>
            <w:tcW w:w="2038" w:type="dxa"/>
            <w:tcBorders>
              <w:top w:val="nil"/>
              <w:left w:val="nil"/>
              <w:bottom w:val="single" w:sz="4" w:space="0" w:color="auto"/>
              <w:right w:val="single" w:sz="4" w:space="0" w:color="auto"/>
            </w:tcBorders>
            <w:shd w:val="clear" w:color="auto" w:fill="C6EFCE"/>
            <w:noWrap/>
          </w:tcPr>
          <w:p w14:paraId="433DCFDC" w14:textId="77777777" w:rsidR="00A00259" w:rsidRDefault="00371282">
            <w:pPr>
              <w:pStyle w:val="P68B1DB1-Normal12"/>
              <w:spacing w:after="0" w:line="240" w:lineRule="auto"/>
              <w:rPr>
                <w:rFonts w:eastAsia="Times New Roman"/>
                <w:noProof/>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- 16972_Reforming Public Administration</w:t>
            </w:r>
          </w:p>
        </w:tc>
        <w:tc>
          <w:tcPr>
            <w:tcW w:w="1107" w:type="dxa"/>
            <w:tcBorders>
              <w:top w:val="nil"/>
              <w:left w:val="nil"/>
              <w:bottom w:val="single" w:sz="4" w:space="0" w:color="auto"/>
              <w:right w:val="single" w:sz="4" w:space="0" w:color="auto"/>
            </w:tcBorders>
            <w:shd w:val="clear" w:color="auto" w:fill="C6EFCE"/>
            <w:noWrap/>
          </w:tcPr>
          <w:p w14:paraId="355BF507" w14:textId="77777777" w:rsidR="00A00259" w:rsidRDefault="00371282">
            <w:pPr>
              <w:pStyle w:val="P68B1DB1-Normal12"/>
              <w:spacing w:after="0" w:line="240" w:lineRule="auto"/>
              <w:rPr>
                <w:rFonts w:eastAsia="Times New Roman"/>
                <w:noProof/>
              </w:rPr>
            </w:pPr>
            <w:r>
              <w:rPr>
                <w:noProof/>
              </w:rPr>
              <w:t>Étape</w:t>
            </w:r>
          </w:p>
        </w:tc>
        <w:tc>
          <w:tcPr>
            <w:tcW w:w="1482" w:type="dxa"/>
            <w:tcBorders>
              <w:top w:val="nil"/>
              <w:left w:val="nil"/>
              <w:bottom w:val="single" w:sz="4" w:space="0" w:color="auto"/>
              <w:right w:val="single" w:sz="4" w:space="0" w:color="auto"/>
            </w:tcBorders>
            <w:shd w:val="clear" w:color="auto" w:fill="C6EFCE"/>
            <w:noWrap/>
          </w:tcPr>
          <w:p w14:paraId="23D3D9AC" w14:textId="509E1252" w:rsidR="00A00259" w:rsidRDefault="00371282">
            <w:pPr>
              <w:pStyle w:val="P68B1DB1-Normal23"/>
              <w:spacing w:after="0" w:line="240" w:lineRule="auto"/>
              <w:rPr>
                <w:noProof/>
              </w:rPr>
            </w:pPr>
            <w:r>
              <w:rPr>
                <w:noProof/>
              </w:rPr>
              <w:t>Formations pour les employés du secteur public,</w:t>
            </w:r>
          </w:p>
          <w:p w14:paraId="115263F1" w14:textId="77777777" w:rsidR="00A00259" w:rsidRDefault="00371282">
            <w:pPr>
              <w:pStyle w:val="P68B1DB1-Normal23"/>
              <w:spacing w:after="0" w:line="240" w:lineRule="auto"/>
              <w:rPr>
                <w:noProof/>
              </w:rPr>
            </w:pPr>
            <w:r>
              <w:rPr>
                <w:noProof/>
              </w:rPr>
              <w:t>l'entrée en vigueur des actes juridiques,</w:t>
            </w:r>
          </w:p>
          <w:p w14:paraId="20D0E0D4" w14:textId="77777777" w:rsidR="00A00259" w:rsidRDefault="00371282">
            <w:pPr>
              <w:pStyle w:val="P68B1DB1-Normal23"/>
              <w:spacing w:after="0" w:line="240" w:lineRule="auto"/>
              <w:rPr>
                <w:noProof/>
              </w:rPr>
            </w:pPr>
            <w:r>
              <w:rPr>
                <w:noProof/>
              </w:rPr>
              <w:t>mise en service des systèmes d'information </w:t>
            </w:r>
          </w:p>
        </w:tc>
        <w:tc>
          <w:tcPr>
            <w:tcW w:w="1520" w:type="dxa"/>
            <w:tcBorders>
              <w:top w:val="nil"/>
              <w:left w:val="nil"/>
              <w:bottom w:val="single" w:sz="4" w:space="0" w:color="auto"/>
              <w:right w:val="single" w:sz="4" w:space="0" w:color="auto"/>
            </w:tcBorders>
            <w:shd w:val="clear" w:color="auto" w:fill="C6EFCE"/>
            <w:noWrap/>
          </w:tcPr>
          <w:p w14:paraId="084DFB69" w14:textId="5CE2641D" w:rsidR="00A00259" w:rsidRDefault="00371282">
            <w:pPr>
              <w:pStyle w:val="P68B1DB1-Normal23"/>
              <w:spacing w:after="0" w:line="240" w:lineRule="auto"/>
              <w:rPr>
                <w:noProof/>
              </w:rPr>
            </w:pPr>
            <w:r>
              <w:rPr>
                <w:noProof/>
              </w:rPr>
              <w:t>Formations pour les employés du secteur public,</w:t>
            </w:r>
          </w:p>
          <w:p w14:paraId="32B2AF2E" w14:textId="77777777" w:rsidR="00A00259" w:rsidRDefault="00371282">
            <w:pPr>
              <w:pStyle w:val="P68B1DB1-Normal23"/>
              <w:spacing w:after="0" w:line="240" w:lineRule="auto"/>
              <w:rPr>
                <w:noProof/>
              </w:rPr>
            </w:pPr>
            <w:r>
              <w:rPr>
                <w:noProof/>
              </w:rPr>
              <w:t>entrée en vigueur des actes juridiques</w:t>
            </w:r>
          </w:p>
          <w:p w14:paraId="0BF74EDB" w14:textId="77777777" w:rsidR="00A00259" w:rsidRDefault="00371282">
            <w:pPr>
              <w:pStyle w:val="P68B1DB1-Normal23"/>
              <w:spacing w:after="0" w:line="240" w:lineRule="auto"/>
              <w:rPr>
                <w:noProof/>
              </w:rPr>
            </w:pPr>
            <w:r>
              <w:rPr>
                <w:noProof/>
              </w:rPr>
              <w:t>mise en service des systèmes d'information </w:t>
            </w:r>
          </w:p>
          <w:p w14:paraId="2998E48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54" w:type="dxa"/>
            <w:tcBorders>
              <w:top w:val="nil"/>
              <w:left w:val="nil"/>
              <w:bottom w:val="single" w:sz="4" w:space="0" w:color="auto"/>
              <w:right w:val="single" w:sz="4" w:space="0" w:color="auto"/>
            </w:tcBorders>
            <w:shd w:val="clear" w:color="auto" w:fill="C6EFCE"/>
            <w:noWrap/>
          </w:tcPr>
          <w:p w14:paraId="6984C98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2633B40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05" w:type="dxa"/>
            <w:tcBorders>
              <w:top w:val="nil"/>
              <w:left w:val="nil"/>
              <w:bottom w:val="single" w:sz="4" w:space="0" w:color="auto"/>
              <w:right w:val="single" w:sz="4" w:space="0" w:color="auto"/>
            </w:tcBorders>
            <w:shd w:val="clear" w:color="auto" w:fill="C6EFCE"/>
            <w:noWrap/>
          </w:tcPr>
          <w:p w14:paraId="288F548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nil"/>
              <w:left w:val="nil"/>
              <w:bottom w:val="single" w:sz="4" w:space="0" w:color="auto"/>
              <w:right w:val="single" w:sz="4" w:space="0" w:color="auto"/>
            </w:tcBorders>
            <w:shd w:val="clear" w:color="auto" w:fill="C6EFCE"/>
            <w:noWrap/>
          </w:tcPr>
          <w:p w14:paraId="1DAA97E9" w14:textId="77777777" w:rsidR="00A00259" w:rsidRDefault="00371282">
            <w:pPr>
              <w:pStyle w:val="P68B1DB1-Normal12"/>
              <w:spacing w:after="0" w:line="240" w:lineRule="auto"/>
              <w:rPr>
                <w:rFonts w:eastAsia="Times New Roman"/>
                <w:noProof/>
              </w:rPr>
            </w:pPr>
            <w:r>
              <w:rPr>
                <w:noProof/>
              </w:rPr>
              <w:t>T4</w:t>
            </w:r>
          </w:p>
        </w:tc>
        <w:tc>
          <w:tcPr>
            <w:tcW w:w="827" w:type="dxa"/>
            <w:tcBorders>
              <w:top w:val="nil"/>
              <w:left w:val="nil"/>
              <w:bottom w:val="single" w:sz="4" w:space="0" w:color="auto"/>
              <w:right w:val="single" w:sz="4" w:space="0" w:color="auto"/>
            </w:tcBorders>
            <w:shd w:val="clear" w:color="auto" w:fill="C6EFCE"/>
            <w:noWrap/>
          </w:tcPr>
          <w:p w14:paraId="34928975" w14:textId="77777777" w:rsidR="00A00259" w:rsidRDefault="00371282">
            <w:pPr>
              <w:pStyle w:val="P68B1DB1-Normal12"/>
              <w:spacing w:after="0" w:line="240" w:lineRule="auto"/>
              <w:rPr>
                <w:rFonts w:eastAsia="Times New Roman"/>
                <w:noProof/>
              </w:rPr>
            </w:pPr>
            <w:r>
              <w:rPr>
                <w:noProof/>
              </w:rPr>
              <w:t>2025</w:t>
            </w:r>
          </w:p>
        </w:tc>
        <w:tc>
          <w:tcPr>
            <w:tcW w:w="4819" w:type="dxa"/>
            <w:tcBorders>
              <w:top w:val="nil"/>
              <w:left w:val="nil"/>
              <w:bottom w:val="single" w:sz="4" w:space="0" w:color="auto"/>
              <w:right w:val="single" w:sz="4" w:space="0" w:color="auto"/>
            </w:tcBorders>
            <w:shd w:val="clear" w:color="auto" w:fill="C6EFCE"/>
            <w:noWrap/>
          </w:tcPr>
          <w:p w14:paraId="74B00FBD" w14:textId="0EA33519" w:rsidR="00A00259" w:rsidRDefault="00371282">
            <w:pPr>
              <w:pStyle w:val="P68B1DB1-Normal12"/>
              <w:spacing w:after="0" w:line="240" w:lineRule="auto"/>
              <w:rPr>
                <w:rFonts w:eastAsia="Times New Roman"/>
                <w:noProof/>
              </w:rPr>
            </w:pPr>
            <w:r>
              <w:rPr>
                <w:noProof/>
              </w:rPr>
              <w:t xml:space="preserve">i) Réalisation de 225 000 formations certifiées d'employés du secteur public. </w:t>
            </w:r>
          </w:p>
          <w:p w14:paraId="2158B561" w14:textId="77777777" w:rsidR="00A00259" w:rsidRDefault="00371282">
            <w:pPr>
              <w:pStyle w:val="P68B1DB1-Normal12"/>
              <w:spacing w:after="0" w:line="240" w:lineRule="auto"/>
              <w:rPr>
                <w:noProof/>
              </w:rPr>
            </w:pPr>
            <w:r>
              <w:rPr>
                <w:noProof/>
              </w:rPr>
              <w:t>ii) Entrée en vigueur des actes juridiques visant à accélérer les procédures de recrutement dans le secteur public.</w:t>
            </w:r>
          </w:p>
          <w:p w14:paraId="63331D7B" w14:textId="77777777" w:rsidR="00A00259" w:rsidRDefault="00371282">
            <w:pPr>
              <w:pStyle w:val="P68B1DB1-Normal12"/>
              <w:spacing w:after="0" w:line="240" w:lineRule="auto"/>
              <w:rPr>
                <w:noProof/>
              </w:rPr>
            </w:pPr>
            <w:r>
              <w:rPr>
                <w:noProof/>
              </w:rPr>
              <w:t xml:space="preserve">iii) Mise en service d'un système d'information pour le Conseil supérieur de sélection du personnel civil (ASEP); </w:t>
            </w:r>
          </w:p>
          <w:p w14:paraId="3AFEF052" w14:textId="77777777" w:rsidR="00A00259" w:rsidRDefault="00371282">
            <w:pPr>
              <w:pStyle w:val="P68B1DB1-Normal12"/>
              <w:spacing w:after="0" w:line="240" w:lineRule="auto"/>
              <w:rPr>
                <w:rFonts w:eastAsia="Times New Roman"/>
                <w:noProof/>
              </w:rPr>
            </w:pPr>
            <w:r>
              <w:rPr>
                <w:noProof/>
              </w:rPr>
              <w:t>iv) Mise en service du système d’information qui soutient le cadre de planification stratégique des effectifs utilisant l’intelligence artificielle.</w:t>
            </w:r>
          </w:p>
        </w:tc>
      </w:tr>
    </w:tbl>
    <w:p w14:paraId="449CFE26" w14:textId="77777777" w:rsidR="00A00259" w:rsidRDefault="00A00259">
      <w:pPr>
        <w:spacing w:before="120" w:after="120" w:line="240" w:lineRule="auto"/>
        <w:jc w:val="both"/>
        <w:rPr>
          <w:rFonts w:ascii="Times New Roman" w:hAnsi="Times New Roman" w:cs="Times New Roman"/>
          <w:noProof/>
          <w:sz w:val="24"/>
          <w:szCs w:val="24"/>
        </w:rPr>
      </w:pPr>
    </w:p>
    <w:p w14:paraId="55CEC68E" w14:textId="77777777" w:rsidR="00A00259" w:rsidRDefault="00A00259">
      <w:pPr>
        <w:keepNext/>
        <w:keepLines/>
        <w:spacing w:before="40" w:after="0" w:line="240" w:lineRule="auto"/>
        <w:jc w:val="both"/>
        <w:outlineLvl w:val="4"/>
        <w:rPr>
          <w:rFonts w:ascii="Cambria" w:hAnsi="Cambria"/>
          <w:noProof/>
          <w:color w:val="365F91"/>
          <w:sz w:val="24"/>
        </w:rPr>
        <w:sectPr w:rsidR="00A00259">
          <w:headerReference w:type="even" r:id="rId276"/>
          <w:headerReference w:type="default" r:id="rId277"/>
          <w:footerReference w:type="even" r:id="rId278"/>
          <w:footerReference w:type="default" r:id="rId279"/>
          <w:headerReference w:type="first" r:id="rId280"/>
          <w:footerReference w:type="first" r:id="rId281"/>
          <w:pgSz w:w="16839" w:h="11907" w:orient="landscape"/>
          <w:pgMar w:top="1134" w:right="1134" w:bottom="1134" w:left="1134" w:header="567" w:footer="567" w:gutter="0"/>
          <w:cols w:space="720"/>
          <w:docGrid w:linePitch="360"/>
        </w:sectPr>
      </w:pPr>
    </w:p>
    <w:p w14:paraId="78A40BC0" w14:textId="77777777" w:rsidR="00A00259" w:rsidRDefault="00371282">
      <w:pPr>
        <w:pStyle w:val="P68B1DB1-Normal9"/>
        <w:keepNext/>
        <w:keepLines/>
        <w:spacing w:before="40" w:after="0" w:line="240" w:lineRule="auto"/>
        <w:jc w:val="both"/>
        <w:outlineLvl w:val="4"/>
        <w:rPr>
          <w:rFonts w:eastAsia="Times New Roman"/>
          <w:noProof/>
        </w:rPr>
      </w:pPr>
      <w:r>
        <w:rPr>
          <w:noProof/>
        </w:rPr>
        <w:t>Groupe 19: Lutte contre le blanchiment de capitaux et la corruption</w:t>
      </w:r>
    </w:p>
    <w:p w14:paraId="4863C09B" w14:textId="77777777" w:rsidR="00A00259" w:rsidRDefault="00371282">
      <w:pPr>
        <w:pStyle w:val="P68B1DB1-Normal5"/>
        <w:numPr>
          <w:ilvl w:val="0"/>
          <w:numId w:val="61"/>
        </w:numPr>
        <w:spacing w:before="120" w:after="0" w:line="240" w:lineRule="auto"/>
        <w:jc w:val="both"/>
        <w:rPr>
          <w:rFonts w:cs="Times New Roman"/>
          <w:noProof/>
        </w:rPr>
      </w:pPr>
      <w:r>
        <w:rPr>
          <w:noProof/>
        </w:rPr>
        <w:t>Renforcer le cadre de lutte contre le blanchiment de capitaux et le financement du terrorisme (ID: 16702)</w:t>
      </w:r>
    </w:p>
    <w:p w14:paraId="35E0DDE4" w14:textId="77777777" w:rsidR="00A00259" w:rsidRDefault="00371282">
      <w:pPr>
        <w:pStyle w:val="P68B1DB1-Normal5"/>
        <w:numPr>
          <w:ilvl w:val="0"/>
          <w:numId w:val="61"/>
        </w:numPr>
        <w:spacing w:before="120" w:after="0" w:line="240" w:lineRule="auto"/>
        <w:jc w:val="both"/>
        <w:rPr>
          <w:rFonts w:cs="Times New Roman"/>
          <w:noProof/>
        </w:rPr>
      </w:pPr>
      <w:r>
        <w:rPr>
          <w:noProof/>
        </w:rPr>
        <w:t>Lutte contre le commerce illicite et protection de la propriété intellectuelle (ID: 16703)</w:t>
      </w:r>
    </w:p>
    <w:p w14:paraId="0EAD36AB" w14:textId="77777777" w:rsidR="00A00259" w:rsidRDefault="00371282">
      <w:pPr>
        <w:pStyle w:val="P68B1DB1-Normal5"/>
        <w:numPr>
          <w:ilvl w:val="0"/>
          <w:numId w:val="61"/>
        </w:numPr>
        <w:spacing w:before="120" w:after="0" w:line="240" w:lineRule="auto"/>
        <w:jc w:val="both"/>
        <w:rPr>
          <w:rFonts w:cs="Times New Roman"/>
          <w:noProof/>
        </w:rPr>
      </w:pPr>
      <w:r>
        <w:rPr>
          <w:noProof/>
        </w:rPr>
        <w:t>Renforcement du cadre national de lutte contre la corruption (ID: 16952)</w:t>
      </w:r>
    </w:p>
    <w:p w14:paraId="2616F27F" w14:textId="77777777" w:rsidR="00A00259" w:rsidRDefault="00371282">
      <w:pPr>
        <w:pStyle w:val="P68B1DB1-Normal5"/>
        <w:numPr>
          <w:ilvl w:val="0"/>
          <w:numId w:val="61"/>
        </w:numPr>
        <w:spacing w:before="120" w:after="120" w:line="240" w:lineRule="auto"/>
        <w:jc w:val="both"/>
        <w:rPr>
          <w:rFonts w:cs="Times New Roman"/>
          <w:noProof/>
          <w:szCs w:val="24"/>
        </w:rPr>
      </w:pPr>
      <w:r>
        <w:rPr>
          <w:noProof/>
        </w:rPr>
        <w:t>Lutte efficace contre la corruption (ID: 16978)</w:t>
      </w:r>
    </w:p>
    <w:tbl>
      <w:tblPr>
        <w:tblW w:w="15878" w:type="dxa"/>
        <w:jc w:val="center"/>
        <w:tblLook w:val="04A0" w:firstRow="1" w:lastRow="0" w:firstColumn="1" w:lastColumn="0" w:noHBand="0" w:noVBand="1"/>
      </w:tblPr>
      <w:tblGrid>
        <w:gridCol w:w="666"/>
        <w:gridCol w:w="1974"/>
        <w:gridCol w:w="1150"/>
        <w:gridCol w:w="1426"/>
        <w:gridCol w:w="1534"/>
        <w:gridCol w:w="933"/>
        <w:gridCol w:w="936"/>
        <w:gridCol w:w="846"/>
        <w:gridCol w:w="986"/>
        <w:gridCol w:w="708"/>
        <w:gridCol w:w="5110"/>
      </w:tblGrid>
      <w:tr w:rsidR="00A00259" w14:paraId="1D93653E" w14:textId="77777777">
        <w:trPr>
          <w:trHeight w:val="774"/>
          <w:tblHeader/>
          <w:jc w:val="center"/>
        </w:trPr>
        <w:tc>
          <w:tcPr>
            <w:tcW w:w="666"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5961CAB3" w14:textId="77777777" w:rsidR="00A00259" w:rsidRDefault="00371282">
            <w:pPr>
              <w:pStyle w:val="P68B1DB1-Normal15"/>
              <w:spacing w:after="0" w:line="240" w:lineRule="auto"/>
              <w:jc w:val="center"/>
              <w:rPr>
                <w:rFonts w:eastAsia="Times New Roman"/>
                <w:bCs/>
                <w:noProof/>
              </w:rPr>
            </w:pPr>
            <w:r>
              <w:rPr>
                <w:noProof/>
              </w:rPr>
              <w:t xml:space="preserve">Seq. </w:t>
            </w:r>
            <w:r>
              <w:rPr>
                <w:noProof/>
              </w:rPr>
              <w:br/>
              <w:t>Non.</w:t>
            </w:r>
          </w:p>
        </w:tc>
        <w:tc>
          <w:tcPr>
            <w:tcW w:w="197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17AA29B2" w14:textId="77777777" w:rsidR="00A00259" w:rsidRDefault="00371282">
            <w:pPr>
              <w:pStyle w:val="P68B1DB1-Normal41"/>
              <w:spacing w:after="0" w:line="240" w:lineRule="auto"/>
              <w:jc w:val="center"/>
              <w:rPr>
                <w:rFonts w:eastAsia="Times New Roman" w:cs="Times New Roman"/>
                <w:bCs/>
                <w:noProof/>
              </w:rPr>
            </w:pPr>
            <w:r>
              <w:rPr>
                <w:noProof/>
              </w:rPr>
              <w:t>Mesure connexe (réforme ou investissement)</w:t>
            </w:r>
          </w:p>
        </w:tc>
        <w:tc>
          <w:tcPr>
            <w:tcW w:w="1150"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760E3E05" w14:textId="77777777" w:rsidR="00A00259" w:rsidRDefault="00371282">
            <w:pPr>
              <w:pStyle w:val="P68B1DB1-Normal41"/>
              <w:spacing w:after="0" w:line="240" w:lineRule="auto"/>
              <w:jc w:val="center"/>
              <w:rPr>
                <w:rFonts w:eastAsia="Times New Roman" w:cs="Times New Roman"/>
                <w:bCs/>
                <w:noProof/>
              </w:rPr>
            </w:pPr>
            <w:r>
              <w:rPr>
                <w:noProof/>
              </w:rPr>
              <w:t>Étape/cible</w:t>
            </w:r>
          </w:p>
        </w:tc>
        <w:tc>
          <w:tcPr>
            <w:tcW w:w="1393"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1B6E340A" w14:textId="77777777" w:rsidR="00A00259" w:rsidRDefault="00371282">
            <w:pPr>
              <w:pStyle w:val="P68B1DB1-Normal41"/>
              <w:spacing w:after="0" w:line="240" w:lineRule="auto"/>
              <w:jc w:val="center"/>
              <w:rPr>
                <w:rFonts w:eastAsia="Times New Roman" w:cs="Times New Roman"/>
                <w:bCs/>
                <w:noProof/>
              </w:rPr>
            </w:pPr>
            <w:r>
              <w:rPr>
                <w:noProof/>
              </w:rPr>
              <w:t>Nom</w:t>
            </w:r>
          </w:p>
        </w:tc>
        <w:tc>
          <w:tcPr>
            <w:tcW w:w="153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6DCF1E99" w14:textId="77777777" w:rsidR="00A00259" w:rsidRDefault="00371282">
            <w:pPr>
              <w:pStyle w:val="P68B1DB1-Normal41"/>
              <w:spacing w:after="0" w:line="240" w:lineRule="auto"/>
              <w:jc w:val="center"/>
              <w:rPr>
                <w:rFonts w:eastAsia="Times New Roman" w:cs="Times New Roman"/>
                <w:bCs/>
                <w:noProof/>
              </w:rPr>
            </w:pPr>
            <w:r>
              <w:rPr>
                <w:noProof/>
              </w:rPr>
              <w:t>Indicateurs qualitatifs (pour les jalons)</w:t>
            </w:r>
          </w:p>
        </w:tc>
        <w:tc>
          <w:tcPr>
            <w:tcW w:w="2492" w:type="dxa"/>
            <w:gridSpan w:val="3"/>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3DD5D1E9" w14:textId="77777777" w:rsidR="00A00259" w:rsidRDefault="00371282">
            <w:pPr>
              <w:pStyle w:val="P68B1DB1-Normal41"/>
              <w:spacing w:after="0" w:line="240" w:lineRule="auto"/>
              <w:jc w:val="center"/>
              <w:rPr>
                <w:rFonts w:eastAsia="Times New Roman" w:cs="Times New Roman"/>
                <w:bCs/>
                <w:noProof/>
              </w:rPr>
            </w:pPr>
            <w:r>
              <w:rPr>
                <w:noProof/>
              </w:rPr>
              <w:t>Indicateurs quantitatifs (pour les objectifs)</w:t>
            </w:r>
          </w:p>
        </w:tc>
        <w:tc>
          <w:tcPr>
            <w:tcW w:w="1559" w:type="dxa"/>
            <w:gridSpan w:val="2"/>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4EE2BB13" w14:textId="77777777" w:rsidR="00A00259" w:rsidRDefault="00371282">
            <w:pPr>
              <w:pStyle w:val="P68B1DB1-Normal41"/>
              <w:spacing w:after="0" w:line="240" w:lineRule="auto"/>
              <w:jc w:val="center"/>
              <w:rPr>
                <w:rFonts w:eastAsia="Times New Roman" w:cs="Times New Roman"/>
                <w:bCs/>
                <w:noProof/>
              </w:rPr>
            </w:pPr>
            <w:r>
              <w:rPr>
                <w:noProof/>
              </w:rPr>
              <w:t xml:space="preserve">Calendrier indicatif d'achèvement </w:t>
            </w:r>
          </w:p>
        </w:tc>
        <w:tc>
          <w:tcPr>
            <w:tcW w:w="5110"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6B2FA32A" w14:textId="77777777" w:rsidR="00A00259" w:rsidRDefault="00371282">
            <w:pPr>
              <w:pStyle w:val="P68B1DB1-Normal41"/>
              <w:spacing w:after="0" w:line="240" w:lineRule="auto"/>
              <w:jc w:val="center"/>
              <w:rPr>
                <w:rFonts w:eastAsia="Times New Roman" w:cs="Times New Roman"/>
                <w:bCs/>
                <w:noProof/>
              </w:rPr>
            </w:pPr>
            <w:r>
              <w:rPr>
                <w:noProof/>
              </w:rPr>
              <w:t>Description de chaque jalon et cible</w:t>
            </w:r>
          </w:p>
        </w:tc>
      </w:tr>
      <w:tr w:rsidR="00A00259" w14:paraId="1DBC3379" w14:textId="77777777">
        <w:trPr>
          <w:trHeight w:val="532"/>
          <w:tblHeader/>
          <w:jc w:val="center"/>
        </w:trPr>
        <w:tc>
          <w:tcPr>
            <w:tcW w:w="666" w:type="dxa"/>
            <w:vMerge/>
            <w:tcBorders>
              <w:top w:val="single" w:sz="2" w:space="0" w:color="000000"/>
              <w:left w:val="single" w:sz="2" w:space="0" w:color="000000"/>
              <w:bottom w:val="single" w:sz="2" w:space="0" w:color="000000"/>
              <w:right w:val="single" w:sz="2" w:space="0" w:color="000000"/>
            </w:tcBorders>
            <w:vAlign w:val="center"/>
            <w:hideMark/>
          </w:tcPr>
          <w:p w14:paraId="3A9FAD0D" w14:textId="77777777" w:rsidR="00A00259" w:rsidRDefault="00A00259">
            <w:pPr>
              <w:spacing w:after="0" w:line="240" w:lineRule="auto"/>
              <w:rPr>
                <w:rFonts w:ascii="Times New Roman" w:eastAsia="Times New Roman" w:hAnsi="Times New Roman" w:cs="Times New Roman"/>
                <w:b/>
                <w:bCs/>
                <w:noProof/>
                <w:sz w:val="18"/>
                <w:szCs w:val="18"/>
              </w:rPr>
            </w:pPr>
          </w:p>
        </w:tc>
        <w:tc>
          <w:tcPr>
            <w:tcW w:w="1974" w:type="dxa"/>
            <w:vMerge/>
            <w:tcBorders>
              <w:top w:val="single" w:sz="2" w:space="0" w:color="000000"/>
              <w:left w:val="single" w:sz="2" w:space="0" w:color="000000"/>
              <w:bottom w:val="single" w:sz="2" w:space="0" w:color="000000"/>
              <w:right w:val="single" w:sz="2" w:space="0" w:color="000000"/>
            </w:tcBorders>
            <w:vAlign w:val="center"/>
            <w:hideMark/>
          </w:tcPr>
          <w:p w14:paraId="1ABEA809" w14:textId="77777777" w:rsidR="00A00259" w:rsidRDefault="00A00259">
            <w:pPr>
              <w:spacing w:after="0" w:line="240" w:lineRule="auto"/>
              <w:rPr>
                <w:rFonts w:ascii="Times New Roman" w:eastAsia="Times New Roman" w:hAnsi="Times New Roman" w:cs="Times New Roman"/>
                <w:b/>
                <w:bCs/>
                <w:noProof/>
                <w:sz w:val="18"/>
                <w:szCs w:val="18"/>
              </w:rPr>
            </w:pPr>
          </w:p>
        </w:tc>
        <w:tc>
          <w:tcPr>
            <w:tcW w:w="1150" w:type="dxa"/>
            <w:vMerge/>
            <w:tcBorders>
              <w:top w:val="single" w:sz="2" w:space="0" w:color="000000"/>
              <w:left w:val="single" w:sz="2" w:space="0" w:color="000000"/>
              <w:bottom w:val="single" w:sz="2" w:space="0" w:color="000000"/>
              <w:right w:val="single" w:sz="2" w:space="0" w:color="000000"/>
            </w:tcBorders>
            <w:vAlign w:val="center"/>
            <w:hideMark/>
          </w:tcPr>
          <w:p w14:paraId="1F4132B8" w14:textId="77777777" w:rsidR="00A00259" w:rsidRDefault="00A00259">
            <w:pPr>
              <w:spacing w:after="0" w:line="240" w:lineRule="auto"/>
              <w:rPr>
                <w:rFonts w:ascii="Times New Roman" w:eastAsia="Times New Roman" w:hAnsi="Times New Roman" w:cs="Times New Roman"/>
                <w:b/>
                <w:bCs/>
                <w:noProof/>
                <w:sz w:val="18"/>
                <w:szCs w:val="18"/>
              </w:rPr>
            </w:pPr>
          </w:p>
        </w:tc>
        <w:tc>
          <w:tcPr>
            <w:tcW w:w="1393" w:type="dxa"/>
            <w:vMerge/>
            <w:tcBorders>
              <w:top w:val="single" w:sz="2" w:space="0" w:color="000000"/>
              <w:left w:val="single" w:sz="2" w:space="0" w:color="000000"/>
              <w:bottom w:val="single" w:sz="2" w:space="0" w:color="000000"/>
              <w:right w:val="single" w:sz="2" w:space="0" w:color="000000"/>
            </w:tcBorders>
            <w:vAlign w:val="center"/>
            <w:hideMark/>
          </w:tcPr>
          <w:p w14:paraId="23438155" w14:textId="77777777" w:rsidR="00A00259" w:rsidRDefault="00A00259">
            <w:pPr>
              <w:spacing w:after="0" w:line="240" w:lineRule="auto"/>
              <w:rPr>
                <w:rFonts w:ascii="Times New Roman" w:eastAsia="Times New Roman" w:hAnsi="Times New Roman" w:cs="Times New Roman"/>
                <w:b/>
                <w:bCs/>
                <w:noProof/>
                <w:sz w:val="18"/>
                <w:szCs w:val="18"/>
              </w:rPr>
            </w:pPr>
          </w:p>
        </w:tc>
        <w:tc>
          <w:tcPr>
            <w:tcW w:w="1534" w:type="dxa"/>
            <w:vMerge/>
            <w:tcBorders>
              <w:top w:val="single" w:sz="2" w:space="0" w:color="000000"/>
              <w:left w:val="single" w:sz="2" w:space="0" w:color="000000"/>
              <w:bottom w:val="single" w:sz="2" w:space="0" w:color="000000"/>
              <w:right w:val="single" w:sz="2" w:space="0" w:color="000000"/>
            </w:tcBorders>
            <w:vAlign w:val="center"/>
            <w:hideMark/>
          </w:tcPr>
          <w:p w14:paraId="6FC54E1A" w14:textId="77777777" w:rsidR="00A00259" w:rsidRDefault="00A00259">
            <w:pPr>
              <w:spacing w:after="0" w:line="240" w:lineRule="auto"/>
              <w:rPr>
                <w:rFonts w:ascii="Times New Roman" w:eastAsia="Times New Roman" w:hAnsi="Times New Roman" w:cs="Times New Roman"/>
                <w:b/>
                <w:bCs/>
                <w:noProof/>
                <w:sz w:val="18"/>
                <w:szCs w:val="18"/>
              </w:rPr>
            </w:pPr>
          </w:p>
        </w:tc>
        <w:tc>
          <w:tcPr>
            <w:tcW w:w="933"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7F522C6F" w14:textId="77777777" w:rsidR="00A00259" w:rsidRDefault="00371282">
            <w:pPr>
              <w:pStyle w:val="P68B1DB1-Normal41"/>
              <w:spacing w:after="0" w:line="240" w:lineRule="auto"/>
              <w:jc w:val="center"/>
              <w:rPr>
                <w:rFonts w:eastAsia="Times New Roman" w:cs="Times New Roman"/>
                <w:bCs/>
                <w:noProof/>
              </w:rPr>
            </w:pPr>
            <w:r>
              <w:rPr>
                <w:noProof/>
              </w:rPr>
              <w:t>Unité de mesure</w:t>
            </w:r>
          </w:p>
        </w:tc>
        <w:tc>
          <w:tcPr>
            <w:tcW w:w="857"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0E7F9B3C" w14:textId="77777777" w:rsidR="00A00259" w:rsidRDefault="00371282">
            <w:pPr>
              <w:pStyle w:val="P68B1DB1-Normal41"/>
              <w:spacing w:after="0" w:line="240" w:lineRule="auto"/>
              <w:jc w:val="center"/>
              <w:rPr>
                <w:rFonts w:eastAsia="Times New Roman" w:cs="Times New Roman"/>
                <w:bCs/>
                <w:noProof/>
              </w:rPr>
            </w:pPr>
            <w:r>
              <w:rPr>
                <w:noProof/>
              </w:rPr>
              <w:t xml:space="preserve">Données de référence </w:t>
            </w:r>
          </w:p>
        </w:tc>
        <w:tc>
          <w:tcPr>
            <w:tcW w:w="702"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5072F87B" w14:textId="77777777" w:rsidR="00A00259" w:rsidRDefault="00371282">
            <w:pPr>
              <w:pStyle w:val="P68B1DB1-Normal41"/>
              <w:spacing w:after="0" w:line="240" w:lineRule="auto"/>
              <w:jc w:val="center"/>
              <w:rPr>
                <w:rFonts w:eastAsia="Times New Roman" w:cs="Times New Roman"/>
                <w:bCs/>
                <w:noProof/>
              </w:rPr>
            </w:pPr>
            <w:r>
              <w:rPr>
                <w:noProof/>
              </w:rPr>
              <w:t xml:space="preserve">Objectif </w:t>
            </w:r>
          </w:p>
        </w:tc>
        <w:tc>
          <w:tcPr>
            <w:tcW w:w="851"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65B35C8D" w14:textId="77777777" w:rsidR="00A00259" w:rsidRDefault="00371282">
            <w:pPr>
              <w:pStyle w:val="P68B1DB1-Normal41"/>
              <w:spacing w:after="0" w:line="240" w:lineRule="auto"/>
              <w:jc w:val="center"/>
              <w:rPr>
                <w:rFonts w:eastAsia="Times New Roman" w:cs="Times New Roman"/>
                <w:bCs/>
                <w:noProof/>
              </w:rPr>
            </w:pPr>
            <w:r>
              <w:rPr>
                <w:noProof/>
              </w:rPr>
              <w:t>Trimestre</w:t>
            </w:r>
          </w:p>
        </w:tc>
        <w:tc>
          <w:tcPr>
            <w:tcW w:w="708"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CF26D35" w14:textId="77777777" w:rsidR="00A00259" w:rsidRDefault="00371282">
            <w:pPr>
              <w:pStyle w:val="P68B1DB1-Normal41"/>
              <w:spacing w:after="0" w:line="240" w:lineRule="auto"/>
              <w:jc w:val="center"/>
              <w:rPr>
                <w:rFonts w:eastAsia="Times New Roman" w:cs="Times New Roman"/>
                <w:bCs/>
                <w:noProof/>
              </w:rPr>
            </w:pPr>
            <w:r>
              <w:rPr>
                <w:noProof/>
              </w:rPr>
              <w:t>Année</w:t>
            </w:r>
          </w:p>
        </w:tc>
        <w:tc>
          <w:tcPr>
            <w:tcW w:w="5110" w:type="dxa"/>
            <w:vMerge/>
            <w:tcBorders>
              <w:top w:val="single" w:sz="2" w:space="0" w:color="000000"/>
              <w:left w:val="single" w:sz="2" w:space="0" w:color="000000"/>
              <w:bottom w:val="single" w:sz="2" w:space="0" w:color="000000"/>
              <w:right w:val="single" w:sz="2" w:space="0" w:color="000000"/>
            </w:tcBorders>
            <w:vAlign w:val="center"/>
            <w:hideMark/>
          </w:tcPr>
          <w:p w14:paraId="6B5457E1"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7C52C8A7" w14:textId="77777777">
        <w:trPr>
          <w:trHeight w:val="313"/>
          <w:jc w:val="center"/>
        </w:trPr>
        <w:tc>
          <w:tcPr>
            <w:tcW w:w="666" w:type="dxa"/>
            <w:tcBorders>
              <w:top w:val="single" w:sz="2" w:space="0" w:color="000000"/>
              <w:left w:val="single" w:sz="2" w:space="0" w:color="000000"/>
              <w:bottom w:val="single" w:sz="2" w:space="0" w:color="000000"/>
              <w:right w:val="single" w:sz="2" w:space="0" w:color="000000"/>
            </w:tcBorders>
            <w:shd w:val="clear" w:color="auto" w:fill="C6EFCE"/>
            <w:noWrap/>
          </w:tcPr>
          <w:p w14:paraId="580F6F9D" w14:textId="77777777" w:rsidR="00A00259" w:rsidRDefault="00371282">
            <w:pPr>
              <w:pStyle w:val="P68B1DB1-Normal12"/>
              <w:spacing w:after="0" w:line="240" w:lineRule="auto"/>
              <w:rPr>
                <w:rFonts w:eastAsia="Times New Roman"/>
                <w:noProof/>
              </w:rPr>
            </w:pPr>
            <w:r>
              <w:rPr>
                <w:noProof/>
              </w:rPr>
              <w:t>209</w:t>
            </w:r>
          </w:p>
        </w:tc>
        <w:tc>
          <w:tcPr>
            <w:tcW w:w="1974" w:type="dxa"/>
            <w:tcBorders>
              <w:top w:val="single" w:sz="2" w:space="0" w:color="000000"/>
              <w:left w:val="single" w:sz="2" w:space="0" w:color="000000"/>
              <w:bottom w:val="single" w:sz="2" w:space="0" w:color="000000"/>
              <w:right w:val="single" w:sz="2" w:space="0" w:color="000000"/>
            </w:tcBorders>
            <w:shd w:val="clear" w:color="auto" w:fill="C6EFCE"/>
            <w:noWrap/>
          </w:tcPr>
          <w:p w14:paraId="6339BEE3" w14:textId="77777777" w:rsidR="00A00259" w:rsidRDefault="00371282">
            <w:pPr>
              <w:pStyle w:val="P68B1DB1-Normal12"/>
              <w:spacing w:after="0" w:line="240" w:lineRule="auto"/>
              <w:rPr>
                <w:rFonts w:eastAsia="Times New Roman"/>
                <w:noProof/>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- 16978_Lutte efficace contre la corruption</w:t>
            </w:r>
          </w:p>
        </w:tc>
        <w:tc>
          <w:tcPr>
            <w:tcW w:w="1150" w:type="dxa"/>
            <w:tcBorders>
              <w:top w:val="single" w:sz="2" w:space="0" w:color="000000"/>
              <w:left w:val="single" w:sz="2" w:space="0" w:color="000000"/>
              <w:bottom w:val="single" w:sz="2" w:space="0" w:color="000000"/>
              <w:right w:val="single" w:sz="2" w:space="0" w:color="000000"/>
            </w:tcBorders>
            <w:shd w:val="clear" w:color="auto" w:fill="C6EFCE"/>
            <w:noWrap/>
          </w:tcPr>
          <w:p w14:paraId="395CF709" w14:textId="77777777" w:rsidR="00A00259" w:rsidRDefault="00371282">
            <w:pPr>
              <w:pStyle w:val="P68B1DB1-Normal12"/>
              <w:spacing w:after="0" w:line="240" w:lineRule="auto"/>
              <w:rPr>
                <w:rFonts w:eastAsia="Times New Roman"/>
                <w:noProof/>
              </w:rPr>
            </w:pPr>
            <w:r>
              <w:rPr>
                <w:noProof/>
              </w:rPr>
              <w:t>Étape</w:t>
            </w:r>
          </w:p>
        </w:tc>
        <w:tc>
          <w:tcPr>
            <w:tcW w:w="1393" w:type="dxa"/>
            <w:tcBorders>
              <w:top w:val="single" w:sz="2" w:space="0" w:color="000000"/>
              <w:left w:val="single" w:sz="2" w:space="0" w:color="000000"/>
              <w:bottom w:val="single" w:sz="2" w:space="0" w:color="000000"/>
              <w:right w:val="single" w:sz="2" w:space="0" w:color="000000"/>
            </w:tcBorders>
            <w:shd w:val="clear" w:color="auto" w:fill="C6EFCE"/>
            <w:noWrap/>
          </w:tcPr>
          <w:p w14:paraId="3E7DF5AD" w14:textId="77777777" w:rsidR="00A00259" w:rsidRDefault="00371282">
            <w:pPr>
              <w:pStyle w:val="P68B1DB1-Normal12"/>
              <w:spacing w:after="0" w:line="240" w:lineRule="auto"/>
              <w:rPr>
                <w:rFonts w:eastAsia="Times New Roman"/>
                <w:noProof/>
              </w:rPr>
            </w:pPr>
            <w:r>
              <w:rPr>
                <w:noProof/>
              </w:rPr>
              <w:t>Déclarations de patrimoine et partis politiques</w:t>
            </w:r>
          </w:p>
        </w:tc>
        <w:tc>
          <w:tcPr>
            <w:tcW w:w="1534" w:type="dxa"/>
            <w:tcBorders>
              <w:top w:val="single" w:sz="2" w:space="0" w:color="000000"/>
              <w:left w:val="single" w:sz="2" w:space="0" w:color="000000"/>
              <w:bottom w:val="single" w:sz="2" w:space="0" w:color="000000"/>
              <w:right w:val="single" w:sz="2" w:space="0" w:color="000000"/>
            </w:tcBorders>
            <w:shd w:val="clear" w:color="auto" w:fill="C6EFCE"/>
            <w:noWrap/>
          </w:tcPr>
          <w:p w14:paraId="0146CCC9" w14:textId="77777777" w:rsidR="00A00259" w:rsidRDefault="00371282">
            <w:pPr>
              <w:pStyle w:val="P68B1DB1-Normal12"/>
              <w:spacing w:after="0" w:line="240" w:lineRule="auto"/>
              <w:rPr>
                <w:rFonts w:eastAsia="Times New Roman"/>
                <w:noProof/>
              </w:rPr>
            </w:pPr>
            <w:r>
              <w:rPr>
                <w:noProof/>
              </w:rPr>
              <w:t>Entrée en vigueur de la nouvelle législation</w:t>
            </w:r>
          </w:p>
        </w:tc>
        <w:tc>
          <w:tcPr>
            <w:tcW w:w="933" w:type="dxa"/>
            <w:tcBorders>
              <w:top w:val="single" w:sz="2" w:space="0" w:color="000000"/>
              <w:left w:val="single" w:sz="2" w:space="0" w:color="000000"/>
              <w:bottom w:val="single" w:sz="2" w:space="0" w:color="000000"/>
              <w:right w:val="single" w:sz="2" w:space="0" w:color="000000"/>
            </w:tcBorders>
            <w:shd w:val="clear" w:color="auto" w:fill="C6EFCE"/>
            <w:noWrap/>
          </w:tcPr>
          <w:p w14:paraId="142AF3D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2" w:space="0" w:color="000000"/>
              <w:left w:val="single" w:sz="2" w:space="0" w:color="000000"/>
              <w:bottom w:val="single" w:sz="2" w:space="0" w:color="000000"/>
              <w:right w:val="single" w:sz="2" w:space="0" w:color="000000"/>
            </w:tcBorders>
            <w:shd w:val="clear" w:color="auto" w:fill="C6EFCE"/>
            <w:noWrap/>
          </w:tcPr>
          <w:p w14:paraId="4ED866A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02" w:type="dxa"/>
            <w:tcBorders>
              <w:top w:val="single" w:sz="2" w:space="0" w:color="000000"/>
              <w:left w:val="single" w:sz="2" w:space="0" w:color="000000"/>
              <w:bottom w:val="single" w:sz="2" w:space="0" w:color="000000"/>
              <w:right w:val="single" w:sz="2" w:space="0" w:color="000000"/>
            </w:tcBorders>
            <w:shd w:val="clear" w:color="auto" w:fill="C6EFCE"/>
            <w:noWrap/>
          </w:tcPr>
          <w:p w14:paraId="5EE5FB5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tcBorders>
              <w:top w:val="single" w:sz="2" w:space="0" w:color="000000"/>
              <w:left w:val="single" w:sz="2" w:space="0" w:color="000000"/>
              <w:bottom w:val="single" w:sz="2" w:space="0" w:color="000000"/>
              <w:right w:val="single" w:sz="2" w:space="0" w:color="000000"/>
            </w:tcBorders>
            <w:shd w:val="clear" w:color="auto" w:fill="C6EFCE"/>
            <w:noWrap/>
          </w:tcPr>
          <w:p w14:paraId="37E79697" w14:textId="77777777" w:rsidR="00A00259" w:rsidRDefault="00371282">
            <w:pPr>
              <w:pStyle w:val="P68B1DB1-Normal12"/>
              <w:spacing w:after="0" w:line="240" w:lineRule="auto"/>
              <w:rPr>
                <w:rFonts w:eastAsia="Times New Roman"/>
                <w:noProof/>
              </w:rPr>
            </w:pPr>
            <w:r>
              <w:rPr>
                <w:noProof/>
              </w:rPr>
              <w:t>T3</w:t>
            </w:r>
          </w:p>
        </w:tc>
        <w:tc>
          <w:tcPr>
            <w:tcW w:w="708" w:type="dxa"/>
            <w:tcBorders>
              <w:top w:val="single" w:sz="2" w:space="0" w:color="000000"/>
              <w:left w:val="single" w:sz="2" w:space="0" w:color="000000"/>
              <w:bottom w:val="single" w:sz="2" w:space="0" w:color="000000"/>
              <w:right w:val="single" w:sz="2" w:space="0" w:color="000000"/>
            </w:tcBorders>
            <w:shd w:val="clear" w:color="auto" w:fill="C6EFCE"/>
            <w:noWrap/>
          </w:tcPr>
          <w:p w14:paraId="4A88E6DC" w14:textId="77777777" w:rsidR="00A00259" w:rsidRDefault="00371282">
            <w:pPr>
              <w:pStyle w:val="P68B1DB1-Normal12"/>
              <w:spacing w:after="0" w:line="240" w:lineRule="auto"/>
              <w:rPr>
                <w:rFonts w:eastAsia="Times New Roman"/>
                <w:noProof/>
              </w:rPr>
            </w:pPr>
            <w:r>
              <w:rPr>
                <w:noProof/>
              </w:rPr>
              <w:t>2022</w:t>
            </w:r>
          </w:p>
        </w:tc>
        <w:tc>
          <w:tcPr>
            <w:tcW w:w="5110" w:type="dxa"/>
            <w:tcBorders>
              <w:top w:val="single" w:sz="2" w:space="0" w:color="000000"/>
              <w:left w:val="single" w:sz="2" w:space="0" w:color="000000"/>
              <w:bottom w:val="single" w:sz="2" w:space="0" w:color="000000"/>
              <w:right w:val="single" w:sz="2" w:space="0" w:color="000000"/>
            </w:tcBorders>
            <w:shd w:val="clear" w:color="auto" w:fill="C6EFCE"/>
            <w:noWrap/>
          </w:tcPr>
          <w:p w14:paraId="010D751F" w14:textId="77777777" w:rsidR="00A00259" w:rsidRDefault="00371282">
            <w:pPr>
              <w:pStyle w:val="P68B1DB1-Normal12"/>
              <w:spacing w:after="0" w:line="240" w:lineRule="auto"/>
              <w:rPr>
                <w:rFonts w:eastAsia="Times New Roman"/>
                <w:noProof/>
              </w:rPr>
            </w:pPr>
            <w:r>
              <w:rPr>
                <w:noProof/>
              </w:rPr>
              <w:t xml:space="preserve">Entrée en vigueur de la nouvelle législation concernant: i) Déclarations de patrimoine; ii) et la codification de la législation sur les partis politiques. </w:t>
            </w:r>
          </w:p>
        </w:tc>
      </w:tr>
      <w:tr w:rsidR="00A00259" w14:paraId="66D9C4C6" w14:textId="77777777">
        <w:trPr>
          <w:trHeight w:val="313"/>
          <w:jc w:val="center"/>
        </w:trPr>
        <w:tc>
          <w:tcPr>
            <w:tcW w:w="666" w:type="dxa"/>
            <w:tcBorders>
              <w:top w:val="single" w:sz="2" w:space="0" w:color="000000"/>
              <w:left w:val="single" w:sz="4" w:space="0" w:color="auto"/>
              <w:bottom w:val="single" w:sz="4" w:space="0" w:color="auto"/>
              <w:right w:val="single" w:sz="4" w:space="0" w:color="auto"/>
            </w:tcBorders>
            <w:shd w:val="clear" w:color="auto" w:fill="C6EFCE"/>
            <w:noWrap/>
          </w:tcPr>
          <w:p w14:paraId="0EE896D3" w14:textId="77777777" w:rsidR="00A00259" w:rsidRDefault="00371282">
            <w:pPr>
              <w:pStyle w:val="P68B1DB1-Normal12"/>
              <w:spacing w:after="0" w:line="240" w:lineRule="auto"/>
              <w:rPr>
                <w:rFonts w:eastAsia="Times New Roman"/>
                <w:noProof/>
              </w:rPr>
            </w:pPr>
            <w:r>
              <w:rPr>
                <w:noProof/>
              </w:rPr>
              <w:t>210</w:t>
            </w:r>
          </w:p>
        </w:tc>
        <w:tc>
          <w:tcPr>
            <w:tcW w:w="1974" w:type="dxa"/>
            <w:tcBorders>
              <w:top w:val="single" w:sz="2" w:space="0" w:color="000000"/>
              <w:left w:val="nil"/>
              <w:bottom w:val="single" w:sz="4" w:space="0" w:color="auto"/>
              <w:right w:val="single" w:sz="4" w:space="0" w:color="auto"/>
            </w:tcBorders>
            <w:shd w:val="clear" w:color="auto" w:fill="C6EFCE"/>
            <w:noWrap/>
          </w:tcPr>
          <w:p w14:paraId="0BEEC7BD" w14:textId="77777777" w:rsidR="00A00259" w:rsidRDefault="00371282">
            <w:pPr>
              <w:pStyle w:val="P68B1DB1-Normal12"/>
              <w:spacing w:after="0" w:line="240" w:lineRule="auto"/>
              <w:rPr>
                <w:rFonts w:eastAsia="Times New Roman"/>
                <w:noProof/>
              </w:rPr>
            </w:pPr>
            <w:r>
              <w:rPr>
                <w:noProof/>
              </w:rPr>
              <w:t>13 - 4.2. Moderniser l'administration publique, notamment en accélérant la mise en œuvre des investissements publics, en améliorant le cadre des marchés publics, les mesures de renforcement des capacités et en luttant contre la corruption - 16952_Renforcer le cadre national de lutte contre la corruption au moyen d'interventions ciblées dans les domaines de la détection, de la prévention et de la sensibilisation</w:t>
            </w:r>
          </w:p>
        </w:tc>
        <w:tc>
          <w:tcPr>
            <w:tcW w:w="1150" w:type="dxa"/>
            <w:tcBorders>
              <w:top w:val="single" w:sz="2" w:space="0" w:color="000000"/>
              <w:left w:val="nil"/>
              <w:bottom w:val="single" w:sz="4" w:space="0" w:color="auto"/>
              <w:right w:val="single" w:sz="4" w:space="0" w:color="auto"/>
            </w:tcBorders>
            <w:shd w:val="clear" w:color="auto" w:fill="C6EFCE"/>
            <w:noWrap/>
          </w:tcPr>
          <w:p w14:paraId="62716225" w14:textId="77777777" w:rsidR="00A00259" w:rsidRDefault="00371282">
            <w:pPr>
              <w:pStyle w:val="P68B1DB1-Normal12"/>
              <w:spacing w:after="0" w:line="240" w:lineRule="auto"/>
              <w:rPr>
                <w:rFonts w:eastAsia="Times New Roman"/>
                <w:noProof/>
              </w:rPr>
            </w:pPr>
            <w:r>
              <w:rPr>
                <w:noProof/>
              </w:rPr>
              <w:t>Étape</w:t>
            </w:r>
          </w:p>
        </w:tc>
        <w:tc>
          <w:tcPr>
            <w:tcW w:w="1393" w:type="dxa"/>
            <w:tcBorders>
              <w:top w:val="single" w:sz="2" w:space="0" w:color="000000"/>
              <w:left w:val="nil"/>
              <w:bottom w:val="single" w:sz="4" w:space="0" w:color="auto"/>
              <w:right w:val="single" w:sz="4" w:space="0" w:color="auto"/>
            </w:tcBorders>
            <w:shd w:val="clear" w:color="auto" w:fill="C6EFCE"/>
            <w:noWrap/>
          </w:tcPr>
          <w:p w14:paraId="32CF0008" w14:textId="77777777" w:rsidR="00A00259" w:rsidRDefault="00371282">
            <w:pPr>
              <w:pStyle w:val="P68B1DB1-Normal12"/>
              <w:spacing w:after="0" w:line="240" w:lineRule="auto"/>
              <w:rPr>
                <w:rFonts w:eastAsia="Times New Roman"/>
                <w:noProof/>
              </w:rPr>
            </w:pPr>
            <w:r>
              <w:rPr>
                <w:noProof/>
              </w:rPr>
              <w:t>Plan d'action national de lutte contre la corruption</w:t>
            </w:r>
          </w:p>
        </w:tc>
        <w:tc>
          <w:tcPr>
            <w:tcW w:w="1534" w:type="dxa"/>
            <w:tcBorders>
              <w:top w:val="single" w:sz="2" w:space="0" w:color="000000"/>
              <w:left w:val="nil"/>
              <w:bottom w:val="single" w:sz="4" w:space="0" w:color="auto"/>
              <w:right w:val="single" w:sz="4" w:space="0" w:color="auto"/>
            </w:tcBorders>
            <w:shd w:val="clear" w:color="auto" w:fill="C6EFCE"/>
            <w:noWrap/>
          </w:tcPr>
          <w:p w14:paraId="4A40FD89" w14:textId="77777777" w:rsidR="00A00259" w:rsidRDefault="00371282">
            <w:pPr>
              <w:pStyle w:val="P68B1DB1-Normal12"/>
              <w:spacing w:after="0" w:line="240" w:lineRule="auto"/>
              <w:rPr>
                <w:rFonts w:eastAsia="Times New Roman"/>
                <w:noProof/>
              </w:rPr>
            </w:pPr>
            <w:r>
              <w:rPr>
                <w:noProof/>
              </w:rPr>
              <w:t>Adoption par l’autorité nationale de transparence du plan d’action national de lutte contre la corruption pour la période 2022-2025</w:t>
            </w:r>
          </w:p>
        </w:tc>
        <w:tc>
          <w:tcPr>
            <w:tcW w:w="933" w:type="dxa"/>
            <w:tcBorders>
              <w:top w:val="single" w:sz="2" w:space="0" w:color="000000"/>
              <w:left w:val="nil"/>
              <w:bottom w:val="single" w:sz="4" w:space="0" w:color="auto"/>
              <w:right w:val="single" w:sz="4" w:space="0" w:color="auto"/>
            </w:tcBorders>
            <w:shd w:val="clear" w:color="auto" w:fill="C6EFCE"/>
            <w:noWrap/>
          </w:tcPr>
          <w:p w14:paraId="3A4B475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2" w:space="0" w:color="000000"/>
              <w:left w:val="nil"/>
              <w:bottom w:val="single" w:sz="4" w:space="0" w:color="auto"/>
              <w:right w:val="single" w:sz="4" w:space="0" w:color="auto"/>
            </w:tcBorders>
            <w:shd w:val="clear" w:color="auto" w:fill="C6EFCE"/>
            <w:noWrap/>
          </w:tcPr>
          <w:p w14:paraId="74FB9A0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02" w:type="dxa"/>
            <w:tcBorders>
              <w:top w:val="single" w:sz="2" w:space="0" w:color="000000"/>
              <w:left w:val="nil"/>
              <w:bottom w:val="single" w:sz="4" w:space="0" w:color="auto"/>
              <w:right w:val="single" w:sz="4" w:space="0" w:color="auto"/>
            </w:tcBorders>
            <w:shd w:val="clear" w:color="auto" w:fill="C6EFCE"/>
            <w:noWrap/>
          </w:tcPr>
          <w:p w14:paraId="73511A2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tcBorders>
              <w:top w:val="single" w:sz="2" w:space="0" w:color="000000"/>
              <w:left w:val="nil"/>
              <w:bottom w:val="single" w:sz="4" w:space="0" w:color="auto"/>
              <w:right w:val="single" w:sz="4" w:space="0" w:color="auto"/>
            </w:tcBorders>
            <w:shd w:val="clear" w:color="auto" w:fill="C6EFCE"/>
            <w:noWrap/>
          </w:tcPr>
          <w:p w14:paraId="0965C7CE" w14:textId="77777777" w:rsidR="00A00259" w:rsidRDefault="00371282">
            <w:pPr>
              <w:pStyle w:val="P68B1DB1-Normal12"/>
              <w:spacing w:after="0" w:line="240" w:lineRule="auto"/>
              <w:rPr>
                <w:rFonts w:eastAsia="Times New Roman"/>
                <w:noProof/>
              </w:rPr>
            </w:pPr>
            <w:r>
              <w:rPr>
                <w:noProof/>
              </w:rPr>
              <w:t>T3</w:t>
            </w:r>
          </w:p>
        </w:tc>
        <w:tc>
          <w:tcPr>
            <w:tcW w:w="708" w:type="dxa"/>
            <w:tcBorders>
              <w:top w:val="single" w:sz="2" w:space="0" w:color="000000"/>
              <w:left w:val="nil"/>
              <w:bottom w:val="single" w:sz="4" w:space="0" w:color="auto"/>
              <w:right w:val="single" w:sz="4" w:space="0" w:color="auto"/>
            </w:tcBorders>
            <w:shd w:val="clear" w:color="auto" w:fill="C6EFCE"/>
            <w:noWrap/>
          </w:tcPr>
          <w:p w14:paraId="20AED7C5" w14:textId="77777777" w:rsidR="00A00259" w:rsidRDefault="00371282">
            <w:pPr>
              <w:pStyle w:val="P68B1DB1-Normal12"/>
              <w:spacing w:after="0" w:line="240" w:lineRule="auto"/>
              <w:rPr>
                <w:rFonts w:eastAsia="Times New Roman"/>
                <w:noProof/>
              </w:rPr>
            </w:pPr>
            <w:r>
              <w:rPr>
                <w:noProof/>
              </w:rPr>
              <w:t>2022</w:t>
            </w:r>
          </w:p>
        </w:tc>
        <w:tc>
          <w:tcPr>
            <w:tcW w:w="5110" w:type="dxa"/>
            <w:tcBorders>
              <w:top w:val="single" w:sz="2" w:space="0" w:color="000000"/>
              <w:left w:val="nil"/>
              <w:bottom w:val="single" w:sz="4" w:space="0" w:color="auto"/>
              <w:right w:val="single" w:sz="4" w:space="0" w:color="auto"/>
            </w:tcBorders>
            <w:shd w:val="clear" w:color="auto" w:fill="C6EFCE"/>
            <w:noWrap/>
          </w:tcPr>
          <w:p w14:paraId="6E98614D" w14:textId="77777777" w:rsidR="00A00259" w:rsidRDefault="00371282">
            <w:pPr>
              <w:pStyle w:val="P68B1DB1-Normal12"/>
              <w:spacing w:after="0" w:line="240" w:lineRule="auto"/>
              <w:rPr>
                <w:rFonts w:eastAsia="Times New Roman"/>
                <w:noProof/>
              </w:rPr>
            </w:pPr>
            <w:r>
              <w:rPr>
                <w:noProof/>
              </w:rPr>
              <w:t>Adoption par l’autorité nationale de transparence du plan d’action national de lutte contre la corruption pour la période 2022-2025, précisant notamment: i) les actions visant à renforcer la transparence et la responsabilité dans l’ensemble de l’administration publique; ii) des interventions ciblées visant à détecter et à prévenir la corruption dans les domaines à haut risque (y compris, par exemple, la santé, les finances publiques, les investissements); iii) les interventions réglementaires nécessaires dans certains domaines d’action.</w:t>
            </w:r>
          </w:p>
        </w:tc>
      </w:tr>
      <w:tr w:rsidR="00A00259" w14:paraId="2D12F9AB" w14:textId="77777777">
        <w:trPr>
          <w:trHeight w:val="313"/>
          <w:jc w:val="center"/>
        </w:trPr>
        <w:tc>
          <w:tcPr>
            <w:tcW w:w="666" w:type="dxa"/>
            <w:tcBorders>
              <w:top w:val="nil"/>
              <w:left w:val="single" w:sz="4" w:space="0" w:color="auto"/>
              <w:bottom w:val="single" w:sz="4" w:space="0" w:color="auto"/>
              <w:right w:val="single" w:sz="4" w:space="0" w:color="auto"/>
            </w:tcBorders>
            <w:shd w:val="clear" w:color="auto" w:fill="C6EFCE"/>
            <w:noWrap/>
          </w:tcPr>
          <w:p w14:paraId="4B5EDF3C" w14:textId="77777777" w:rsidR="00A00259" w:rsidRDefault="00371282">
            <w:pPr>
              <w:pStyle w:val="P68B1DB1-Normal12"/>
              <w:spacing w:after="0" w:line="240" w:lineRule="auto"/>
              <w:rPr>
                <w:rFonts w:eastAsia="Times New Roman"/>
                <w:noProof/>
              </w:rPr>
            </w:pPr>
            <w:r>
              <w:rPr>
                <w:noProof/>
              </w:rPr>
              <w:t>211</w:t>
            </w:r>
          </w:p>
        </w:tc>
        <w:tc>
          <w:tcPr>
            <w:tcW w:w="1974" w:type="dxa"/>
            <w:tcBorders>
              <w:top w:val="nil"/>
              <w:left w:val="nil"/>
              <w:bottom w:val="single" w:sz="4" w:space="0" w:color="auto"/>
              <w:right w:val="single" w:sz="4" w:space="0" w:color="auto"/>
            </w:tcBorders>
            <w:shd w:val="clear" w:color="auto" w:fill="C6EFCE"/>
            <w:noWrap/>
          </w:tcPr>
          <w:p w14:paraId="11A6CB94" w14:textId="77777777" w:rsidR="00A00259" w:rsidRDefault="00371282">
            <w:pPr>
              <w:pStyle w:val="P68B1DB1-Normal12"/>
              <w:spacing w:after="0" w:line="240" w:lineRule="auto"/>
              <w:rPr>
                <w:rFonts w:eastAsia="Times New Roman"/>
                <w:noProof/>
              </w:rPr>
            </w:pPr>
            <w:r>
              <w:rPr>
                <w:noProof/>
              </w:rPr>
              <w:t>13 - 4.2. Moderniser l'administration publique, notamment en accélérant la mise en œuvre des investissements publics, en améliorant le cadre des marchés publics, les mesures de renforcement des capacités et en luttant contre la corruption - 16952_Renforcer le cadre national de lutte contre la corruption au moyen d'interventions ciblées dans les domaines de la détection, de la prévention et de la sensibilisation</w:t>
            </w:r>
          </w:p>
        </w:tc>
        <w:tc>
          <w:tcPr>
            <w:tcW w:w="1150" w:type="dxa"/>
            <w:tcBorders>
              <w:top w:val="nil"/>
              <w:left w:val="nil"/>
              <w:bottom w:val="single" w:sz="4" w:space="0" w:color="auto"/>
              <w:right w:val="single" w:sz="4" w:space="0" w:color="auto"/>
            </w:tcBorders>
            <w:shd w:val="clear" w:color="auto" w:fill="C6EFCE"/>
            <w:noWrap/>
          </w:tcPr>
          <w:p w14:paraId="46DCAAE2" w14:textId="77777777" w:rsidR="00A00259" w:rsidRDefault="00371282">
            <w:pPr>
              <w:pStyle w:val="P68B1DB1-Normal12"/>
              <w:spacing w:after="0" w:line="240" w:lineRule="auto"/>
              <w:rPr>
                <w:rFonts w:eastAsia="Times New Roman"/>
                <w:noProof/>
              </w:rPr>
            </w:pPr>
            <w:r>
              <w:rPr>
                <w:noProof/>
              </w:rPr>
              <w:t>Étape</w:t>
            </w:r>
          </w:p>
        </w:tc>
        <w:tc>
          <w:tcPr>
            <w:tcW w:w="1393" w:type="dxa"/>
            <w:tcBorders>
              <w:top w:val="nil"/>
              <w:left w:val="nil"/>
              <w:bottom w:val="single" w:sz="4" w:space="0" w:color="auto"/>
              <w:right w:val="single" w:sz="4" w:space="0" w:color="auto"/>
            </w:tcBorders>
            <w:shd w:val="clear" w:color="auto" w:fill="C6EFCE"/>
            <w:noWrap/>
          </w:tcPr>
          <w:p w14:paraId="1A9469D5" w14:textId="77777777" w:rsidR="00A00259" w:rsidRDefault="00371282">
            <w:pPr>
              <w:pStyle w:val="P68B1DB1-Normal12"/>
              <w:spacing w:after="0" w:line="240" w:lineRule="auto"/>
              <w:rPr>
                <w:rFonts w:eastAsia="Times New Roman"/>
                <w:noProof/>
              </w:rPr>
            </w:pPr>
            <w:r>
              <w:rPr>
                <w:noProof/>
              </w:rPr>
              <w:t>Mise en œuvre de la législation sur les contrôles internes</w:t>
            </w:r>
          </w:p>
        </w:tc>
        <w:tc>
          <w:tcPr>
            <w:tcW w:w="1534" w:type="dxa"/>
            <w:tcBorders>
              <w:top w:val="nil"/>
              <w:left w:val="nil"/>
              <w:bottom w:val="single" w:sz="4" w:space="0" w:color="auto"/>
              <w:right w:val="single" w:sz="4" w:space="0" w:color="auto"/>
            </w:tcBorders>
            <w:shd w:val="clear" w:color="auto" w:fill="C6EFCE"/>
            <w:noWrap/>
          </w:tcPr>
          <w:p w14:paraId="4AACE007" w14:textId="77777777" w:rsidR="00A00259" w:rsidRDefault="00371282">
            <w:pPr>
              <w:pStyle w:val="P68B1DB1-Normal12"/>
              <w:spacing w:after="0" w:line="240" w:lineRule="auto"/>
              <w:rPr>
                <w:rFonts w:eastAsia="Times New Roman"/>
                <w:noProof/>
              </w:rPr>
            </w:pPr>
            <w:r>
              <w:rPr>
                <w:noProof/>
              </w:rPr>
              <w:t>Rapport de l’autorité nationale de transparence sur les systèmes de contrôle interne mis en place</w:t>
            </w:r>
          </w:p>
          <w:p w14:paraId="651B499A" w14:textId="77777777" w:rsidR="00A00259" w:rsidRDefault="00371282">
            <w:pPr>
              <w:pStyle w:val="P68B1DB1-Normal12"/>
              <w:spacing w:after="0" w:line="240" w:lineRule="auto"/>
              <w:rPr>
                <w:rFonts w:eastAsia="Times New Roman"/>
                <w:noProof/>
              </w:rPr>
            </w:pPr>
            <w:r>
              <w:rPr>
                <w:noProof/>
              </w:rPr>
              <w:t>- Actes réglementaires émis</w:t>
            </w:r>
          </w:p>
          <w:p w14:paraId="62E389B6" w14:textId="77777777" w:rsidR="00A00259" w:rsidRDefault="00371282">
            <w:pPr>
              <w:pStyle w:val="P68B1DB1-Normal12"/>
              <w:spacing w:after="0" w:line="240" w:lineRule="auto"/>
              <w:rPr>
                <w:rFonts w:eastAsia="Times New Roman"/>
                <w:noProof/>
              </w:rPr>
            </w:pPr>
            <w:r>
              <w:rPr>
                <w:noProof/>
              </w:rPr>
              <w:t xml:space="preserve">- Publication d'une décision ministérielle conjointe </w:t>
            </w:r>
          </w:p>
        </w:tc>
        <w:tc>
          <w:tcPr>
            <w:tcW w:w="933" w:type="dxa"/>
            <w:tcBorders>
              <w:top w:val="nil"/>
              <w:left w:val="nil"/>
              <w:bottom w:val="single" w:sz="4" w:space="0" w:color="auto"/>
              <w:right w:val="single" w:sz="4" w:space="0" w:color="auto"/>
            </w:tcBorders>
            <w:shd w:val="clear" w:color="auto" w:fill="C6EFCE"/>
            <w:noWrap/>
          </w:tcPr>
          <w:p w14:paraId="4E26F31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4749A43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02" w:type="dxa"/>
            <w:tcBorders>
              <w:top w:val="nil"/>
              <w:left w:val="nil"/>
              <w:bottom w:val="single" w:sz="4" w:space="0" w:color="auto"/>
              <w:right w:val="single" w:sz="4" w:space="0" w:color="auto"/>
            </w:tcBorders>
            <w:shd w:val="clear" w:color="auto" w:fill="C6EFCE"/>
            <w:noWrap/>
          </w:tcPr>
          <w:p w14:paraId="6F2E5F9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tcBorders>
              <w:top w:val="nil"/>
              <w:left w:val="nil"/>
              <w:bottom w:val="single" w:sz="4" w:space="0" w:color="auto"/>
              <w:right w:val="single" w:sz="4" w:space="0" w:color="auto"/>
            </w:tcBorders>
            <w:shd w:val="clear" w:color="auto" w:fill="C6EFCE"/>
            <w:noWrap/>
          </w:tcPr>
          <w:p w14:paraId="611552B5" w14:textId="77777777" w:rsidR="00A00259" w:rsidRDefault="00371282">
            <w:pPr>
              <w:pStyle w:val="P68B1DB1-Normal12"/>
              <w:spacing w:after="0" w:line="240" w:lineRule="auto"/>
              <w:rPr>
                <w:rFonts w:eastAsia="Times New Roman"/>
                <w:noProof/>
              </w:rPr>
            </w:pPr>
            <w:r>
              <w:rPr>
                <w:noProof/>
              </w:rPr>
              <w:t>T4</w:t>
            </w:r>
          </w:p>
        </w:tc>
        <w:tc>
          <w:tcPr>
            <w:tcW w:w="708" w:type="dxa"/>
            <w:tcBorders>
              <w:top w:val="nil"/>
              <w:left w:val="nil"/>
              <w:bottom w:val="single" w:sz="4" w:space="0" w:color="auto"/>
              <w:right w:val="single" w:sz="4" w:space="0" w:color="auto"/>
            </w:tcBorders>
            <w:shd w:val="clear" w:color="auto" w:fill="C6EFCE"/>
            <w:noWrap/>
          </w:tcPr>
          <w:p w14:paraId="0A12CE89" w14:textId="77777777" w:rsidR="00A00259" w:rsidRDefault="00371282">
            <w:pPr>
              <w:pStyle w:val="P68B1DB1-Normal12"/>
              <w:spacing w:after="0" w:line="240" w:lineRule="auto"/>
              <w:rPr>
                <w:rFonts w:eastAsia="Times New Roman"/>
                <w:noProof/>
              </w:rPr>
            </w:pPr>
            <w:r>
              <w:rPr>
                <w:noProof/>
              </w:rPr>
              <w:t>2022</w:t>
            </w:r>
          </w:p>
        </w:tc>
        <w:tc>
          <w:tcPr>
            <w:tcW w:w="5110" w:type="dxa"/>
            <w:tcBorders>
              <w:top w:val="nil"/>
              <w:left w:val="nil"/>
              <w:bottom w:val="single" w:sz="4" w:space="0" w:color="auto"/>
              <w:right w:val="single" w:sz="4" w:space="0" w:color="auto"/>
            </w:tcBorders>
            <w:shd w:val="clear" w:color="auto" w:fill="C6EFCE"/>
            <w:noWrap/>
          </w:tcPr>
          <w:p w14:paraId="0E8A1D03" w14:textId="77777777" w:rsidR="00A00259" w:rsidRDefault="00371282">
            <w:pPr>
              <w:pStyle w:val="P68B1DB1-Normal12"/>
              <w:spacing w:after="0" w:line="240" w:lineRule="auto"/>
              <w:rPr>
                <w:rFonts w:eastAsia="Times New Roman"/>
                <w:noProof/>
              </w:rPr>
            </w:pPr>
            <w:r>
              <w:rPr>
                <w:noProof/>
              </w:rPr>
              <w:t>Mise en œuvre de la nouvelle loi sur les contrôles internes dans l’administration publique, notamment: i) la création d’unités d’audit interne au sein des ministères compétents; ii) la promulgation d’actes réglementaires pour la création d’unités d’audit interne et de comités d’audit dans les entités des administrations locales (1er et 2e</w:t>
            </w:r>
            <w:r>
              <w:rPr>
                <w:noProof/>
                <w:vertAlign w:val="superscript"/>
              </w:rPr>
              <w:t xml:space="preserve"> degré),</w:t>
            </w:r>
            <w:r>
              <w:rPr>
                <w:noProof/>
              </w:rPr>
              <w:t xml:space="preserve"> les universités, les hôpitaux – unités de santé, les autorités indépendantes et les entités juridiques des entités des administrations locales; iii) la publication d’une décision ministérielle conjointe fixant les critères de coopération des unités d’audit interne avec des experts externes.</w:t>
            </w:r>
          </w:p>
          <w:p w14:paraId="6387BB41" w14:textId="77777777" w:rsidR="00A00259" w:rsidRDefault="00A00259">
            <w:pPr>
              <w:spacing w:after="0" w:line="240" w:lineRule="auto"/>
              <w:rPr>
                <w:rFonts w:ascii="Times New Roman" w:eastAsia="Times New Roman" w:hAnsi="Times New Roman" w:cs="Times New Roman"/>
                <w:noProof/>
                <w:color w:val="006100"/>
                <w:sz w:val="18"/>
                <w:szCs w:val="18"/>
              </w:rPr>
            </w:pPr>
          </w:p>
          <w:p w14:paraId="69278B2C" w14:textId="77777777" w:rsidR="00A00259" w:rsidRDefault="00371282">
            <w:pPr>
              <w:pStyle w:val="P68B1DB1-Normal12"/>
              <w:spacing w:after="0" w:line="240" w:lineRule="auto"/>
              <w:rPr>
                <w:rFonts w:eastAsia="Times New Roman"/>
                <w:noProof/>
              </w:rPr>
            </w:pPr>
            <w:r>
              <w:rPr>
                <w:noProof/>
              </w:rPr>
              <w:t xml:space="preserve">L’autorité nationale de transparence, en coopération avec le ministère de l’intérieur, assure la surveillance et fournit des orientations aux entités des administrations publiques afin de mettre en place un système de contrôle interne cohérent et opérationnel. L’autorité nationale de transparence facilite une autoévaluation pilote des éléments de base du système de contrôle interne. La Cour des comptes hellénique a inclus dans son plan de travail annuel des audits pour l’évaluation des dispositifs de contrôle interne dans l’ensemble des entités des administrations publiques. </w:t>
            </w:r>
          </w:p>
        </w:tc>
      </w:tr>
      <w:tr w:rsidR="00A00259" w14:paraId="3DD4258E" w14:textId="77777777">
        <w:trPr>
          <w:trHeight w:val="313"/>
          <w:jc w:val="center"/>
        </w:trPr>
        <w:tc>
          <w:tcPr>
            <w:tcW w:w="666" w:type="dxa"/>
            <w:tcBorders>
              <w:top w:val="nil"/>
              <w:left w:val="single" w:sz="4" w:space="0" w:color="auto"/>
              <w:bottom w:val="single" w:sz="4" w:space="0" w:color="auto"/>
              <w:right w:val="single" w:sz="4" w:space="0" w:color="auto"/>
            </w:tcBorders>
            <w:shd w:val="clear" w:color="auto" w:fill="C6EFCE"/>
            <w:noWrap/>
          </w:tcPr>
          <w:p w14:paraId="4C00D110" w14:textId="77777777" w:rsidR="00A00259" w:rsidRDefault="00371282">
            <w:pPr>
              <w:pStyle w:val="P68B1DB1-Normal12"/>
              <w:spacing w:after="0" w:line="240" w:lineRule="auto"/>
              <w:rPr>
                <w:noProof/>
              </w:rPr>
            </w:pPr>
            <w:r>
              <w:rPr>
                <w:noProof/>
              </w:rPr>
              <w:t>211 bis</w:t>
            </w:r>
          </w:p>
        </w:tc>
        <w:tc>
          <w:tcPr>
            <w:tcW w:w="1974" w:type="dxa"/>
            <w:tcBorders>
              <w:top w:val="nil"/>
              <w:left w:val="nil"/>
              <w:bottom w:val="single" w:sz="4" w:space="0" w:color="auto"/>
              <w:right w:val="single" w:sz="4" w:space="0" w:color="auto"/>
            </w:tcBorders>
            <w:shd w:val="clear" w:color="auto" w:fill="C6EFCE"/>
            <w:noWrap/>
          </w:tcPr>
          <w:p w14:paraId="566138A4" w14:textId="77777777" w:rsidR="00A00259" w:rsidRDefault="00371282">
            <w:pPr>
              <w:pStyle w:val="P68B1DB1-Normal12"/>
              <w:spacing w:after="0" w:line="240" w:lineRule="auto"/>
              <w:rPr>
                <w:noProof/>
              </w:rPr>
            </w:pPr>
            <w:r>
              <w:rPr>
                <w:noProof/>
              </w:rPr>
              <w:t>13 - 4.2. Moderniser l'administration publique, notamment en accélérant la mise en œuvre des investissements publics, en améliorant le cadre des marchés publics, les mesures de renforcement des capacités et en luttant contre la corruption - 16952_Renforcer le cadre national de lutte contre la corruption au moyen d'interventions ciblées dans les domaines de la détection, de la prévention et de la sensibilisation</w:t>
            </w:r>
          </w:p>
        </w:tc>
        <w:tc>
          <w:tcPr>
            <w:tcW w:w="1150" w:type="dxa"/>
            <w:tcBorders>
              <w:top w:val="nil"/>
              <w:left w:val="nil"/>
              <w:bottom w:val="single" w:sz="4" w:space="0" w:color="auto"/>
              <w:right w:val="single" w:sz="4" w:space="0" w:color="auto"/>
            </w:tcBorders>
            <w:shd w:val="clear" w:color="auto" w:fill="C6EFCE"/>
            <w:noWrap/>
          </w:tcPr>
          <w:p w14:paraId="6AC6BFA5" w14:textId="77777777" w:rsidR="00A00259" w:rsidRDefault="00371282">
            <w:pPr>
              <w:pStyle w:val="P68B1DB1-Normal12"/>
              <w:spacing w:after="0" w:line="240" w:lineRule="auto"/>
              <w:rPr>
                <w:noProof/>
              </w:rPr>
            </w:pPr>
            <w:r>
              <w:rPr>
                <w:noProof/>
              </w:rPr>
              <w:t>Étape</w:t>
            </w:r>
          </w:p>
        </w:tc>
        <w:tc>
          <w:tcPr>
            <w:tcW w:w="1393" w:type="dxa"/>
            <w:tcBorders>
              <w:top w:val="nil"/>
              <w:left w:val="nil"/>
              <w:bottom w:val="single" w:sz="4" w:space="0" w:color="auto"/>
              <w:right w:val="single" w:sz="4" w:space="0" w:color="auto"/>
            </w:tcBorders>
            <w:shd w:val="clear" w:color="auto" w:fill="C6EFCE"/>
            <w:noWrap/>
          </w:tcPr>
          <w:p w14:paraId="65B31580" w14:textId="6A8D6B25" w:rsidR="00A00259" w:rsidRDefault="00371282">
            <w:pPr>
              <w:pStyle w:val="P68B1DB1-Normal12"/>
              <w:spacing w:after="0" w:line="240" w:lineRule="auto"/>
              <w:rPr>
                <w:noProof/>
              </w:rPr>
            </w:pPr>
            <w:r>
              <w:rPr>
                <w:noProof/>
              </w:rPr>
              <w:t>Réalisation de projets d’investissement visant à soutenir les capacités numériques et d’infrastructure de l’autorité nationale de transparence</w:t>
            </w:r>
          </w:p>
        </w:tc>
        <w:tc>
          <w:tcPr>
            <w:tcW w:w="1534" w:type="dxa"/>
            <w:tcBorders>
              <w:top w:val="nil"/>
              <w:left w:val="nil"/>
              <w:bottom w:val="single" w:sz="4" w:space="0" w:color="auto"/>
              <w:right w:val="single" w:sz="4" w:space="0" w:color="auto"/>
            </w:tcBorders>
            <w:shd w:val="clear" w:color="auto" w:fill="C6EFCE"/>
            <w:noWrap/>
          </w:tcPr>
          <w:p w14:paraId="224CB362" w14:textId="473417ED" w:rsidR="00A00259" w:rsidRDefault="00371282">
            <w:pPr>
              <w:pStyle w:val="P68B1DB1-Normal12"/>
              <w:spacing w:after="0" w:line="240" w:lineRule="auto"/>
              <w:rPr>
                <w:noProof/>
              </w:rPr>
            </w:pPr>
            <w:r>
              <w:rPr>
                <w:noProof/>
              </w:rPr>
              <w:t>Réalisation de projets d’investissement visant à soutenir les capacités numériques et d’infrastructure de l’autorité nationale de transparence</w:t>
            </w:r>
          </w:p>
        </w:tc>
        <w:tc>
          <w:tcPr>
            <w:tcW w:w="933" w:type="dxa"/>
            <w:tcBorders>
              <w:top w:val="nil"/>
              <w:left w:val="nil"/>
              <w:bottom w:val="single" w:sz="4" w:space="0" w:color="auto"/>
              <w:right w:val="single" w:sz="4" w:space="0" w:color="auto"/>
            </w:tcBorders>
            <w:shd w:val="clear" w:color="auto" w:fill="C6EFCE"/>
            <w:noWrap/>
          </w:tcPr>
          <w:p w14:paraId="738A6EF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20CF2A8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02" w:type="dxa"/>
            <w:tcBorders>
              <w:top w:val="nil"/>
              <w:left w:val="nil"/>
              <w:bottom w:val="single" w:sz="4" w:space="0" w:color="auto"/>
              <w:right w:val="single" w:sz="4" w:space="0" w:color="auto"/>
            </w:tcBorders>
            <w:shd w:val="clear" w:color="auto" w:fill="C6EFCE"/>
            <w:noWrap/>
          </w:tcPr>
          <w:p w14:paraId="469F7D8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tcBorders>
              <w:top w:val="nil"/>
              <w:left w:val="nil"/>
              <w:bottom w:val="single" w:sz="4" w:space="0" w:color="auto"/>
              <w:right w:val="single" w:sz="4" w:space="0" w:color="auto"/>
            </w:tcBorders>
            <w:shd w:val="clear" w:color="auto" w:fill="C6EFCE"/>
            <w:noWrap/>
          </w:tcPr>
          <w:p w14:paraId="6FA02B0A" w14:textId="77777777" w:rsidR="00A00259" w:rsidRDefault="00371282">
            <w:pPr>
              <w:pStyle w:val="P68B1DB1-Normal12"/>
              <w:spacing w:after="0" w:line="240" w:lineRule="auto"/>
              <w:rPr>
                <w:noProof/>
              </w:rPr>
            </w:pPr>
            <w:r>
              <w:rPr>
                <w:noProof/>
              </w:rPr>
              <w:t>T4</w:t>
            </w:r>
          </w:p>
        </w:tc>
        <w:tc>
          <w:tcPr>
            <w:tcW w:w="708" w:type="dxa"/>
            <w:tcBorders>
              <w:top w:val="nil"/>
              <w:left w:val="nil"/>
              <w:bottom w:val="single" w:sz="4" w:space="0" w:color="auto"/>
              <w:right w:val="single" w:sz="4" w:space="0" w:color="auto"/>
            </w:tcBorders>
            <w:shd w:val="clear" w:color="auto" w:fill="C6EFCE"/>
            <w:noWrap/>
          </w:tcPr>
          <w:p w14:paraId="6EA00DE6" w14:textId="77777777" w:rsidR="00A00259" w:rsidRDefault="00371282">
            <w:pPr>
              <w:pStyle w:val="P68B1DB1-Normal12"/>
              <w:spacing w:after="0" w:line="240" w:lineRule="auto"/>
              <w:rPr>
                <w:noProof/>
              </w:rPr>
            </w:pPr>
            <w:r>
              <w:rPr>
                <w:noProof/>
              </w:rPr>
              <w:t>2025</w:t>
            </w:r>
          </w:p>
        </w:tc>
        <w:tc>
          <w:tcPr>
            <w:tcW w:w="5110" w:type="dxa"/>
            <w:tcBorders>
              <w:top w:val="nil"/>
              <w:left w:val="nil"/>
              <w:bottom w:val="single" w:sz="4" w:space="0" w:color="auto"/>
              <w:right w:val="single" w:sz="4" w:space="0" w:color="auto"/>
            </w:tcBorders>
            <w:shd w:val="clear" w:color="auto" w:fill="C6EFCE"/>
            <w:noWrap/>
          </w:tcPr>
          <w:p w14:paraId="1FEBBBDF" w14:textId="666B7709" w:rsidR="00A00259" w:rsidRDefault="00371282">
            <w:pPr>
              <w:pStyle w:val="P68B1DB1-Normal12"/>
              <w:spacing w:after="0" w:line="240" w:lineRule="auto"/>
              <w:rPr>
                <w:noProof/>
              </w:rPr>
            </w:pPr>
            <w:r>
              <w:rPr>
                <w:noProof/>
              </w:rPr>
              <w:t>Réalisation des projets d’investissement suivants à l’appui de l’autorité nationale de transparence:</w:t>
            </w:r>
          </w:p>
          <w:p w14:paraId="4CC0E330" w14:textId="382E4B3A" w:rsidR="00A00259" w:rsidRDefault="00371282">
            <w:pPr>
              <w:pStyle w:val="P68B1DB1-Normal12"/>
              <w:spacing w:after="0" w:line="240" w:lineRule="auto"/>
              <w:rPr>
                <w:noProof/>
              </w:rPr>
            </w:pPr>
            <w:r>
              <w:rPr>
                <w:noProof/>
              </w:rPr>
              <w:t>1. Équipements et logiciels pour le laboratoire de criminalistique numérique.</w:t>
            </w:r>
          </w:p>
          <w:p w14:paraId="1ED88F77" w14:textId="60905FD6" w:rsidR="00A00259" w:rsidRDefault="00371282">
            <w:pPr>
              <w:pStyle w:val="P68B1DB1-Normal12"/>
              <w:spacing w:after="0" w:line="240" w:lineRule="auto"/>
              <w:rPr>
                <w:noProof/>
              </w:rPr>
            </w:pPr>
            <w:r>
              <w:rPr>
                <w:noProof/>
              </w:rPr>
              <w:t>2. Un système d’information intégré pour la gestion des audits et des inspections, comprenant un outil d’intelligence artificielle.</w:t>
            </w:r>
          </w:p>
          <w:p w14:paraId="750498B3" w14:textId="1DB97B9F" w:rsidR="00A00259" w:rsidRDefault="00371282">
            <w:pPr>
              <w:pStyle w:val="P68B1DB1-Normal12"/>
              <w:spacing w:after="0" w:line="240" w:lineRule="auto"/>
              <w:rPr>
                <w:noProof/>
              </w:rPr>
            </w:pPr>
            <w:r>
              <w:rPr>
                <w:noProof/>
              </w:rPr>
              <w:t>3. Plan de communication, matériel et contenu créatif.</w:t>
            </w:r>
          </w:p>
          <w:p w14:paraId="0D4226B8" w14:textId="2D69498F" w:rsidR="00A00259" w:rsidRDefault="00A00259">
            <w:pPr>
              <w:spacing w:after="0" w:line="240" w:lineRule="auto"/>
              <w:rPr>
                <w:rFonts w:ascii="Times New Roman" w:hAnsi="Times New Roman" w:cs="Times New Roman"/>
                <w:noProof/>
                <w:color w:val="006100"/>
                <w:sz w:val="18"/>
                <w:szCs w:val="18"/>
              </w:rPr>
            </w:pPr>
          </w:p>
        </w:tc>
      </w:tr>
      <w:tr w:rsidR="00A00259" w14:paraId="46E8356A" w14:textId="77777777">
        <w:trPr>
          <w:trHeight w:val="313"/>
          <w:jc w:val="center"/>
        </w:trPr>
        <w:tc>
          <w:tcPr>
            <w:tcW w:w="666" w:type="dxa"/>
            <w:tcBorders>
              <w:top w:val="nil"/>
              <w:left w:val="single" w:sz="4" w:space="0" w:color="auto"/>
              <w:bottom w:val="single" w:sz="4" w:space="0" w:color="auto"/>
              <w:right w:val="single" w:sz="4" w:space="0" w:color="auto"/>
            </w:tcBorders>
            <w:shd w:val="clear" w:color="auto" w:fill="C6EFCE"/>
            <w:noWrap/>
          </w:tcPr>
          <w:p w14:paraId="0EB181B8" w14:textId="77777777" w:rsidR="00A00259" w:rsidRDefault="00371282">
            <w:pPr>
              <w:pStyle w:val="P68B1DB1-Normal12"/>
              <w:spacing w:after="0" w:line="240" w:lineRule="auto"/>
              <w:rPr>
                <w:rFonts w:eastAsia="Times New Roman"/>
                <w:noProof/>
              </w:rPr>
            </w:pPr>
            <w:r>
              <w:rPr>
                <w:noProof/>
              </w:rPr>
              <w:t>212</w:t>
            </w:r>
          </w:p>
        </w:tc>
        <w:tc>
          <w:tcPr>
            <w:tcW w:w="1974" w:type="dxa"/>
            <w:tcBorders>
              <w:top w:val="nil"/>
              <w:left w:val="nil"/>
              <w:bottom w:val="single" w:sz="4" w:space="0" w:color="auto"/>
              <w:right w:val="single" w:sz="4" w:space="0" w:color="auto"/>
            </w:tcBorders>
            <w:shd w:val="clear" w:color="auto" w:fill="C6EFCE"/>
            <w:noWrap/>
          </w:tcPr>
          <w:p w14:paraId="4ACA2E1C" w14:textId="77777777" w:rsidR="00A00259" w:rsidRDefault="00371282">
            <w:pPr>
              <w:pStyle w:val="P68B1DB1-Normal12"/>
              <w:spacing w:after="0" w:line="240" w:lineRule="auto"/>
              <w:rPr>
                <w:rFonts w:eastAsia="Times New Roman"/>
                <w:noProof/>
              </w:rPr>
            </w:pPr>
            <w:r>
              <w:rPr>
                <w:noProof/>
              </w:rPr>
              <w:t>13 - 4.2. Moderniser l'administration publique, notamment en accélérant la mise en œuvre des investissements publics, en améliorant le cadre des marchés publics, les mesures de renforcement des capacités et en luttant contre la corruption - 16702_Renforcer le cadre de lutte contre le blanchiment de capitaux et le financement du terrorisme</w:t>
            </w:r>
          </w:p>
        </w:tc>
        <w:tc>
          <w:tcPr>
            <w:tcW w:w="1150" w:type="dxa"/>
            <w:tcBorders>
              <w:top w:val="nil"/>
              <w:left w:val="nil"/>
              <w:bottom w:val="single" w:sz="4" w:space="0" w:color="auto"/>
              <w:right w:val="single" w:sz="4" w:space="0" w:color="auto"/>
            </w:tcBorders>
            <w:shd w:val="clear" w:color="auto" w:fill="C6EFCE"/>
            <w:noWrap/>
          </w:tcPr>
          <w:p w14:paraId="4957BFD6" w14:textId="77777777" w:rsidR="00A00259" w:rsidRDefault="00371282">
            <w:pPr>
              <w:pStyle w:val="P68B1DB1-Normal12"/>
              <w:spacing w:after="0" w:line="240" w:lineRule="auto"/>
              <w:rPr>
                <w:rFonts w:eastAsia="Times New Roman"/>
                <w:noProof/>
              </w:rPr>
            </w:pPr>
            <w:r>
              <w:rPr>
                <w:noProof/>
              </w:rPr>
              <w:t>Étape</w:t>
            </w:r>
          </w:p>
        </w:tc>
        <w:tc>
          <w:tcPr>
            <w:tcW w:w="1393" w:type="dxa"/>
            <w:tcBorders>
              <w:top w:val="nil"/>
              <w:left w:val="nil"/>
              <w:bottom w:val="single" w:sz="4" w:space="0" w:color="auto"/>
              <w:right w:val="single" w:sz="4" w:space="0" w:color="auto"/>
            </w:tcBorders>
            <w:shd w:val="clear" w:color="auto" w:fill="C6EFCE"/>
            <w:noWrap/>
          </w:tcPr>
          <w:p w14:paraId="46676283" w14:textId="77777777" w:rsidR="00A00259" w:rsidRDefault="00371282">
            <w:pPr>
              <w:pStyle w:val="P68B1DB1-Normal12"/>
              <w:spacing w:after="0" w:line="240" w:lineRule="auto"/>
              <w:rPr>
                <w:rFonts w:eastAsia="Times New Roman"/>
                <w:noProof/>
              </w:rPr>
            </w:pPr>
            <w:r>
              <w:rPr>
                <w:noProof/>
              </w:rPr>
              <w:t>Cadre renforcé de lutte contre le blanchiment de capitaux et le financement du terrorisme</w:t>
            </w:r>
          </w:p>
        </w:tc>
        <w:tc>
          <w:tcPr>
            <w:tcW w:w="1534" w:type="dxa"/>
            <w:tcBorders>
              <w:top w:val="nil"/>
              <w:left w:val="nil"/>
              <w:bottom w:val="single" w:sz="4" w:space="0" w:color="auto"/>
              <w:right w:val="single" w:sz="4" w:space="0" w:color="auto"/>
            </w:tcBorders>
            <w:shd w:val="clear" w:color="auto" w:fill="C6EFCE"/>
            <w:noWrap/>
          </w:tcPr>
          <w:p w14:paraId="073B1967" w14:textId="77777777" w:rsidR="00A00259" w:rsidRDefault="00371282">
            <w:pPr>
              <w:pStyle w:val="P68B1DB1-Normal12"/>
              <w:spacing w:after="0" w:line="240" w:lineRule="auto"/>
              <w:rPr>
                <w:rFonts w:eastAsia="Times New Roman"/>
                <w:noProof/>
              </w:rPr>
            </w:pPr>
            <w:r>
              <w:rPr>
                <w:noProof/>
              </w:rPr>
              <w:t>Lancement d ' une plate-forme de collecte de données statistiques; Achèvement des améliorations apportées au registre spécial des bénéficiaires effectifs</w:t>
            </w:r>
          </w:p>
        </w:tc>
        <w:tc>
          <w:tcPr>
            <w:tcW w:w="933" w:type="dxa"/>
            <w:tcBorders>
              <w:top w:val="nil"/>
              <w:left w:val="nil"/>
              <w:bottom w:val="single" w:sz="4" w:space="0" w:color="auto"/>
              <w:right w:val="single" w:sz="4" w:space="0" w:color="auto"/>
            </w:tcBorders>
            <w:shd w:val="clear" w:color="auto" w:fill="C6EFCE"/>
            <w:noWrap/>
          </w:tcPr>
          <w:p w14:paraId="014A47C8" w14:textId="77777777" w:rsidR="00A00259" w:rsidRDefault="00371282">
            <w:pPr>
              <w:pStyle w:val="P68B1DB1-Normal16"/>
              <w:spacing w:after="0" w:line="240" w:lineRule="auto"/>
              <w:rPr>
                <w:rFonts w:eastAsia="Times New Roman"/>
                <w:noProof/>
                <w:color w:val="006100"/>
              </w:rPr>
            </w:pPr>
            <w:r>
              <w:rPr>
                <w:noProof/>
              </w:rPr>
              <w:t xml:space="preserve"> </w:t>
            </w:r>
          </w:p>
        </w:tc>
        <w:tc>
          <w:tcPr>
            <w:tcW w:w="857" w:type="dxa"/>
            <w:tcBorders>
              <w:top w:val="nil"/>
              <w:left w:val="nil"/>
              <w:bottom w:val="single" w:sz="4" w:space="0" w:color="auto"/>
              <w:right w:val="single" w:sz="4" w:space="0" w:color="auto"/>
            </w:tcBorders>
            <w:shd w:val="clear" w:color="auto" w:fill="C6EFCE"/>
            <w:noWrap/>
          </w:tcPr>
          <w:p w14:paraId="19B08273" w14:textId="77777777" w:rsidR="00A00259" w:rsidRDefault="00371282">
            <w:pPr>
              <w:pStyle w:val="P68B1DB1-Normal16"/>
              <w:spacing w:after="0" w:line="240" w:lineRule="auto"/>
              <w:rPr>
                <w:rFonts w:eastAsia="Times New Roman"/>
                <w:noProof/>
                <w:color w:val="006100"/>
              </w:rPr>
            </w:pPr>
            <w:r>
              <w:rPr>
                <w:noProof/>
              </w:rPr>
              <w:t xml:space="preserve"> </w:t>
            </w:r>
          </w:p>
        </w:tc>
        <w:tc>
          <w:tcPr>
            <w:tcW w:w="702" w:type="dxa"/>
            <w:tcBorders>
              <w:top w:val="nil"/>
              <w:left w:val="nil"/>
              <w:bottom w:val="single" w:sz="4" w:space="0" w:color="auto"/>
              <w:right w:val="single" w:sz="4" w:space="0" w:color="auto"/>
            </w:tcBorders>
            <w:shd w:val="clear" w:color="auto" w:fill="C6EFCE"/>
            <w:noWrap/>
          </w:tcPr>
          <w:p w14:paraId="2389318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tcBorders>
              <w:top w:val="nil"/>
              <w:left w:val="nil"/>
              <w:bottom w:val="single" w:sz="4" w:space="0" w:color="auto"/>
              <w:right w:val="single" w:sz="4" w:space="0" w:color="auto"/>
            </w:tcBorders>
            <w:shd w:val="clear" w:color="auto" w:fill="C6EFCE"/>
            <w:noWrap/>
          </w:tcPr>
          <w:p w14:paraId="613CB18F" w14:textId="77777777" w:rsidR="00A00259" w:rsidRDefault="00371282">
            <w:pPr>
              <w:pStyle w:val="P68B1DB1-Normal12"/>
              <w:spacing w:after="0" w:line="240" w:lineRule="auto"/>
              <w:rPr>
                <w:rFonts w:eastAsia="Times New Roman"/>
                <w:noProof/>
              </w:rPr>
            </w:pPr>
            <w:r>
              <w:rPr>
                <w:noProof/>
              </w:rPr>
              <w:t>T2</w:t>
            </w:r>
          </w:p>
        </w:tc>
        <w:tc>
          <w:tcPr>
            <w:tcW w:w="708" w:type="dxa"/>
            <w:tcBorders>
              <w:top w:val="nil"/>
              <w:left w:val="nil"/>
              <w:bottom w:val="single" w:sz="4" w:space="0" w:color="auto"/>
              <w:right w:val="single" w:sz="4" w:space="0" w:color="auto"/>
            </w:tcBorders>
            <w:shd w:val="clear" w:color="auto" w:fill="C6EFCE"/>
            <w:noWrap/>
          </w:tcPr>
          <w:p w14:paraId="7074AA07" w14:textId="77777777" w:rsidR="00A00259" w:rsidRDefault="00371282">
            <w:pPr>
              <w:pStyle w:val="P68B1DB1-Normal12"/>
              <w:spacing w:after="0" w:line="240" w:lineRule="auto"/>
              <w:rPr>
                <w:rFonts w:eastAsia="Times New Roman"/>
                <w:noProof/>
              </w:rPr>
            </w:pPr>
            <w:r>
              <w:rPr>
                <w:noProof/>
              </w:rPr>
              <w:t>2024</w:t>
            </w:r>
          </w:p>
        </w:tc>
        <w:tc>
          <w:tcPr>
            <w:tcW w:w="5110" w:type="dxa"/>
            <w:tcBorders>
              <w:top w:val="nil"/>
              <w:left w:val="nil"/>
              <w:bottom w:val="single" w:sz="4" w:space="0" w:color="auto"/>
              <w:right w:val="single" w:sz="4" w:space="0" w:color="auto"/>
            </w:tcBorders>
            <w:shd w:val="clear" w:color="auto" w:fill="C6EFCE"/>
            <w:noWrap/>
          </w:tcPr>
          <w:p w14:paraId="46ABC66E" w14:textId="77777777" w:rsidR="00A00259" w:rsidRDefault="00371282">
            <w:pPr>
              <w:pStyle w:val="P68B1DB1-Normal12"/>
              <w:spacing w:after="0" w:line="240" w:lineRule="auto"/>
              <w:rPr>
                <w:rFonts w:eastAsia="Times New Roman"/>
                <w:noProof/>
              </w:rPr>
            </w:pPr>
            <w:r>
              <w:rPr>
                <w:noProof/>
              </w:rPr>
              <w:t>i) Lancement de la plateforme de collecte de données statistiques détenues par les autorités nationales compétentes (à savoir les autorités judiciaires, de surveillance et répressives); ii) Amélioration du registre central des bénéficiaires effectifs afin de faciliter l’accès direct des autorités compétentes à ces informations; iii) Interconnexion du registre central des bénéficiaires effectifs avec les registres respectifs des États membres de l’UE par l’intermédiaire de la plateforme de l’UE concernée.</w:t>
            </w:r>
          </w:p>
        </w:tc>
      </w:tr>
      <w:tr w:rsidR="00A00259" w14:paraId="5A5A65B0" w14:textId="77777777">
        <w:trPr>
          <w:trHeight w:val="313"/>
          <w:jc w:val="center"/>
        </w:trPr>
        <w:tc>
          <w:tcPr>
            <w:tcW w:w="666" w:type="dxa"/>
            <w:tcBorders>
              <w:top w:val="nil"/>
              <w:left w:val="single" w:sz="4" w:space="0" w:color="auto"/>
              <w:bottom w:val="single" w:sz="4" w:space="0" w:color="auto"/>
              <w:right w:val="single" w:sz="4" w:space="0" w:color="auto"/>
            </w:tcBorders>
            <w:shd w:val="clear" w:color="auto" w:fill="C6EFCE"/>
            <w:noWrap/>
          </w:tcPr>
          <w:p w14:paraId="5555F9F9" w14:textId="77777777" w:rsidR="00A00259" w:rsidRDefault="00371282">
            <w:pPr>
              <w:pStyle w:val="P68B1DB1-Normal12"/>
              <w:spacing w:after="0" w:line="240" w:lineRule="auto"/>
              <w:rPr>
                <w:rFonts w:eastAsia="Times New Roman"/>
                <w:noProof/>
              </w:rPr>
            </w:pPr>
            <w:r>
              <w:rPr>
                <w:noProof/>
              </w:rPr>
              <w:t>213</w:t>
            </w:r>
          </w:p>
        </w:tc>
        <w:tc>
          <w:tcPr>
            <w:tcW w:w="1974" w:type="dxa"/>
            <w:tcBorders>
              <w:top w:val="nil"/>
              <w:left w:val="nil"/>
              <w:bottom w:val="single" w:sz="4" w:space="0" w:color="auto"/>
              <w:right w:val="single" w:sz="4" w:space="0" w:color="auto"/>
            </w:tcBorders>
            <w:shd w:val="clear" w:color="auto" w:fill="C6EFCE"/>
            <w:noWrap/>
          </w:tcPr>
          <w:p w14:paraId="5E63B6D2" w14:textId="77777777" w:rsidR="00A00259" w:rsidRDefault="00371282">
            <w:pPr>
              <w:pStyle w:val="P68B1DB1-Normal12"/>
              <w:spacing w:after="0" w:line="240" w:lineRule="auto"/>
              <w:rPr>
                <w:rFonts w:eastAsia="Times New Roman"/>
                <w:noProof/>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- 16703_Lutte contre le commerce illégal et protection de la propriété intellectuelle</w:t>
            </w:r>
          </w:p>
        </w:tc>
        <w:tc>
          <w:tcPr>
            <w:tcW w:w="1150" w:type="dxa"/>
            <w:tcBorders>
              <w:top w:val="nil"/>
              <w:left w:val="nil"/>
              <w:bottom w:val="single" w:sz="4" w:space="0" w:color="auto"/>
              <w:right w:val="single" w:sz="4" w:space="0" w:color="auto"/>
            </w:tcBorders>
            <w:shd w:val="clear" w:color="auto" w:fill="C6EFCE"/>
            <w:noWrap/>
          </w:tcPr>
          <w:p w14:paraId="32698FAD" w14:textId="77777777" w:rsidR="00A00259" w:rsidRDefault="00371282">
            <w:pPr>
              <w:pStyle w:val="P68B1DB1-Normal12"/>
              <w:spacing w:after="0" w:line="240" w:lineRule="auto"/>
              <w:rPr>
                <w:rFonts w:eastAsia="Times New Roman"/>
                <w:noProof/>
              </w:rPr>
            </w:pPr>
            <w:r>
              <w:rPr>
                <w:noProof/>
              </w:rPr>
              <w:t>Étape</w:t>
            </w:r>
          </w:p>
        </w:tc>
        <w:tc>
          <w:tcPr>
            <w:tcW w:w="1393" w:type="dxa"/>
            <w:tcBorders>
              <w:top w:val="nil"/>
              <w:left w:val="nil"/>
              <w:bottom w:val="single" w:sz="4" w:space="0" w:color="auto"/>
              <w:right w:val="single" w:sz="4" w:space="0" w:color="auto"/>
            </w:tcBorders>
            <w:shd w:val="clear" w:color="auto" w:fill="C6EFCE"/>
            <w:noWrap/>
          </w:tcPr>
          <w:p w14:paraId="16B99D37" w14:textId="77777777" w:rsidR="00A00259" w:rsidRDefault="00371282">
            <w:pPr>
              <w:pStyle w:val="P68B1DB1-Normal12"/>
              <w:spacing w:after="0" w:line="240" w:lineRule="auto"/>
              <w:rPr>
                <w:rFonts w:eastAsia="Times New Roman"/>
                <w:noProof/>
              </w:rPr>
            </w:pPr>
            <w:r>
              <w:rPr>
                <w:noProof/>
              </w:rPr>
              <w:t>Création d'un système d'information, mise en place de postes de contrôle et formation à la lutte contre le commerce illicite</w:t>
            </w:r>
          </w:p>
        </w:tc>
        <w:tc>
          <w:tcPr>
            <w:tcW w:w="1534" w:type="dxa"/>
            <w:tcBorders>
              <w:top w:val="nil"/>
              <w:left w:val="nil"/>
              <w:bottom w:val="single" w:sz="4" w:space="0" w:color="auto"/>
              <w:right w:val="single" w:sz="4" w:space="0" w:color="auto"/>
            </w:tcBorders>
            <w:shd w:val="clear" w:color="auto" w:fill="C6EFCE"/>
            <w:noWrap/>
          </w:tcPr>
          <w:p w14:paraId="69D117C0" w14:textId="77777777" w:rsidR="00A00259" w:rsidRDefault="00371282">
            <w:pPr>
              <w:pStyle w:val="P68B1DB1-Normal12"/>
              <w:spacing w:after="0" w:line="240" w:lineRule="auto"/>
              <w:rPr>
                <w:rFonts w:eastAsia="Times New Roman"/>
                <w:noProof/>
              </w:rPr>
            </w:pPr>
            <w:r>
              <w:rPr>
                <w:noProof/>
              </w:rPr>
              <w:t>Création d'un système d'information, mise en place de postes de contrôle et formation à la lutte contre le commerce illicite</w:t>
            </w:r>
          </w:p>
        </w:tc>
        <w:tc>
          <w:tcPr>
            <w:tcW w:w="933" w:type="dxa"/>
            <w:tcBorders>
              <w:top w:val="nil"/>
              <w:left w:val="nil"/>
              <w:bottom w:val="single" w:sz="4" w:space="0" w:color="auto"/>
              <w:right w:val="single" w:sz="4" w:space="0" w:color="auto"/>
            </w:tcBorders>
            <w:shd w:val="clear" w:color="auto" w:fill="C6EFCE"/>
            <w:noWrap/>
          </w:tcPr>
          <w:p w14:paraId="1589199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47A84EF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02" w:type="dxa"/>
            <w:tcBorders>
              <w:top w:val="nil"/>
              <w:left w:val="nil"/>
              <w:bottom w:val="single" w:sz="4" w:space="0" w:color="auto"/>
              <w:right w:val="single" w:sz="4" w:space="0" w:color="auto"/>
            </w:tcBorders>
            <w:shd w:val="clear" w:color="auto" w:fill="C6EFCE"/>
            <w:noWrap/>
          </w:tcPr>
          <w:p w14:paraId="1EEB072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tcBorders>
              <w:top w:val="nil"/>
              <w:left w:val="nil"/>
              <w:bottom w:val="single" w:sz="4" w:space="0" w:color="auto"/>
              <w:right w:val="single" w:sz="4" w:space="0" w:color="auto"/>
            </w:tcBorders>
            <w:shd w:val="clear" w:color="auto" w:fill="C6EFCE"/>
            <w:noWrap/>
          </w:tcPr>
          <w:p w14:paraId="397ECC7F" w14:textId="77777777" w:rsidR="00A00259" w:rsidRDefault="00371282">
            <w:pPr>
              <w:pStyle w:val="P68B1DB1-Normal12"/>
              <w:spacing w:after="0" w:line="240" w:lineRule="auto"/>
              <w:rPr>
                <w:rFonts w:eastAsia="Times New Roman"/>
                <w:noProof/>
              </w:rPr>
            </w:pPr>
            <w:r>
              <w:rPr>
                <w:noProof/>
              </w:rPr>
              <w:t>T2</w:t>
            </w:r>
          </w:p>
        </w:tc>
        <w:tc>
          <w:tcPr>
            <w:tcW w:w="708" w:type="dxa"/>
            <w:tcBorders>
              <w:top w:val="nil"/>
              <w:left w:val="nil"/>
              <w:bottom w:val="single" w:sz="4" w:space="0" w:color="auto"/>
              <w:right w:val="single" w:sz="4" w:space="0" w:color="auto"/>
            </w:tcBorders>
            <w:shd w:val="clear" w:color="auto" w:fill="C6EFCE"/>
            <w:noWrap/>
          </w:tcPr>
          <w:p w14:paraId="5077EFBD" w14:textId="77777777" w:rsidR="00A00259" w:rsidRDefault="00371282">
            <w:pPr>
              <w:pStyle w:val="P68B1DB1-Normal12"/>
              <w:spacing w:after="0" w:line="240" w:lineRule="auto"/>
              <w:rPr>
                <w:rFonts w:eastAsia="Times New Roman"/>
                <w:noProof/>
              </w:rPr>
            </w:pPr>
            <w:r>
              <w:rPr>
                <w:noProof/>
              </w:rPr>
              <w:t>2025</w:t>
            </w:r>
          </w:p>
        </w:tc>
        <w:tc>
          <w:tcPr>
            <w:tcW w:w="5110" w:type="dxa"/>
            <w:tcBorders>
              <w:top w:val="nil"/>
              <w:left w:val="nil"/>
              <w:bottom w:val="single" w:sz="4" w:space="0" w:color="auto"/>
              <w:right w:val="single" w:sz="4" w:space="0" w:color="auto"/>
            </w:tcBorders>
            <w:shd w:val="clear" w:color="auto" w:fill="C6EFCE"/>
            <w:noWrap/>
          </w:tcPr>
          <w:p w14:paraId="24350A11" w14:textId="77777777" w:rsidR="00A00259" w:rsidRDefault="00371282">
            <w:pPr>
              <w:pStyle w:val="P68B1DB1-Normal12"/>
              <w:spacing w:after="0" w:line="240" w:lineRule="auto"/>
              <w:rPr>
                <w:noProof/>
              </w:rPr>
            </w:pPr>
            <w:r>
              <w:rPr>
                <w:noProof/>
              </w:rPr>
              <w:t>- Création d'un système d'information pour les contrôles visant à lutter contre le commerce illégal et à contrôler la circulation des biens et des services.</w:t>
            </w:r>
          </w:p>
          <w:p w14:paraId="21CFF0F0" w14:textId="77777777" w:rsidR="00A00259" w:rsidRDefault="00371282">
            <w:pPr>
              <w:pStyle w:val="P68B1DB1-Normal12"/>
              <w:spacing w:after="0" w:line="240" w:lineRule="auto"/>
              <w:rPr>
                <w:rFonts w:eastAsia="Times New Roman"/>
                <w:noProof/>
              </w:rPr>
            </w:pPr>
            <w:r>
              <w:rPr>
                <w:noProof/>
              </w:rPr>
              <w:t>- Livraison des postes de contrôle (10 bâtiments préfabriqués ISOBOX).</w:t>
            </w:r>
          </w:p>
          <w:p w14:paraId="415AFAF5" w14:textId="77777777" w:rsidR="00A00259" w:rsidRDefault="00371282">
            <w:pPr>
              <w:pStyle w:val="P68B1DB1-Normal16"/>
              <w:spacing w:after="0" w:line="240" w:lineRule="auto"/>
              <w:rPr>
                <w:rFonts w:eastAsia="Times New Roman"/>
                <w:noProof/>
                <w:color w:val="006100"/>
              </w:rPr>
            </w:pPr>
            <w:r>
              <w:rPr>
                <w:noProof/>
                <w:color w:val="006100"/>
              </w:rPr>
              <w:t>- Formation du personnel d'audit et des</w:t>
            </w:r>
            <w:r>
              <w:rPr>
                <w:noProof/>
              </w:rPr>
              <w:t xml:space="preserve"> </w:t>
            </w:r>
            <w:r>
              <w:rPr>
                <w:noProof/>
                <w:color w:val="006100"/>
              </w:rPr>
              <w:t>citoyens.</w:t>
            </w:r>
          </w:p>
        </w:tc>
      </w:tr>
    </w:tbl>
    <w:p w14:paraId="58FC053A" w14:textId="77777777" w:rsidR="00A00259" w:rsidRDefault="00A00259">
      <w:pPr>
        <w:spacing w:before="120" w:after="120" w:line="240" w:lineRule="auto"/>
        <w:jc w:val="both"/>
        <w:rPr>
          <w:rFonts w:ascii="Times New Roman" w:hAnsi="Times New Roman" w:cs="Times New Roman"/>
          <w:noProof/>
          <w:sz w:val="24"/>
          <w:szCs w:val="24"/>
        </w:rPr>
      </w:pPr>
    </w:p>
    <w:p w14:paraId="57615850" w14:textId="77777777" w:rsidR="00A00259" w:rsidRDefault="00A00259">
      <w:pPr>
        <w:keepNext/>
        <w:keepLines/>
        <w:spacing w:before="40" w:after="0" w:line="240" w:lineRule="auto"/>
        <w:jc w:val="both"/>
        <w:outlineLvl w:val="4"/>
        <w:rPr>
          <w:rFonts w:ascii="Cambria" w:hAnsi="Cambria"/>
          <w:noProof/>
          <w:color w:val="365F91"/>
          <w:sz w:val="24"/>
        </w:rPr>
        <w:sectPr w:rsidR="00A00259">
          <w:headerReference w:type="even" r:id="rId282"/>
          <w:headerReference w:type="default" r:id="rId283"/>
          <w:footerReference w:type="even" r:id="rId284"/>
          <w:footerReference w:type="default" r:id="rId285"/>
          <w:headerReference w:type="first" r:id="rId286"/>
          <w:footerReference w:type="first" r:id="rId287"/>
          <w:pgSz w:w="16839" w:h="11907" w:orient="landscape"/>
          <w:pgMar w:top="1134" w:right="1134" w:bottom="1134" w:left="1134" w:header="567" w:footer="567" w:gutter="0"/>
          <w:cols w:space="720"/>
          <w:docGrid w:linePitch="360"/>
        </w:sectPr>
      </w:pPr>
    </w:p>
    <w:p w14:paraId="4C85D186" w14:textId="77777777" w:rsidR="00A00259" w:rsidRDefault="00371282">
      <w:pPr>
        <w:pStyle w:val="P68B1DB1-Normal9"/>
        <w:keepNext/>
        <w:keepLines/>
        <w:spacing w:before="40" w:after="0" w:line="240" w:lineRule="auto"/>
        <w:jc w:val="both"/>
        <w:outlineLvl w:val="4"/>
        <w:rPr>
          <w:rFonts w:eastAsia="Times New Roman"/>
          <w:noProof/>
        </w:rPr>
      </w:pPr>
      <w:r>
        <w:rPr>
          <w:noProof/>
        </w:rPr>
        <w:t>Groupe 20: Renforcement de l'administration publique</w:t>
      </w:r>
    </w:p>
    <w:p w14:paraId="44C3E110" w14:textId="77777777" w:rsidR="00A00259" w:rsidRDefault="00371282">
      <w:pPr>
        <w:pStyle w:val="P68B1DB1-Normal5"/>
        <w:numPr>
          <w:ilvl w:val="0"/>
          <w:numId w:val="61"/>
        </w:numPr>
        <w:spacing w:before="120" w:after="0" w:line="240" w:lineRule="auto"/>
        <w:jc w:val="both"/>
        <w:rPr>
          <w:rFonts w:cs="Times New Roman"/>
          <w:noProof/>
        </w:rPr>
      </w:pPr>
      <w:r>
        <w:rPr>
          <w:noProof/>
        </w:rPr>
        <w:t>govERP (ID: 16705)</w:t>
      </w:r>
    </w:p>
    <w:p w14:paraId="299E056B" w14:textId="77777777" w:rsidR="00A00259" w:rsidRDefault="00371282">
      <w:pPr>
        <w:pStyle w:val="P68B1DB1-Normal5"/>
        <w:numPr>
          <w:ilvl w:val="0"/>
          <w:numId w:val="61"/>
        </w:numPr>
        <w:spacing w:before="120" w:after="0" w:line="240" w:lineRule="auto"/>
        <w:jc w:val="both"/>
        <w:rPr>
          <w:rFonts w:cs="Times New Roman"/>
          <w:noProof/>
        </w:rPr>
      </w:pPr>
      <w:r>
        <w:rPr>
          <w:noProof/>
        </w:rPr>
        <w:t>Réforme comptable (ID: 16974)</w:t>
      </w:r>
    </w:p>
    <w:p w14:paraId="2E42B536" w14:textId="77777777" w:rsidR="00A00259" w:rsidRDefault="00371282">
      <w:pPr>
        <w:pStyle w:val="P68B1DB1-Normal5"/>
        <w:numPr>
          <w:ilvl w:val="0"/>
          <w:numId w:val="61"/>
        </w:numPr>
        <w:spacing w:before="120" w:after="0" w:line="240" w:lineRule="auto"/>
        <w:jc w:val="both"/>
        <w:rPr>
          <w:rFonts w:cs="Times New Roman"/>
          <w:noProof/>
        </w:rPr>
      </w:pPr>
      <w:r>
        <w:rPr>
          <w:noProof/>
        </w:rPr>
        <w:t>Cadre institutionnel moderne pour les entreprises publiques (ID: 16657)</w:t>
      </w:r>
    </w:p>
    <w:p w14:paraId="502E9C34" w14:textId="77777777" w:rsidR="00A00259" w:rsidRDefault="00371282">
      <w:pPr>
        <w:pStyle w:val="P68B1DB1-Normal5"/>
        <w:numPr>
          <w:ilvl w:val="0"/>
          <w:numId w:val="61"/>
        </w:numPr>
        <w:spacing w:before="120" w:after="0" w:line="240" w:lineRule="auto"/>
        <w:jc w:val="both"/>
        <w:rPr>
          <w:rFonts w:cs="Times New Roman"/>
          <w:noProof/>
        </w:rPr>
      </w:pPr>
      <w:r>
        <w:rPr>
          <w:noProof/>
        </w:rPr>
        <w:t>Renforcer le réseau d’aides d’État (ID: 16701)</w:t>
      </w:r>
    </w:p>
    <w:p w14:paraId="272B4A96" w14:textId="77777777" w:rsidR="00A00259" w:rsidRDefault="00371282">
      <w:pPr>
        <w:pStyle w:val="P68B1DB1-Normal5"/>
        <w:numPr>
          <w:ilvl w:val="0"/>
          <w:numId w:val="61"/>
        </w:numPr>
        <w:spacing w:before="120" w:after="0" w:line="240" w:lineRule="auto"/>
        <w:jc w:val="both"/>
        <w:rPr>
          <w:rFonts w:cs="Times New Roman"/>
          <w:noProof/>
        </w:rPr>
      </w:pPr>
      <w:r>
        <w:rPr>
          <w:noProof/>
        </w:rPr>
        <w:t>Moderniser le Hellenic Consignment Deposit and Loans Fund (ID: 16940)</w:t>
      </w:r>
    </w:p>
    <w:p w14:paraId="42D93236" w14:textId="77777777" w:rsidR="00A00259" w:rsidRDefault="00371282">
      <w:pPr>
        <w:pStyle w:val="P68B1DB1-Normal5"/>
        <w:numPr>
          <w:ilvl w:val="0"/>
          <w:numId w:val="61"/>
        </w:numPr>
        <w:spacing w:before="120" w:after="0" w:line="240" w:lineRule="auto"/>
        <w:jc w:val="both"/>
        <w:rPr>
          <w:rFonts w:cs="Times New Roman"/>
          <w:noProof/>
        </w:rPr>
      </w:pPr>
      <w:r>
        <w:rPr>
          <w:noProof/>
        </w:rPr>
        <w:t>Professionnalisation du domaine des marchés publics (ID: 16711)</w:t>
      </w:r>
    </w:p>
    <w:p w14:paraId="216813AA" w14:textId="77777777" w:rsidR="00A00259" w:rsidRDefault="00371282">
      <w:pPr>
        <w:pStyle w:val="P68B1DB1-Normal7"/>
        <w:numPr>
          <w:ilvl w:val="0"/>
          <w:numId w:val="61"/>
        </w:numPr>
        <w:spacing w:before="120" w:after="0" w:line="240" w:lineRule="auto"/>
        <w:jc w:val="both"/>
        <w:rPr>
          <w:rFonts w:cs="Times New Roman"/>
          <w:noProof/>
        </w:rPr>
      </w:pPr>
      <w:r>
        <w:rPr>
          <w:noProof/>
        </w:rPr>
        <w:t>Achèvement du cadastre national (ID: 16986)</w:t>
      </w:r>
    </w:p>
    <w:tbl>
      <w:tblPr>
        <w:tblW w:w="16385" w:type="dxa"/>
        <w:jc w:val="center"/>
        <w:tblLook w:val="04A0" w:firstRow="1" w:lastRow="0" w:firstColumn="1" w:lastColumn="0" w:noHBand="0" w:noVBand="1"/>
      </w:tblPr>
      <w:tblGrid>
        <w:gridCol w:w="613"/>
        <w:gridCol w:w="2560"/>
        <w:gridCol w:w="1076"/>
        <w:gridCol w:w="2034"/>
        <w:gridCol w:w="1975"/>
        <w:gridCol w:w="1777"/>
        <w:gridCol w:w="1003"/>
        <w:gridCol w:w="876"/>
        <w:gridCol w:w="986"/>
        <w:gridCol w:w="706"/>
        <w:gridCol w:w="2965"/>
      </w:tblGrid>
      <w:tr w:rsidR="00A00259" w14:paraId="0FBD235E" w14:textId="77777777">
        <w:trPr>
          <w:trHeight w:val="640"/>
          <w:tblHeader/>
          <w:jc w:val="center"/>
        </w:trPr>
        <w:tc>
          <w:tcPr>
            <w:tcW w:w="6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C736A0" w14:textId="77777777" w:rsidR="00A00259" w:rsidRDefault="00371282">
            <w:pPr>
              <w:pStyle w:val="P68B1DB1-Normal15"/>
              <w:spacing w:after="0" w:line="240" w:lineRule="auto"/>
              <w:jc w:val="center"/>
              <w:rPr>
                <w:rFonts w:eastAsia="Times New Roman"/>
                <w:bCs/>
                <w:noProof/>
              </w:rPr>
            </w:pPr>
            <w:r>
              <w:rPr>
                <w:noProof/>
              </w:rPr>
              <w:t xml:space="preserve">Seq. </w:t>
            </w:r>
            <w:r>
              <w:rPr>
                <w:noProof/>
              </w:rPr>
              <w:br/>
              <w:t>Non.</w:t>
            </w:r>
          </w:p>
        </w:tc>
        <w:tc>
          <w:tcPr>
            <w:tcW w:w="2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587781B"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0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91797CD"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20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274DD8"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9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3E21E0D"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365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4A7B69D" w14:textId="77777777" w:rsidR="00A00259" w:rsidRDefault="00371282">
            <w:pPr>
              <w:pStyle w:val="P68B1DB1-Normal10"/>
              <w:spacing w:after="0" w:line="240" w:lineRule="auto"/>
              <w:jc w:val="center"/>
              <w:rPr>
                <w:rFonts w:eastAsia="Times New Roman" w:cs="Times New Roman"/>
                <w:bCs/>
                <w:noProof/>
                <w:szCs w:val="18"/>
              </w:rPr>
            </w:pPr>
            <w:r>
              <w:rPr>
                <w:noProof/>
              </w:rPr>
              <w:t>Indicateurs quantitatifs (pour les objectifs)</w:t>
            </w:r>
          </w:p>
        </w:tc>
        <w:tc>
          <w:tcPr>
            <w:tcW w:w="151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1154901"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9E6609"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2FCF6198" w14:textId="77777777">
        <w:trPr>
          <w:trHeight w:val="400"/>
          <w:tblHeader/>
          <w:jc w:val="center"/>
        </w:trPr>
        <w:tc>
          <w:tcPr>
            <w:tcW w:w="613" w:type="dxa"/>
            <w:vMerge/>
            <w:tcBorders>
              <w:top w:val="single" w:sz="4" w:space="0" w:color="auto"/>
              <w:left w:val="single" w:sz="4" w:space="0" w:color="auto"/>
              <w:bottom w:val="single" w:sz="4" w:space="0" w:color="auto"/>
              <w:right w:val="single" w:sz="4" w:space="0" w:color="auto"/>
            </w:tcBorders>
            <w:vAlign w:val="center"/>
            <w:hideMark/>
          </w:tcPr>
          <w:p w14:paraId="6602742F" w14:textId="77777777" w:rsidR="00A00259" w:rsidRDefault="00A00259">
            <w:pPr>
              <w:spacing w:after="0" w:line="240" w:lineRule="auto"/>
              <w:rPr>
                <w:rFonts w:ascii="Times New Roman" w:eastAsia="Times New Roman" w:hAnsi="Times New Roman" w:cs="Times New Roman"/>
                <w:b/>
                <w:bCs/>
                <w:noProof/>
                <w:sz w:val="18"/>
                <w:szCs w:val="18"/>
              </w:rPr>
            </w:pPr>
          </w:p>
        </w:tc>
        <w:tc>
          <w:tcPr>
            <w:tcW w:w="2560" w:type="dxa"/>
            <w:vMerge/>
            <w:tcBorders>
              <w:top w:val="single" w:sz="4" w:space="0" w:color="auto"/>
              <w:left w:val="single" w:sz="4" w:space="0" w:color="auto"/>
              <w:bottom w:val="single" w:sz="4" w:space="0" w:color="auto"/>
              <w:right w:val="single" w:sz="4" w:space="0" w:color="auto"/>
            </w:tcBorders>
            <w:vAlign w:val="center"/>
            <w:hideMark/>
          </w:tcPr>
          <w:p w14:paraId="07302145" w14:textId="77777777" w:rsidR="00A00259" w:rsidRDefault="00A00259">
            <w:pPr>
              <w:spacing w:after="0" w:line="240" w:lineRule="auto"/>
              <w:rPr>
                <w:rFonts w:ascii="Times New Roman" w:eastAsia="Times New Roman" w:hAnsi="Times New Roman" w:cs="Times New Roman"/>
                <w:b/>
                <w:bCs/>
                <w:noProof/>
                <w:sz w:val="18"/>
                <w:szCs w:val="18"/>
              </w:rPr>
            </w:pPr>
          </w:p>
        </w:tc>
        <w:tc>
          <w:tcPr>
            <w:tcW w:w="1063" w:type="dxa"/>
            <w:vMerge/>
            <w:tcBorders>
              <w:top w:val="single" w:sz="4" w:space="0" w:color="auto"/>
              <w:left w:val="single" w:sz="4" w:space="0" w:color="auto"/>
              <w:bottom w:val="single" w:sz="4" w:space="0" w:color="auto"/>
              <w:right w:val="single" w:sz="4" w:space="0" w:color="auto"/>
            </w:tcBorders>
            <w:vAlign w:val="center"/>
            <w:hideMark/>
          </w:tcPr>
          <w:p w14:paraId="5C7900A6" w14:textId="77777777" w:rsidR="00A00259" w:rsidRDefault="00A00259">
            <w:pPr>
              <w:spacing w:after="0" w:line="240" w:lineRule="auto"/>
              <w:rPr>
                <w:rFonts w:ascii="Times New Roman" w:eastAsia="Times New Roman" w:hAnsi="Times New Roman" w:cs="Times New Roman"/>
                <w:b/>
                <w:bCs/>
                <w:noProof/>
                <w:sz w:val="18"/>
                <w:szCs w:val="18"/>
              </w:rPr>
            </w:pPr>
          </w:p>
        </w:tc>
        <w:tc>
          <w:tcPr>
            <w:tcW w:w="2034" w:type="dxa"/>
            <w:vMerge/>
            <w:tcBorders>
              <w:top w:val="single" w:sz="4" w:space="0" w:color="auto"/>
              <w:left w:val="single" w:sz="4" w:space="0" w:color="auto"/>
              <w:bottom w:val="single" w:sz="4" w:space="0" w:color="auto"/>
              <w:right w:val="single" w:sz="4" w:space="0" w:color="auto"/>
            </w:tcBorders>
            <w:vAlign w:val="center"/>
            <w:hideMark/>
          </w:tcPr>
          <w:p w14:paraId="291ABD11" w14:textId="77777777" w:rsidR="00A00259" w:rsidRDefault="00A00259">
            <w:pPr>
              <w:spacing w:after="0" w:line="240" w:lineRule="auto"/>
              <w:rPr>
                <w:rFonts w:ascii="Times New Roman" w:eastAsia="Times New Roman" w:hAnsi="Times New Roman" w:cs="Times New Roman"/>
                <w:b/>
                <w:bCs/>
                <w:noProof/>
                <w:sz w:val="18"/>
                <w:szCs w:val="18"/>
              </w:rPr>
            </w:pPr>
          </w:p>
        </w:tc>
        <w:tc>
          <w:tcPr>
            <w:tcW w:w="1975" w:type="dxa"/>
            <w:vMerge/>
            <w:tcBorders>
              <w:top w:val="single" w:sz="4" w:space="0" w:color="auto"/>
              <w:left w:val="single" w:sz="4" w:space="0" w:color="auto"/>
              <w:bottom w:val="single" w:sz="4" w:space="0" w:color="auto"/>
              <w:right w:val="single" w:sz="4" w:space="0" w:color="auto"/>
            </w:tcBorders>
            <w:vAlign w:val="center"/>
            <w:hideMark/>
          </w:tcPr>
          <w:p w14:paraId="01D40A13" w14:textId="77777777" w:rsidR="00A00259" w:rsidRDefault="00A00259">
            <w:pPr>
              <w:spacing w:after="0" w:line="240" w:lineRule="auto"/>
              <w:rPr>
                <w:rFonts w:ascii="Times New Roman" w:eastAsia="Times New Roman" w:hAnsi="Times New Roman" w:cs="Times New Roman"/>
                <w:b/>
                <w:bCs/>
                <w:noProof/>
                <w:sz w:val="18"/>
                <w:szCs w:val="18"/>
              </w:rPr>
            </w:pPr>
          </w:p>
        </w:tc>
        <w:tc>
          <w:tcPr>
            <w:tcW w:w="177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9326A9"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100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E3EFE3C"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8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1AC104D"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84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0FA1EE9"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67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6808852"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2965" w:type="dxa"/>
            <w:vMerge/>
            <w:tcBorders>
              <w:top w:val="single" w:sz="4" w:space="0" w:color="auto"/>
              <w:left w:val="single" w:sz="4" w:space="0" w:color="auto"/>
              <w:bottom w:val="single" w:sz="4" w:space="0" w:color="auto"/>
              <w:right w:val="single" w:sz="4" w:space="0" w:color="auto"/>
            </w:tcBorders>
            <w:vAlign w:val="center"/>
            <w:hideMark/>
          </w:tcPr>
          <w:p w14:paraId="5BFA63B1"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4C1CABDC"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41DFCFBF" w14:textId="77777777" w:rsidR="00A00259" w:rsidRDefault="00371282">
            <w:pPr>
              <w:pStyle w:val="P68B1DB1-Normal12"/>
              <w:spacing w:after="0" w:line="240" w:lineRule="auto"/>
              <w:rPr>
                <w:rFonts w:eastAsia="Times New Roman"/>
                <w:noProof/>
              </w:rPr>
            </w:pPr>
            <w:r>
              <w:rPr>
                <w:noProof/>
              </w:rPr>
              <w:t>214</w:t>
            </w:r>
          </w:p>
        </w:tc>
        <w:tc>
          <w:tcPr>
            <w:tcW w:w="2560" w:type="dxa"/>
            <w:tcBorders>
              <w:top w:val="single" w:sz="4" w:space="0" w:color="auto"/>
              <w:left w:val="single" w:sz="4" w:space="0" w:color="auto"/>
              <w:bottom w:val="single" w:sz="4" w:space="0" w:color="auto"/>
              <w:right w:val="single" w:sz="4" w:space="0" w:color="auto"/>
            </w:tcBorders>
            <w:shd w:val="clear" w:color="auto" w:fill="C6EFCE"/>
            <w:noWrap/>
          </w:tcPr>
          <w:p w14:paraId="4231AFD3" w14:textId="77777777" w:rsidR="00A00259" w:rsidRDefault="00371282">
            <w:pPr>
              <w:pStyle w:val="P68B1DB1-Normal12"/>
              <w:spacing w:after="0" w:line="240" w:lineRule="auto"/>
              <w:rPr>
                <w:rFonts w:eastAsia="Times New Roman"/>
                <w:noProof/>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- 16701_Enhance State-aid network</w:t>
            </w:r>
          </w:p>
        </w:tc>
        <w:tc>
          <w:tcPr>
            <w:tcW w:w="1063" w:type="dxa"/>
            <w:tcBorders>
              <w:top w:val="single" w:sz="4" w:space="0" w:color="auto"/>
              <w:left w:val="single" w:sz="4" w:space="0" w:color="auto"/>
              <w:bottom w:val="single" w:sz="4" w:space="0" w:color="auto"/>
              <w:right w:val="single" w:sz="4" w:space="0" w:color="auto"/>
            </w:tcBorders>
            <w:shd w:val="clear" w:color="auto" w:fill="C6EFCE"/>
            <w:noWrap/>
          </w:tcPr>
          <w:p w14:paraId="0732F88A" w14:textId="77777777" w:rsidR="00A00259" w:rsidRDefault="00371282">
            <w:pPr>
              <w:pStyle w:val="P68B1DB1-Normal12"/>
              <w:spacing w:after="0" w:line="240" w:lineRule="auto"/>
              <w:rPr>
                <w:rFonts w:eastAsia="Times New Roman"/>
                <w:noProof/>
              </w:rPr>
            </w:pPr>
            <w:r>
              <w:rPr>
                <w:noProof/>
              </w:rPr>
              <w:t>Étape</w:t>
            </w:r>
          </w:p>
        </w:tc>
        <w:tc>
          <w:tcPr>
            <w:tcW w:w="2034" w:type="dxa"/>
            <w:tcBorders>
              <w:top w:val="single" w:sz="4" w:space="0" w:color="auto"/>
              <w:left w:val="single" w:sz="4" w:space="0" w:color="auto"/>
              <w:bottom w:val="single" w:sz="4" w:space="0" w:color="auto"/>
              <w:right w:val="single" w:sz="4" w:space="0" w:color="auto"/>
            </w:tcBorders>
            <w:shd w:val="clear" w:color="auto" w:fill="C6EFCE"/>
            <w:noWrap/>
          </w:tcPr>
          <w:p w14:paraId="4975732A" w14:textId="77777777" w:rsidR="00A00259" w:rsidRDefault="00371282">
            <w:pPr>
              <w:pStyle w:val="P68B1DB1-Normal12"/>
              <w:spacing w:after="0" w:line="240" w:lineRule="auto"/>
              <w:rPr>
                <w:rFonts w:eastAsia="Times New Roman"/>
                <w:noProof/>
              </w:rPr>
            </w:pPr>
            <w:r>
              <w:rPr>
                <w:noProof/>
              </w:rPr>
              <w:t>Renforcement du réseau d'aides d'État</w:t>
            </w:r>
          </w:p>
        </w:tc>
        <w:tc>
          <w:tcPr>
            <w:tcW w:w="1975" w:type="dxa"/>
            <w:tcBorders>
              <w:top w:val="single" w:sz="4" w:space="0" w:color="auto"/>
              <w:left w:val="single" w:sz="4" w:space="0" w:color="auto"/>
              <w:bottom w:val="single" w:sz="4" w:space="0" w:color="auto"/>
              <w:right w:val="single" w:sz="4" w:space="0" w:color="auto"/>
            </w:tcBorders>
            <w:shd w:val="clear" w:color="auto" w:fill="C6EFCE"/>
            <w:noWrap/>
          </w:tcPr>
          <w:p w14:paraId="39CFF277" w14:textId="77777777" w:rsidR="00A00259" w:rsidRDefault="00371282">
            <w:pPr>
              <w:pStyle w:val="P68B1DB1-Normal12"/>
              <w:spacing w:after="0" w:line="240" w:lineRule="auto"/>
              <w:rPr>
                <w:rFonts w:eastAsia="Times New Roman"/>
                <w:noProof/>
              </w:rPr>
            </w:pPr>
            <w:r>
              <w:rPr>
                <w:noProof/>
              </w:rPr>
              <w:t>Entrée en vigueur du cadre renforcé en matière d'aides d'État</w:t>
            </w:r>
          </w:p>
        </w:tc>
        <w:tc>
          <w:tcPr>
            <w:tcW w:w="1777" w:type="dxa"/>
            <w:tcBorders>
              <w:top w:val="single" w:sz="4" w:space="0" w:color="auto"/>
              <w:left w:val="single" w:sz="4" w:space="0" w:color="auto"/>
              <w:bottom w:val="single" w:sz="4" w:space="0" w:color="auto"/>
              <w:right w:val="single" w:sz="4" w:space="0" w:color="auto"/>
            </w:tcBorders>
            <w:shd w:val="clear" w:color="auto" w:fill="C6EFCE"/>
            <w:noWrap/>
          </w:tcPr>
          <w:p w14:paraId="7995A1C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03" w:type="dxa"/>
            <w:tcBorders>
              <w:top w:val="single" w:sz="4" w:space="0" w:color="auto"/>
              <w:left w:val="single" w:sz="4" w:space="0" w:color="auto"/>
              <w:bottom w:val="single" w:sz="4" w:space="0" w:color="auto"/>
              <w:right w:val="single" w:sz="4" w:space="0" w:color="auto"/>
            </w:tcBorders>
            <w:shd w:val="clear" w:color="auto" w:fill="C6EFCE"/>
            <w:noWrap/>
          </w:tcPr>
          <w:p w14:paraId="7C6B8A3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76" w:type="dxa"/>
            <w:tcBorders>
              <w:top w:val="single" w:sz="4" w:space="0" w:color="auto"/>
              <w:left w:val="single" w:sz="4" w:space="0" w:color="auto"/>
              <w:bottom w:val="single" w:sz="4" w:space="0" w:color="auto"/>
              <w:right w:val="single" w:sz="4" w:space="0" w:color="auto"/>
            </w:tcBorders>
            <w:shd w:val="clear" w:color="auto" w:fill="C6EFCE"/>
            <w:noWrap/>
          </w:tcPr>
          <w:p w14:paraId="44A2017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61F604B" w14:textId="77777777" w:rsidR="00A00259" w:rsidRDefault="00371282">
            <w:pPr>
              <w:pStyle w:val="P68B1DB1-Normal12"/>
              <w:spacing w:after="0" w:line="240" w:lineRule="auto"/>
              <w:rPr>
                <w:rFonts w:eastAsia="Times New Roman"/>
                <w:noProof/>
              </w:rPr>
            </w:pPr>
            <w:r>
              <w:rPr>
                <w:noProof/>
              </w:rPr>
              <w:t>T4</w:t>
            </w:r>
          </w:p>
        </w:tc>
        <w:tc>
          <w:tcPr>
            <w:tcW w:w="673" w:type="dxa"/>
            <w:tcBorders>
              <w:top w:val="single" w:sz="4" w:space="0" w:color="auto"/>
              <w:left w:val="single" w:sz="4" w:space="0" w:color="auto"/>
              <w:bottom w:val="single" w:sz="4" w:space="0" w:color="auto"/>
              <w:right w:val="single" w:sz="4" w:space="0" w:color="auto"/>
            </w:tcBorders>
            <w:shd w:val="clear" w:color="auto" w:fill="C6EFCE"/>
            <w:noWrap/>
          </w:tcPr>
          <w:p w14:paraId="4CBDCED9" w14:textId="77777777" w:rsidR="00A00259" w:rsidRDefault="00371282">
            <w:pPr>
              <w:pStyle w:val="P68B1DB1-Normal12"/>
              <w:spacing w:after="0" w:line="240" w:lineRule="auto"/>
              <w:rPr>
                <w:rFonts w:eastAsia="Times New Roman"/>
                <w:noProof/>
              </w:rPr>
            </w:pPr>
            <w:r>
              <w:rPr>
                <w:noProof/>
              </w:rPr>
              <w:t>2022</w:t>
            </w:r>
          </w:p>
        </w:tc>
        <w:tc>
          <w:tcPr>
            <w:tcW w:w="2965" w:type="dxa"/>
            <w:tcBorders>
              <w:top w:val="single" w:sz="4" w:space="0" w:color="auto"/>
              <w:left w:val="single" w:sz="4" w:space="0" w:color="auto"/>
              <w:bottom w:val="single" w:sz="4" w:space="0" w:color="auto"/>
              <w:right w:val="single" w:sz="4" w:space="0" w:color="auto"/>
            </w:tcBorders>
            <w:shd w:val="clear" w:color="auto" w:fill="C6EFCE"/>
            <w:noWrap/>
          </w:tcPr>
          <w:p w14:paraId="28B53E1D" w14:textId="77777777" w:rsidR="00A00259" w:rsidRDefault="00371282">
            <w:pPr>
              <w:pStyle w:val="P68B1DB1-Normal12"/>
              <w:spacing w:after="0" w:line="240" w:lineRule="auto"/>
              <w:rPr>
                <w:rFonts w:eastAsia="Times New Roman"/>
                <w:noProof/>
              </w:rPr>
            </w:pPr>
            <w:r>
              <w:rPr>
                <w:noProof/>
              </w:rPr>
              <w:t>Entrée en vigueur des modifications apportées au cadre juridique des aides d'État pour le fonctionnement du réseau central des aides d'État (CESANET), afin de renforcer les compétences de l'unité centrale des aides d'État et des unités décentralisées des aides d'État</w:t>
            </w:r>
          </w:p>
        </w:tc>
      </w:tr>
      <w:tr w:rsidR="00A00259" w14:paraId="13A72A96"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02FA0226" w14:textId="77777777" w:rsidR="00A00259" w:rsidRDefault="00371282">
            <w:pPr>
              <w:pStyle w:val="P68B1DB1-Normal12"/>
              <w:spacing w:after="0" w:line="240" w:lineRule="auto"/>
              <w:rPr>
                <w:rFonts w:eastAsia="Times New Roman"/>
                <w:noProof/>
              </w:rPr>
            </w:pPr>
            <w:r>
              <w:rPr>
                <w:noProof/>
              </w:rPr>
              <w:t>215</w:t>
            </w:r>
          </w:p>
        </w:tc>
        <w:tc>
          <w:tcPr>
            <w:tcW w:w="2560" w:type="dxa"/>
            <w:tcBorders>
              <w:top w:val="single" w:sz="4" w:space="0" w:color="auto"/>
              <w:left w:val="nil"/>
              <w:bottom w:val="single" w:sz="4" w:space="0" w:color="auto"/>
              <w:right w:val="single" w:sz="4" w:space="0" w:color="auto"/>
            </w:tcBorders>
            <w:shd w:val="clear" w:color="auto" w:fill="C6EFCE"/>
            <w:noWrap/>
          </w:tcPr>
          <w:p w14:paraId="4C311C82" w14:textId="77777777" w:rsidR="00A00259" w:rsidRDefault="00371282">
            <w:pPr>
              <w:pStyle w:val="P68B1DB1-Normal12"/>
              <w:spacing w:after="0" w:line="240" w:lineRule="auto"/>
              <w:rPr>
                <w:rFonts w:eastAsia="Times New Roman"/>
                <w:noProof/>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- 16981_Amélioration de la planification et de la coordination des politiques</w:t>
            </w:r>
          </w:p>
        </w:tc>
        <w:tc>
          <w:tcPr>
            <w:tcW w:w="1063" w:type="dxa"/>
            <w:tcBorders>
              <w:top w:val="single" w:sz="4" w:space="0" w:color="auto"/>
              <w:left w:val="nil"/>
              <w:bottom w:val="single" w:sz="4" w:space="0" w:color="auto"/>
              <w:right w:val="single" w:sz="4" w:space="0" w:color="auto"/>
            </w:tcBorders>
            <w:shd w:val="clear" w:color="auto" w:fill="C6EFCE"/>
            <w:noWrap/>
          </w:tcPr>
          <w:p w14:paraId="131F839E" w14:textId="77777777" w:rsidR="00A00259" w:rsidRDefault="00371282">
            <w:pPr>
              <w:pStyle w:val="P68B1DB1-Normal12"/>
              <w:spacing w:after="0" w:line="240" w:lineRule="auto"/>
              <w:rPr>
                <w:rFonts w:eastAsia="Times New Roman"/>
                <w:noProof/>
              </w:rPr>
            </w:pPr>
            <w:r>
              <w:rPr>
                <w:noProof/>
              </w:rPr>
              <w:t>Étape</w:t>
            </w:r>
          </w:p>
        </w:tc>
        <w:tc>
          <w:tcPr>
            <w:tcW w:w="2034" w:type="dxa"/>
            <w:tcBorders>
              <w:top w:val="single" w:sz="4" w:space="0" w:color="auto"/>
              <w:left w:val="nil"/>
              <w:bottom w:val="single" w:sz="4" w:space="0" w:color="auto"/>
              <w:right w:val="single" w:sz="4" w:space="0" w:color="auto"/>
            </w:tcBorders>
            <w:shd w:val="clear" w:color="auto" w:fill="C6EFCE"/>
            <w:noWrap/>
          </w:tcPr>
          <w:p w14:paraId="3B090D74" w14:textId="77777777" w:rsidR="00A00259" w:rsidRDefault="00371282">
            <w:pPr>
              <w:pStyle w:val="P68B1DB1-Normal12"/>
              <w:spacing w:after="0" w:line="240" w:lineRule="auto"/>
              <w:rPr>
                <w:rFonts w:eastAsia="Times New Roman"/>
                <w:noProof/>
              </w:rPr>
            </w:pPr>
            <w:r>
              <w:rPr>
                <w:noProof/>
              </w:rPr>
              <w:t>Planification et coordination des politiques – analyse d’impact</w:t>
            </w:r>
          </w:p>
        </w:tc>
        <w:tc>
          <w:tcPr>
            <w:tcW w:w="1975" w:type="dxa"/>
            <w:tcBorders>
              <w:top w:val="single" w:sz="4" w:space="0" w:color="auto"/>
              <w:left w:val="nil"/>
              <w:bottom w:val="single" w:sz="4" w:space="0" w:color="auto"/>
              <w:right w:val="single" w:sz="4" w:space="0" w:color="auto"/>
            </w:tcBorders>
            <w:shd w:val="clear" w:color="auto" w:fill="C6EFCE"/>
            <w:noWrap/>
          </w:tcPr>
          <w:p w14:paraId="6555F8CD" w14:textId="77777777" w:rsidR="00A00259" w:rsidRDefault="00371282">
            <w:pPr>
              <w:pStyle w:val="P68B1DB1-Normal12"/>
              <w:spacing w:after="0" w:line="240" w:lineRule="auto"/>
              <w:rPr>
                <w:rFonts w:eastAsia="Times New Roman"/>
                <w:noProof/>
              </w:rPr>
            </w:pPr>
            <w:r>
              <w:rPr>
                <w:noProof/>
              </w:rPr>
              <w:t>Lancement d'un programme de formation auquel participeront 100 fonctionnaires.</w:t>
            </w:r>
          </w:p>
        </w:tc>
        <w:tc>
          <w:tcPr>
            <w:tcW w:w="1777" w:type="dxa"/>
            <w:tcBorders>
              <w:top w:val="single" w:sz="4" w:space="0" w:color="auto"/>
              <w:left w:val="nil"/>
              <w:bottom w:val="single" w:sz="4" w:space="0" w:color="auto"/>
              <w:right w:val="single" w:sz="4" w:space="0" w:color="auto"/>
            </w:tcBorders>
            <w:shd w:val="clear" w:color="auto" w:fill="C6EFCE"/>
            <w:noWrap/>
          </w:tcPr>
          <w:p w14:paraId="2E36AC4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03" w:type="dxa"/>
            <w:tcBorders>
              <w:top w:val="single" w:sz="4" w:space="0" w:color="auto"/>
              <w:left w:val="nil"/>
              <w:bottom w:val="single" w:sz="4" w:space="0" w:color="auto"/>
              <w:right w:val="single" w:sz="4" w:space="0" w:color="auto"/>
            </w:tcBorders>
            <w:shd w:val="clear" w:color="auto" w:fill="C6EFCE"/>
            <w:noWrap/>
          </w:tcPr>
          <w:p w14:paraId="027B4D6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76" w:type="dxa"/>
            <w:tcBorders>
              <w:top w:val="single" w:sz="4" w:space="0" w:color="auto"/>
              <w:left w:val="nil"/>
              <w:bottom w:val="single" w:sz="4" w:space="0" w:color="auto"/>
              <w:right w:val="single" w:sz="4" w:space="0" w:color="auto"/>
            </w:tcBorders>
            <w:shd w:val="clear" w:color="auto" w:fill="C6EFCE"/>
            <w:noWrap/>
          </w:tcPr>
          <w:p w14:paraId="4F5416D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67FD346F" w14:textId="77777777" w:rsidR="00A00259" w:rsidRDefault="00371282">
            <w:pPr>
              <w:pStyle w:val="P68B1DB1-Normal12"/>
              <w:spacing w:after="0" w:line="240" w:lineRule="auto"/>
              <w:rPr>
                <w:rFonts w:eastAsia="Times New Roman"/>
                <w:noProof/>
              </w:rPr>
            </w:pPr>
            <w:r>
              <w:rPr>
                <w:noProof/>
              </w:rPr>
              <w:t>T4</w:t>
            </w:r>
          </w:p>
        </w:tc>
        <w:tc>
          <w:tcPr>
            <w:tcW w:w="673" w:type="dxa"/>
            <w:tcBorders>
              <w:top w:val="single" w:sz="4" w:space="0" w:color="auto"/>
              <w:left w:val="nil"/>
              <w:bottom w:val="single" w:sz="4" w:space="0" w:color="auto"/>
              <w:right w:val="single" w:sz="4" w:space="0" w:color="auto"/>
            </w:tcBorders>
            <w:shd w:val="clear" w:color="auto" w:fill="C6EFCE"/>
            <w:noWrap/>
          </w:tcPr>
          <w:p w14:paraId="77D1809B" w14:textId="77777777" w:rsidR="00A00259" w:rsidRDefault="00371282">
            <w:pPr>
              <w:pStyle w:val="P68B1DB1-Normal12"/>
              <w:spacing w:after="0" w:line="240" w:lineRule="auto"/>
              <w:rPr>
                <w:rFonts w:eastAsia="Times New Roman"/>
                <w:noProof/>
              </w:rPr>
            </w:pPr>
            <w:r>
              <w:rPr>
                <w:noProof/>
              </w:rPr>
              <w:t>2022</w:t>
            </w:r>
          </w:p>
        </w:tc>
        <w:tc>
          <w:tcPr>
            <w:tcW w:w="2965" w:type="dxa"/>
            <w:tcBorders>
              <w:top w:val="single" w:sz="4" w:space="0" w:color="auto"/>
              <w:left w:val="nil"/>
              <w:bottom w:val="single" w:sz="4" w:space="0" w:color="auto"/>
              <w:right w:val="single" w:sz="4" w:space="0" w:color="auto"/>
            </w:tcBorders>
            <w:shd w:val="clear" w:color="auto" w:fill="C6EFCE"/>
            <w:noWrap/>
          </w:tcPr>
          <w:p w14:paraId="3B3FA4EF" w14:textId="77777777" w:rsidR="00A00259" w:rsidRDefault="00371282">
            <w:pPr>
              <w:pStyle w:val="P68B1DB1-Normal12"/>
              <w:spacing w:after="0" w:line="240" w:lineRule="auto"/>
              <w:rPr>
                <w:rFonts w:eastAsia="Times New Roman"/>
                <w:noProof/>
              </w:rPr>
            </w:pPr>
            <w:r>
              <w:rPr>
                <w:noProof/>
              </w:rPr>
              <w:t xml:space="preserve">À la suite du lancement de la plateforme électronique d’analyse d’impact, un programme de formation et une procédure d’accréditation associée sont lancés avec au moins 100 fonctionnaires inscrits, y compris des fonctionnaires sélectionnés pour les «succursales exécutives» (loi 4622/2019, article 104) afin d’améliorer la qualité des analyses d’impact préparées et de faciliter l’utilisation de la plateforme électronique. </w:t>
            </w:r>
          </w:p>
        </w:tc>
      </w:tr>
      <w:tr w:rsidR="00A00259" w14:paraId="188222A6" w14:textId="77777777">
        <w:trPr>
          <w:trHeight w:val="309"/>
          <w:jc w:val="center"/>
        </w:trPr>
        <w:tc>
          <w:tcPr>
            <w:tcW w:w="613" w:type="dxa"/>
            <w:tcBorders>
              <w:top w:val="nil"/>
              <w:left w:val="single" w:sz="4" w:space="0" w:color="auto"/>
              <w:bottom w:val="single" w:sz="4" w:space="0" w:color="auto"/>
              <w:right w:val="single" w:sz="4" w:space="0" w:color="auto"/>
            </w:tcBorders>
            <w:shd w:val="clear" w:color="auto" w:fill="C6EFCE"/>
            <w:noWrap/>
          </w:tcPr>
          <w:p w14:paraId="0F197418" w14:textId="77777777" w:rsidR="00A00259" w:rsidRDefault="00371282">
            <w:pPr>
              <w:pStyle w:val="P68B1DB1-Normal12"/>
              <w:spacing w:line="240" w:lineRule="auto"/>
              <w:rPr>
                <w:rFonts w:eastAsia="Times New Roman"/>
                <w:noProof/>
              </w:rPr>
            </w:pPr>
            <w:r>
              <w:rPr>
                <w:noProof/>
              </w:rPr>
              <w:t>216a</w:t>
            </w:r>
          </w:p>
        </w:tc>
        <w:tc>
          <w:tcPr>
            <w:tcW w:w="2560" w:type="dxa"/>
            <w:tcBorders>
              <w:top w:val="nil"/>
              <w:left w:val="nil"/>
              <w:bottom w:val="single" w:sz="4" w:space="0" w:color="auto"/>
              <w:right w:val="single" w:sz="4" w:space="0" w:color="auto"/>
            </w:tcBorders>
            <w:shd w:val="clear" w:color="auto" w:fill="C6EFCE"/>
            <w:noWrap/>
          </w:tcPr>
          <w:p w14:paraId="5E8767A7" w14:textId="63E5CA14" w:rsidR="00A00259" w:rsidRDefault="00371282">
            <w:pPr>
              <w:pStyle w:val="P68B1DB1-Normal12"/>
              <w:spacing w:line="240" w:lineRule="auto"/>
              <w:rPr>
                <w:rFonts w:eastAsia="Times New Roman"/>
                <w:noProof/>
              </w:rPr>
            </w:pPr>
            <w:r>
              <w:rPr>
                <w:noProof/>
              </w:rPr>
              <w:t xml:space="preserve">13 - 4.2. Moderniser l'administration publique, notamment en accélérant la mise en œuvre des investissements publics, en améliorant le cadre des marchés publics, en prenant des mesures de renforcement des capacités et en luttant contre la corruption - 16711_Professionnalisation du domaine des marchés publics </w:t>
            </w:r>
          </w:p>
        </w:tc>
        <w:tc>
          <w:tcPr>
            <w:tcW w:w="1063" w:type="dxa"/>
            <w:tcBorders>
              <w:top w:val="nil"/>
              <w:left w:val="nil"/>
              <w:bottom w:val="single" w:sz="4" w:space="0" w:color="auto"/>
              <w:right w:val="single" w:sz="4" w:space="0" w:color="auto"/>
            </w:tcBorders>
            <w:shd w:val="clear" w:color="auto" w:fill="C6EFCE"/>
            <w:noWrap/>
          </w:tcPr>
          <w:p w14:paraId="0BA04E95" w14:textId="77777777" w:rsidR="00A00259" w:rsidRDefault="00371282">
            <w:pPr>
              <w:pStyle w:val="P68B1DB1-Normal12"/>
              <w:spacing w:line="240" w:lineRule="auto"/>
              <w:rPr>
                <w:rFonts w:eastAsia="Times New Roman"/>
                <w:noProof/>
              </w:rPr>
            </w:pPr>
            <w:r>
              <w:rPr>
                <w:noProof/>
              </w:rPr>
              <w:t>Étape</w:t>
            </w:r>
          </w:p>
        </w:tc>
        <w:tc>
          <w:tcPr>
            <w:tcW w:w="2034" w:type="dxa"/>
            <w:tcBorders>
              <w:top w:val="nil"/>
              <w:left w:val="nil"/>
              <w:bottom w:val="single" w:sz="4" w:space="0" w:color="auto"/>
              <w:right w:val="single" w:sz="4" w:space="0" w:color="auto"/>
            </w:tcBorders>
            <w:shd w:val="clear" w:color="auto" w:fill="C6EFCE"/>
            <w:noWrap/>
          </w:tcPr>
          <w:p w14:paraId="1FF36699" w14:textId="77777777" w:rsidR="00A00259" w:rsidRDefault="00371282">
            <w:pPr>
              <w:pStyle w:val="P68B1DB1-Normal12"/>
              <w:spacing w:line="240" w:lineRule="auto"/>
              <w:rPr>
                <w:rFonts w:eastAsia="Times New Roman"/>
                <w:noProof/>
              </w:rPr>
            </w:pPr>
            <w:r>
              <w:rPr>
                <w:noProof/>
              </w:rPr>
              <w:t>Modification de la stratégie nationale en matière de marchés publics 2021-2025</w:t>
            </w:r>
          </w:p>
        </w:tc>
        <w:tc>
          <w:tcPr>
            <w:tcW w:w="1975" w:type="dxa"/>
            <w:tcBorders>
              <w:top w:val="nil"/>
              <w:left w:val="nil"/>
              <w:bottom w:val="single" w:sz="4" w:space="0" w:color="auto"/>
              <w:right w:val="single" w:sz="4" w:space="0" w:color="auto"/>
            </w:tcBorders>
            <w:shd w:val="clear" w:color="auto" w:fill="C6EFCE"/>
            <w:noWrap/>
          </w:tcPr>
          <w:p w14:paraId="57B3C576" w14:textId="77777777" w:rsidR="00A00259" w:rsidRDefault="00371282">
            <w:pPr>
              <w:pStyle w:val="P68B1DB1-Normal12"/>
              <w:spacing w:line="240" w:lineRule="auto"/>
              <w:rPr>
                <w:rFonts w:eastAsia="Times New Roman"/>
                <w:noProof/>
              </w:rPr>
            </w:pPr>
            <w:r>
              <w:rPr>
                <w:noProof/>
              </w:rPr>
              <w:t>La modification de la stratégie nationale en matière de marchés publics est entrée en vigueur au moyen d’un acte législatif secondaire.</w:t>
            </w:r>
          </w:p>
        </w:tc>
        <w:tc>
          <w:tcPr>
            <w:tcW w:w="1777" w:type="dxa"/>
            <w:tcBorders>
              <w:top w:val="nil"/>
              <w:left w:val="nil"/>
              <w:bottom w:val="single" w:sz="4" w:space="0" w:color="auto"/>
              <w:right w:val="single" w:sz="4" w:space="0" w:color="auto"/>
            </w:tcBorders>
            <w:shd w:val="clear" w:color="auto" w:fill="C6EFCE"/>
            <w:noWrap/>
          </w:tcPr>
          <w:p w14:paraId="26AB1D74" w14:textId="77777777" w:rsidR="00A00259" w:rsidRDefault="00A00259">
            <w:pPr>
              <w:spacing w:line="240" w:lineRule="auto"/>
              <w:rPr>
                <w:rFonts w:ascii="Times New Roman" w:eastAsia="Times New Roman" w:hAnsi="Times New Roman" w:cs="Times New Roman"/>
                <w:noProof/>
                <w:color w:val="006100"/>
                <w:sz w:val="18"/>
                <w:szCs w:val="18"/>
              </w:rPr>
            </w:pPr>
          </w:p>
        </w:tc>
        <w:tc>
          <w:tcPr>
            <w:tcW w:w="1003" w:type="dxa"/>
            <w:tcBorders>
              <w:top w:val="nil"/>
              <w:left w:val="nil"/>
              <w:bottom w:val="single" w:sz="4" w:space="0" w:color="auto"/>
              <w:right w:val="single" w:sz="4" w:space="0" w:color="auto"/>
            </w:tcBorders>
            <w:shd w:val="clear" w:color="auto" w:fill="C6EFCE"/>
            <w:noWrap/>
          </w:tcPr>
          <w:p w14:paraId="0D95BFF6" w14:textId="77777777" w:rsidR="00A00259" w:rsidRDefault="00A00259">
            <w:pPr>
              <w:spacing w:line="240" w:lineRule="auto"/>
              <w:rPr>
                <w:rFonts w:ascii="Times New Roman" w:eastAsia="Times New Roman" w:hAnsi="Times New Roman" w:cs="Times New Roman"/>
                <w:noProof/>
                <w:color w:val="006100"/>
                <w:sz w:val="18"/>
                <w:szCs w:val="18"/>
              </w:rPr>
            </w:pPr>
          </w:p>
        </w:tc>
        <w:tc>
          <w:tcPr>
            <w:tcW w:w="876" w:type="dxa"/>
            <w:tcBorders>
              <w:top w:val="nil"/>
              <w:left w:val="nil"/>
              <w:bottom w:val="single" w:sz="4" w:space="0" w:color="auto"/>
              <w:right w:val="single" w:sz="4" w:space="0" w:color="auto"/>
            </w:tcBorders>
            <w:shd w:val="clear" w:color="auto" w:fill="C6EFCE"/>
            <w:noWrap/>
          </w:tcPr>
          <w:p w14:paraId="44F20B85" w14:textId="77777777" w:rsidR="00A00259" w:rsidRDefault="00A00259">
            <w:pPr>
              <w:spacing w:line="240" w:lineRule="auto"/>
              <w:rPr>
                <w:rFonts w:ascii="Times New Roman" w:eastAsia="Times New Roman" w:hAnsi="Times New Roman" w:cs="Times New Roman"/>
                <w:noProof/>
                <w:color w:val="006100"/>
                <w:sz w:val="18"/>
                <w:szCs w:val="18"/>
              </w:rPr>
            </w:pPr>
          </w:p>
        </w:tc>
        <w:tc>
          <w:tcPr>
            <w:tcW w:w="846" w:type="dxa"/>
            <w:tcBorders>
              <w:top w:val="nil"/>
              <w:left w:val="nil"/>
              <w:bottom w:val="single" w:sz="4" w:space="0" w:color="auto"/>
              <w:right w:val="single" w:sz="4" w:space="0" w:color="auto"/>
            </w:tcBorders>
            <w:shd w:val="clear" w:color="auto" w:fill="C6EFCE"/>
            <w:noWrap/>
          </w:tcPr>
          <w:p w14:paraId="14B0CE47" w14:textId="77777777" w:rsidR="00A00259" w:rsidRDefault="00371282">
            <w:pPr>
              <w:pStyle w:val="P68B1DB1-Normal12"/>
              <w:spacing w:line="240" w:lineRule="auto"/>
              <w:rPr>
                <w:rFonts w:eastAsia="Times New Roman"/>
                <w:noProof/>
              </w:rPr>
            </w:pPr>
            <w:r>
              <w:rPr>
                <w:noProof/>
              </w:rPr>
              <w:t>T4</w:t>
            </w:r>
          </w:p>
        </w:tc>
        <w:tc>
          <w:tcPr>
            <w:tcW w:w="673" w:type="dxa"/>
            <w:tcBorders>
              <w:top w:val="nil"/>
              <w:left w:val="nil"/>
              <w:bottom w:val="single" w:sz="4" w:space="0" w:color="auto"/>
              <w:right w:val="single" w:sz="4" w:space="0" w:color="auto"/>
            </w:tcBorders>
            <w:shd w:val="clear" w:color="auto" w:fill="C6EFCE"/>
            <w:noWrap/>
          </w:tcPr>
          <w:p w14:paraId="5DE62EEA" w14:textId="77777777" w:rsidR="00A00259" w:rsidRDefault="00371282">
            <w:pPr>
              <w:pStyle w:val="P68B1DB1-Normal12"/>
              <w:spacing w:line="240" w:lineRule="auto"/>
              <w:rPr>
                <w:rFonts w:eastAsia="Times New Roman"/>
                <w:noProof/>
              </w:rPr>
            </w:pPr>
            <w:r>
              <w:rPr>
                <w:noProof/>
              </w:rPr>
              <w:t>2023</w:t>
            </w:r>
          </w:p>
        </w:tc>
        <w:tc>
          <w:tcPr>
            <w:tcW w:w="2965" w:type="dxa"/>
            <w:tcBorders>
              <w:top w:val="nil"/>
              <w:left w:val="nil"/>
              <w:bottom w:val="single" w:sz="4" w:space="0" w:color="auto"/>
              <w:right w:val="single" w:sz="4" w:space="0" w:color="auto"/>
            </w:tcBorders>
            <w:shd w:val="clear" w:color="auto" w:fill="C6EFCE"/>
            <w:noWrap/>
          </w:tcPr>
          <w:p w14:paraId="62A2BEE4" w14:textId="77777777" w:rsidR="00A00259" w:rsidRDefault="00371282">
            <w:pPr>
              <w:pStyle w:val="P68B1DB1-Normal12"/>
              <w:spacing w:line="240" w:lineRule="auto"/>
              <w:rPr>
                <w:rFonts w:eastAsia="Times New Roman"/>
                <w:noProof/>
              </w:rPr>
            </w:pPr>
            <w:r>
              <w:rPr>
                <w:noProof/>
              </w:rPr>
              <w:t>Entrée en vigueur par le droit dérivé de la stratégie nationale modifiée en matière de marchés publics 2021-2025</w:t>
            </w:r>
          </w:p>
        </w:tc>
      </w:tr>
      <w:tr w:rsidR="00A00259" w14:paraId="1FE07E71" w14:textId="77777777">
        <w:trPr>
          <w:trHeight w:val="309"/>
          <w:jc w:val="center"/>
        </w:trPr>
        <w:tc>
          <w:tcPr>
            <w:tcW w:w="613" w:type="dxa"/>
            <w:tcBorders>
              <w:top w:val="nil"/>
              <w:left w:val="single" w:sz="4" w:space="0" w:color="auto"/>
              <w:bottom w:val="single" w:sz="4" w:space="0" w:color="auto"/>
              <w:right w:val="single" w:sz="4" w:space="0" w:color="auto"/>
            </w:tcBorders>
            <w:shd w:val="clear" w:color="auto" w:fill="C6EFCE"/>
            <w:noWrap/>
            <w:hideMark/>
          </w:tcPr>
          <w:p w14:paraId="5377EA68" w14:textId="77777777" w:rsidR="00A00259" w:rsidRDefault="00371282">
            <w:pPr>
              <w:pStyle w:val="P68B1DB1-Normal12"/>
              <w:spacing w:after="0" w:line="240" w:lineRule="auto"/>
              <w:rPr>
                <w:rFonts w:eastAsia="Times New Roman"/>
                <w:noProof/>
              </w:rPr>
            </w:pPr>
            <w:r>
              <w:rPr>
                <w:noProof/>
              </w:rPr>
              <w:t>216</w:t>
            </w:r>
          </w:p>
        </w:tc>
        <w:tc>
          <w:tcPr>
            <w:tcW w:w="2560" w:type="dxa"/>
            <w:tcBorders>
              <w:top w:val="nil"/>
              <w:left w:val="nil"/>
              <w:bottom w:val="single" w:sz="4" w:space="0" w:color="auto"/>
              <w:right w:val="single" w:sz="4" w:space="0" w:color="auto"/>
            </w:tcBorders>
            <w:shd w:val="clear" w:color="auto" w:fill="C6EFCE"/>
            <w:noWrap/>
            <w:hideMark/>
          </w:tcPr>
          <w:p w14:paraId="3A688926" w14:textId="77777777" w:rsidR="00A00259" w:rsidRDefault="00371282">
            <w:pPr>
              <w:pStyle w:val="P68B1DB1-Normal12"/>
              <w:spacing w:after="0" w:line="240" w:lineRule="auto"/>
              <w:rPr>
                <w:rFonts w:eastAsia="Times New Roman"/>
                <w:noProof/>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- 16711_Professionnalisation du domaine des marchés publics</w:t>
            </w:r>
          </w:p>
        </w:tc>
        <w:tc>
          <w:tcPr>
            <w:tcW w:w="1063" w:type="dxa"/>
            <w:tcBorders>
              <w:top w:val="nil"/>
              <w:left w:val="nil"/>
              <w:bottom w:val="single" w:sz="4" w:space="0" w:color="auto"/>
              <w:right w:val="single" w:sz="4" w:space="0" w:color="auto"/>
            </w:tcBorders>
            <w:shd w:val="clear" w:color="auto" w:fill="C6EFCE"/>
            <w:noWrap/>
            <w:hideMark/>
          </w:tcPr>
          <w:p w14:paraId="576249D3" w14:textId="77777777" w:rsidR="00A00259" w:rsidRDefault="00371282">
            <w:pPr>
              <w:pStyle w:val="P68B1DB1-Normal12"/>
              <w:spacing w:after="0" w:line="240" w:lineRule="auto"/>
              <w:rPr>
                <w:rFonts w:eastAsia="Times New Roman"/>
                <w:noProof/>
              </w:rPr>
            </w:pPr>
            <w:r>
              <w:rPr>
                <w:noProof/>
              </w:rPr>
              <w:t>Étape</w:t>
            </w:r>
          </w:p>
        </w:tc>
        <w:tc>
          <w:tcPr>
            <w:tcW w:w="2034" w:type="dxa"/>
            <w:tcBorders>
              <w:top w:val="nil"/>
              <w:left w:val="nil"/>
              <w:bottom w:val="single" w:sz="4" w:space="0" w:color="auto"/>
              <w:right w:val="single" w:sz="4" w:space="0" w:color="auto"/>
            </w:tcBorders>
            <w:shd w:val="clear" w:color="auto" w:fill="C6EFCE"/>
            <w:noWrap/>
            <w:hideMark/>
          </w:tcPr>
          <w:p w14:paraId="70B70761" w14:textId="77777777" w:rsidR="00A00259" w:rsidRDefault="00371282">
            <w:pPr>
              <w:pStyle w:val="P68B1DB1-Normal12"/>
              <w:spacing w:after="0" w:line="240" w:lineRule="auto"/>
              <w:rPr>
                <w:rFonts w:eastAsia="Times New Roman"/>
                <w:noProof/>
              </w:rPr>
            </w:pPr>
            <w:r>
              <w:rPr>
                <w:noProof/>
              </w:rPr>
              <w:t>Professionnalisation du domaine des marchés publics - nouvelle législation</w:t>
            </w:r>
          </w:p>
        </w:tc>
        <w:tc>
          <w:tcPr>
            <w:tcW w:w="1975" w:type="dxa"/>
            <w:tcBorders>
              <w:top w:val="nil"/>
              <w:left w:val="nil"/>
              <w:bottom w:val="single" w:sz="4" w:space="0" w:color="auto"/>
              <w:right w:val="single" w:sz="4" w:space="0" w:color="auto"/>
            </w:tcBorders>
            <w:shd w:val="clear" w:color="auto" w:fill="C6EFCE"/>
            <w:noWrap/>
            <w:hideMark/>
          </w:tcPr>
          <w:p w14:paraId="38A30B60" w14:textId="77777777" w:rsidR="00A00259" w:rsidRDefault="00371282">
            <w:pPr>
              <w:pStyle w:val="P68B1DB1-Normal12"/>
              <w:spacing w:after="0" w:line="240" w:lineRule="auto"/>
              <w:rPr>
                <w:rFonts w:eastAsia="Times New Roman"/>
                <w:noProof/>
              </w:rPr>
            </w:pPr>
            <w:r>
              <w:rPr>
                <w:noProof/>
              </w:rPr>
              <w:t>Une nouvelle législation est entrée en vigueur; étude approfondie achevée</w:t>
            </w:r>
          </w:p>
        </w:tc>
        <w:tc>
          <w:tcPr>
            <w:tcW w:w="1777" w:type="dxa"/>
            <w:tcBorders>
              <w:top w:val="nil"/>
              <w:left w:val="nil"/>
              <w:bottom w:val="single" w:sz="4" w:space="0" w:color="auto"/>
              <w:right w:val="single" w:sz="4" w:space="0" w:color="auto"/>
            </w:tcBorders>
            <w:shd w:val="clear" w:color="auto" w:fill="C6EFCE"/>
            <w:noWrap/>
            <w:hideMark/>
          </w:tcPr>
          <w:p w14:paraId="61F83485" w14:textId="77777777" w:rsidR="00A00259" w:rsidRDefault="00371282">
            <w:pPr>
              <w:pStyle w:val="P68B1DB1-Normal12"/>
              <w:spacing w:after="0" w:line="240" w:lineRule="auto"/>
              <w:rPr>
                <w:rFonts w:eastAsia="Times New Roman"/>
                <w:noProof/>
              </w:rPr>
            </w:pPr>
            <w:r>
              <w:rPr>
                <w:noProof/>
              </w:rPr>
              <w:t xml:space="preserve"> </w:t>
            </w:r>
          </w:p>
        </w:tc>
        <w:tc>
          <w:tcPr>
            <w:tcW w:w="1003" w:type="dxa"/>
            <w:tcBorders>
              <w:top w:val="nil"/>
              <w:left w:val="nil"/>
              <w:bottom w:val="single" w:sz="4" w:space="0" w:color="auto"/>
              <w:right w:val="single" w:sz="4" w:space="0" w:color="auto"/>
            </w:tcBorders>
            <w:shd w:val="clear" w:color="auto" w:fill="C6EFCE"/>
            <w:noWrap/>
            <w:hideMark/>
          </w:tcPr>
          <w:p w14:paraId="0A03B992" w14:textId="77777777" w:rsidR="00A00259" w:rsidRDefault="00371282">
            <w:pPr>
              <w:pStyle w:val="P68B1DB1-Normal12"/>
              <w:spacing w:after="0" w:line="240" w:lineRule="auto"/>
              <w:rPr>
                <w:rFonts w:eastAsia="Times New Roman"/>
                <w:noProof/>
              </w:rPr>
            </w:pPr>
            <w:r>
              <w:rPr>
                <w:noProof/>
              </w:rPr>
              <w:t xml:space="preserve"> </w:t>
            </w:r>
          </w:p>
        </w:tc>
        <w:tc>
          <w:tcPr>
            <w:tcW w:w="876" w:type="dxa"/>
            <w:tcBorders>
              <w:top w:val="nil"/>
              <w:left w:val="nil"/>
              <w:bottom w:val="single" w:sz="4" w:space="0" w:color="auto"/>
              <w:right w:val="single" w:sz="4" w:space="0" w:color="auto"/>
            </w:tcBorders>
            <w:shd w:val="clear" w:color="auto" w:fill="C6EFCE"/>
            <w:noWrap/>
            <w:hideMark/>
          </w:tcPr>
          <w:p w14:paraId="4BF2D50E" w14:textId="77777777" w:rsidR="00A00259" w:rsidRDefault="00371282">
            <w:pPr>
              <w:pStyle w:val="P68B1DB1-Normal12"/>
              <w:spacing w:after="0" w:line="240" w:lineRule="auto"/>
              <w:rPr>
                <w:rFonts w:eastAsia="Times New Roman"/>
                <w:noProof/>
              </w:rPr>
            </w:pPr>
            <w:r>
              <w:rPr>
                <w:noProof/>
              </w:rPr>
              <w:t xml:space="preserve"> </w:t>
            </w:r>
          </w:p>
        </w:tc>
        <w:tc>
          <w:tcPr>
            <w:tcW w:w="846" w:type="dxa"/>
            <w:tcBorders>
              <w:top w:val="nil"/>
              <w:left w:val="nil"/>
              <w:bottom w:val="single" w:sz="4" w:space="0" w:color="auto"/>
              <w:right w:val="single" w:sz="4" w:space="0" w:color="auto"/>
            </w:tcBorders>
            <w:shd w:val="clear" w:color="auto" w:fill="C6EFCE"/>
            <w:noWrap/>
            <w:hideMark/>
          </w:tcPr>
          <w:p w14:paraId="3DE44AB6" w14:textId="77777777" w:rsidR="00A00259" w:rsidRDefault="00371282">
            <w:pPr>
              <w:pStyle w:val="P68B1DB1-Normal12"/>
              <w:spacing w:after="0" w:line="240" w:lineRule="auto"/>
              <w:rPr>
                <w:rFonts w:eastAsia="Times New Roman"/>
                <w:noProof/>
              </w:rPr>
            </w:pPr>
            <w:r>
              <w:rPr>
                <w:noProof/>
              </w:rPr>
              <w:t>T2</w:t>
            </w:r>
          </w:p>
        </w:tc>
        <w:tc>
          <w:tcPr>
            <w:tcW w:w="673" w:type="dxa"/>
            <w:tcBorders>
              <w:top w:val="nil"/>
              <w:left w:val="nil"/>
              <w:bottom w:val="single" w:sz="4" w:space="0" w:color="auto"/>
              <w:right w:val="single" w:sz="4" w:space="0" w:color="auto"/>
            </w:tcBorders>
            <w:shd w:val="clear" w:color="auto" w:fill="C6EFCE"/>
            <w:noWrap/>
            <w:hideMark/>
          </w:tcPr>
          <w:p w14:paraId="7A12ECAC" w14:textId="77777777" w:rsidR="00A00259" w:rsidRDefault="00371282">
            <w:pPr>
              <w:pStyle w:val="P68B1DB1-Normal12"/>
              <w:spacing w:after="0" w:line="240" w:lineRule="auto"/>
              <w:rPr>
                <w:rFonts w:eastAsia="Times New Roman"/>
                <w:noProof/>
              </w:rPr>
            </w:pPr>
            <w:r>
              <w:rPr>
                <w:noProof/>
              </w:rPr>
              <w:t>2024</w:t>
            </w:r>
          </w:p>
        </w:tc>
        <w:tc>
          <w:tcPr>
            <w:tcW w:w="2965" w:type="dxa"/>
            <w:tcBorders>
              <w:top w:val="nil"/>
              <w:left w:val="nil"/>
              <w:bottom w:val="single" w:sz="4" w:space="0" w:color="auto"/>
              <w:right w:val="single" w:sz="4" w:space="0" w:color="auto"/>
            </w:tcBorders>
            <w:shd w:val="clear" w:color="auto" w:fill="C6EFCE"/>
            <w:noWrap/>
            <w:hideMark/>
          </w:tcPr>
          <w:p w14:paraId="430E8A68" w14:textId="77777777" w:rsidR="00A00259" w:rsidRDefault="00371282">
            <w:pPr>
              <w:pStyle w:val="P68B1DB1-Normal12"/>
              <w:spacing w:after="0" w:line="240" w:lineRule="auto"/>
              <w:rPr>
                <w:rFonts w:eastAsia="Times New Roman"/>
                <w:noProof/>
              </w:rPr>
            </w:pPr>
            <w:r>
              <w:rPr>
                <w:noProof/>
              </w:rPr>
              <w:t>i) Entrée en vigueur d’une nouvelle législation prévoyant des filières professionnelles pour le personnel chargé des marchés publics, des groupes de compétences spécifiques et l’adoption d’incitations financières et non financières en parfaite cohérence avec la grille salariale unifiée (loi 4354/2015), sans aucune exemption. L'adoption d'incitations financières et non financières peut retarder l'entrée en vigueur; ii) Achèvement de l’étude approfondie visant à réorganiser la structure et les responsabilités de la direction générale des marchés publics du ministère du développement, compétente pour mener à bien les procédures centralisées de passation de marchés au niveau national.</w:t>
            </w:r>
          </w:p>
        </w:tc>
      </w:tr>
      <w:tr w:rsidR="00A00259" w14:paraId="6CE07399" w14:textId="77777777">
        <w:trPr>
          <w:trHeight w:val="309"/>
          <w:jc w:val="center"/>
        </w:trPr>
        <w:tc>
          <w:tcPr>
            <w:tcW w:w="613" w:type="dxa"/>
            <w:tcBorders>
              <w:top w:val="nil"/>
              <w:left w:val="single" w:sz="4" w:space="0" w:color="auto"/>
              <w:bottom w:val="single" w:sz="4" w:space="0" w:color="auto"/>
              <w:right w:val="single" w:sz="4" w:space="0" w:color="auto"/>
            </w:tcBorders>
            <w:shd w:val="clear" w:color="auto" w:fill="C6EFCE"/>
            <w:noWrap/>
            <w:hideMark/>
          </w:tcPr>
          <w:p w14:paraId="025F738C" w14:textId="77777777" w:rsidR="00A00259" w:rsidRDefault="00371282">
            <w:pPr>
              <w:pStyle w:val="P68B1DB1-Normal12"/>
              <w:spacing w:after="0" w:line="240" w:lineRule="auto"/>
              <w:rPr>
                <w:rFonts w:eastAsia="Times New Roman"/>
                <w:noProof/>
              </w:rPr>
            </w:pPr>
            <w:r>
              <w:rPr>
                <w:noProof/>
              </w:rPr>
              <w:t>217</w:t>
            </w:r>
          </w:p>
        </w:tc>
        <w:tc>
          <w:tcPr>
            <w:tcW w:w="2560" w:type="dxa"/>
            <w:tcBorders>
              <w:top w:val="nil"/>
              <w:left w:val="nil"/>
              <w:bottom w:val="single" w:sz="4" w:space="0" w:color="auto"/>
              <w:right w:val="single" w:sz="4" w:space="0" w:color="auto"/>
            </w:tcBorders>
            <w:shd w:val="clear" w:color="auto" w:fill="C6EFCE"/>
            <w:noWrap/>
            <w:hideMark/>
          </w:tcPr>
          <w:p w14:paraId="22E061B5" w14:textId="77777777" w:rsidR="00A00259" w:rsidRDefault="00371282">
            <w:pPr>
              <w:pStyle w:val="P68B1DB1-Normal12"/>
              <w:spacing w:after="0" w:line="240" w:lineRule="auto"/>
              <w:rPr>
                <w:rFonts w:eastAsia="Times New Roman"/>
                <w:noProof/>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- 16940_Moderniser le Fonds hellénique de dépôt des envois et de prêts </w:t>
            </w:r>
          </w:p>
        </w:tc>
        <w:tc>
          <w:tcPr>
            <w:tcW w:w="1063" w:type="dxa"/>
            <w:tcBorders>
              <w:top w:val="nil"/>
              <w:left w:val="nil"/>
              <w:bottom w:val="single" w:sz="4" w:space="0" w:color="auto"/>
              <w:right w:val="single" w:sz="4" w:space="0" w:color="auto"/>
            </w:tcBorders>
            <w:shd w:val="clear" w:color="auto" w:fill="C6EFCE"/>
            <w:noWrap/>
            <w:hideMark/>
          </w:tcPr>
          <w:p w14:paraId="151117CD" w14:textId="77777777" w:rsidR="00A00259" w:rsidRDefault="00371282">
            <w:pPr>
              <w:pStyle w:val="P68B1DB1-Normal12"/>
              <w:spacing w:after="0" w:line="240" w:lineRule="auto"/>
              <w:rPr>
                <w:rFonts w:eastAsia="Times New Roman"/>
                <w:noProof/>
              </w:rPr>
            </w:pPr>
            <w:r>
              <w:rPr>
                <w:noProof/>
              </w:rPr>
              <w:t>Étape</w:t>
            </w:r>
          </w:p>
        </w:tc>
        <w:tc>
          <w:tcPr>
            <w:tcW w:w="2034" w:type="dxa"/>
            <w:tcBorders>
              <w:top w:val="nil"/>
              <w:left w:val="nil"/>
              <w:bottom w:val="single" w:sz="4" w:space="0" w:color="auto"/>
              <w:right w:val="single" w:sz="4" w:space="0" w:color="auto"/>
            </w:tcBorders>
            <w:shd w:val="clear" w:color="auto" w:fill="C6EFCE"/>
            <w:noWrap/>
            <w:hideMark/>
          </w:tcPr>
          <w:p w14:paraId="4BCAE30C" w14:textId="77777777" w:rsidR="00A00259" w:rsidRDefault="00371282">
            <w:pPr>
              <w:pStyle w:val="P68B1DB1-Normal12"/>
              <w:spacing w:after="0" w:line="240" w:lineRule="auto"/>
              <w:rPr>
                <w:rFonts w:eastAsia="Times New Roman"/>
                <w:noProof/>
              </w:rPr>
            </w:pPr>
            <w:r>
              <w:rPr>
                <w:noProof/>
              </w:rPr>
              <w:t>Création d'un système de numérisation des archives et de gestion des documents, et d'un système d'information intégré pour le Fonds hellénique de dépôt et de prêt d'envois</w:t>
            </w:r>
          </w:p>
        </w:tc>
        <w:tc>
          <w:tcPr>
            <w:tcW w:w="1975" w:type="dxa"/>
            <w:tcBorders>
              <w:top w:val="nil"/>
              <w:left w:val="nil"/>
              <w:bottom w:val="single" w:sz="4" w:space="0" w:color="auto"/>
              <w:right w:val="single" w:sz="4" w:space="0" w:color="auto"/>
            </w:tcBorders>
            <w:shd w:val="clear" w:color="auto" w:fill="C6EFCE"/>
            <w:noWrap/>
            <w:hideMark/>
          </w:tcPr>
          <w:p w14:paraId="41751974" w14:textId="77777777" w:rsidR="00A00259" w:rsidRDefault="00371282">
            <w:pPr>
              <w:pStyle w:val="P68B1DB1-Normal12"/>
              <w:spacing w:after="0" w:line="240" w:lineRule="auto"/>
              <w:rPr>
                <w:rFonts w:eastAsia="Times New Roman"/>
                <w:noProof/>
              </w:rPr>
            </w:pPr>
            <w:r>
              <w:rPr>
                <w:noProof/>
              </w:rPr>
              <w:t>Création d'un système de numérisation des archives et de gestion des documents, et d'un système d'information intégré pour le Fonds hellénique de dépôt et de prêt d'envois</w:t>
            </w:r>
          </w:p>
        </w:tc>
        <w:tc>
          <w:tcPr>
            <w:tcW w:w="1777" w:type="dxa"/>
            <w:tcBorders>
              <w:top w:val="nil"/>
              <w:left w:val="nil"/>
              <w:bottom w:val="single" w:sz="4" w:space="0" w:color="auto"/>
              <w:right w:val="single" w:sz="4" w:space="0" w:color="auto"/>
            </w:tcBorders>
            <w:shd w:val="clear" w:color="auto" w:fill="C6EFCE"/>
            <w:noWrap/>
            <w:hideMark/>
          </w:tcPr>
          <w:p w14:paraId="445E45A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03" w:type="dxa"/>
            <w:tcBorders>
              <w:top w:val="nil"/>
              <w:left w:val="nil"/>
              <w:bottom w:val="single" w:sz="4" w:space="0" w:color="auto"/>
              <w:right w:val="single" w:sz="4" w:space="0" w:color="auto"/>
            </w:tcBorders>
            <w:shd w:val="clear" w:color="auto" w:fill="C6EFCE"/>
            <w:noWrap/>
            <w:hideMark/>
          </w:tcPr>
          <w:p w14:paraId="6FA37262" w14:textId="77777777" w:rsidR="00A00259" w:rsidRDefault="00371282">
            <w:pPr>
              <w:pStyle w:val="P68B1DB1-Normal12"/>
              <w:spacing w:after="0" w:line="240" w:lineRule="auto"/>
              <w:rPr>
                <w:rFonts w:eastAsia="Times New Roman"/>
                <w:noProof/>
              </w:rPr>
            </w:pPr>
            <w:r>
              <w:rPr>
                <w:noProof/>
              </w:rPr>
              <w:t xml:space="preserve"> </w:t>
            </w:r>
          </w:p>
        </w:tc>
        <w:tc>
          <w:tcPr>
            <w:tcW w:w="876" w:type="dxa"/>
            <w:tcBorders>
              <w:top w:val="nil"/>
              <w:left w:val="nil"/>
              <w:bottom w:val="single" w:sz="4" w:space="0" w:color="auto"/>
              <w:right w:val="single" w:sz="4" w:space="0" w:color="auto"/>
            </w:tcBorders>
            <w:shd w:val="clear" w:color="auto" w:fill="C6EFCE"/>
            <w:noWrap/>
            <w:hideMark/>
          </w:tcPr>
          <w:p w14:paraId="6C67FB7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nil"/>
              <w:left w:val="nil"/>
              <w:bottom w:val="single" w:sz="4" w:space="0" w:color="auto"/>
              <w:right w:val="single" w:sz="4" w:space="0" w:color="auto"/>
            </w:tcBorders>
            <w:shd w:val="clear" w:color="auto" w:fill="C6EFCE"/>
            <w:noWrap/>
            <w:hideMark/>
          </w:tcPr>
          <w:p w14:paraId="6C269A08" w14:textId="77777777" w:rsidR="00A00259" w:rsidRDefault="00371282">
            <w:pPr>
              <w:pStyle w:val="P68B1DB1-Normal12"/>
              <w:spacing w:after="0" w:line="240" w:lineRule="auto"/>
              <w:rPr>
                <w:rFonts w:eastAsia="Times New Roman"/>
                <w:noProof/>
              </w:rPr>
            </w:pPr>
            <w:r>
              <w:rPr>
                <w:noProof/>
              </w:rPr>
              <w:t>T2</w:t>
            </w:r>
          </w:p>
        </w:tc>
        <w:tc>
          <w:tcPr>
            <w:tcW w:w="673" w:type="dxa"/>
            <w:tcBorders>
              <w:top w:val="nil"/>
              <w:left w:val="nil"/>
              <w:bottom w:val="single" w:sz="4" w:space="0" w:color="auto"/>
              <w:right w:val="single" w:sz="4" w:space="0" w:color="auto"/>
            </w:tcBorders>
            <w:shd w:val="clear" w:color="auto" w:fill="C6EFCE"/>
            <w:noWrap/>
            <w:hideMark/>
          </w:tcPr>
          <w:p w14:paraId="1FF01FB7" w14:textId="77777777" w:rsidR="00A00259" w:rsidRDefault="00371282">
            <w:pPr>
              <w:pStyle w:val="P68B1DB1-Normal12"/>
              <w:spacing w:after="0" w:line="240" w:lineRule="auto"/>
              <w:rPr>
                <w:rFonts w:eastAsia="Times New Roman"/>
                <w:noProof/>
              </w:rPr>
            </w:pPr>
            <w:r>
              <w:rPr>
                <w:noProof/>
              </w:rPr>
              <w:t>2025</w:t>
            </w:r>
          </w:p>
        </w:tc>
        <w:tc>
          <w:tcPr>
            <w:tcW w:w="2965" w:type="dxa"/>
            <w:tcBorders>
              <w:top w:val="nil"/>
              <w:left w:val="nil"/>
              <w:bottom w:val="single" w:sz="4" w:space="0" w:color="auto"/>
              <w:right w:val="single" w:sz="4" w:space="0" w:color="auto"/>
            </w:tcBorders>
            <w:shd w:val="clear" w:color="auto" w:fill="C6EFCE"/>
            <w:noWrap/>
            <w:hideMark/>
          </w:tcPr>
          <w:p w14:paraId="59FD7E3B" w14:textId="77777777" w:rsidR="00A00259" w:rsidRDefault="00371282">
            <w:pPr>
              <w:pStyle w:val="P68B1DB1-Normal12"/>
              <w:spacing w:after="0" w:line="240" w:lineRule="auto"/>
              <w:rPr>
                <w:rFonts w:eastAsia="Times New Roman"/>
                <w:noProof/>
              </w:rPr>
            </w:pPr>
            <w:r>
              <w:rPr>
                <w:noProof/>
              </w:rPr>
              <w:t>Création des systèmes suivants pour le Hellenic Consignment Deposit and Loans Fund: i) la numérisation des archives et le système de gestion des documents; ii) système d'information intégré.</w:t>
            </w:r>
          </w:p>
        </w:tc>
      </w:tr>
      <w:tr w:rsidR="00A00259" w14:paraId="2CDC1FB8" w14:textId="77777777">
        <w:trPr>
          <w:trHeight w:val="3240"/>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79BFB06F" w14:textId="77777777" w:rsidR="00A00259" w:rsidRDefault="00371282">
            <w:pPr>
              <w:pStyle w:val="P68B1DB1-Normal12"/>
              <w:spacing w:after="0" w:line="240" w:lineRule="auto"/>
              <w:rPr>
                <w:rFonts w:eastAsia="Times New Roman"/>
                <w:noProof/>
              </w:rPr>
            </w:pPr>
            <w:r>
              <w:rPr>
                <w:noProof/>
              </w:rPr>
              <w:t>219</w:t>
            </w:r>
          </w:p>
        </w:tc>
        <w:tc>
          <w:tcPr>
            <w:tcW w:w="2560" w:type="dxa"/>
            <w:tcBorders>
              <w:top w:val="single" w:sz="4" w:space="0" w:color="auto"/>
              <w:left w:val="nil"/>
              <w:bottom w:val="single" w:sz="4" w:space="0" w:color="auto"/>
              <w:right w:val="single" w:sz="4" w:space="0" w:color="auto"/>
            </w:tcBorders>
            <w:shd w:val="clear" w:color="auto" w:fill="C6EFCE"/>
            <w:noWrap/>
          </w:tcPr>
          <w:p w14:paraId="49E09C44" w14:textId="77777777" w:rsidR="00A00259" w:rsidRDefault="00371282">
            <w:pPr>
              <w:pStyle w:val="P68B1DB1-Normal12"/>
              <w:spacing w:after="0" w:line="240" w:lineRule="auto"/>
              <w:rPr>
                <w:rFonts w:eastAsia="Times New Roman"/>
                <w:noProof/>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- 16974_Accounting Reform</w:t>
            </w:r>
          </w:p>
        </w:tc>
        <w:tc>
          <w:tcPr>
            <w:tcW w:w="1063" w:type="dxa"/>
            <w:tcBorders>
              <w:top w:val="single" w:sz="4" w:space="0" w:color="auto"/>
              <w:left w:val="nil"/>
              <w:bottom w:val="single" w:sz="4" w:space="0" w:color="auto"/>
              <w:right w:val="single" w:sz="4" w:space="0" w:color="auto"/>
            </w:tcBorders>
            <w:shd w:val="clear" w:color="auto" w:fill="C6EFCE"/>
            <w:noWrap/>
          </w:tcPr>
          <w:p w14:paraId="48D7C5FA" w14:textId="77777777" w:rsidR="00A00259" w:rsidRDefault="00371282">
            <w:pPr>
              <w:pStyle w:val="P68B1DB1-Normal12"/>
              <w:spacing w:after="0" w:line="240" w:lineRule="auto"/>
              <w:rPr>
                <w:rFonts w:eastAsia="Times New Roman"/>
                <w:noProof/>
              </w:rPr>
            </w:pPr>
            <w:r>
              <w:rPr>
                <w:noProof/>
              </w:rPr>
              <w:t>Étape</w:t>
            </w:r>
          </w:p>
        </w:tc>
        <w:tc>
          <w:tcPr>
            <w:tcW w:w="2034" w:type="dxa"/>
            <w:tcBorders>
              <w:top w:val="single" w:sz="4" w:space="0" w:color="auto"/>
              <w:left w:val="nil"/>
              <w:bottom w:val="single" w:sz="4" w:space="0" w:color="auto"/>
              <w:right w:val="single" w:sz="4" w:space="0" w:color="auto"/>
            </w:tcBorders>
            <w:shd w:val="clear" w:color="auto" w:fill="C6EFCE"/>
            <w:noWrap/>
          </w:tcPr>
          <w:p w14:paraId="18D2E988" w14:textId="77777777" w:rsidR="00A00259" w:rsidRDefault="00371282">
            <w:pPr>
              <w:pStyle w:val="P68B1DB1-Normal12"/>
              <w:spacing w:after="0" w:line="240" w:lineRule="auto"/>
              <w:rPr>
                <w:rFonts w:eastAsia="Times New Roman"/>
                <w:noProof/>
              </w:rPr>
            </w:pPr>
            <w:r>
              <w:rPr>
                <w:noProof/>
              </w:rPr>
              <w:t>Réforme comptable: États financiers consolidés des administrations publiques</w:t>
            </w:r>
          </w:p>
        </w:tc>
        <w:tc>
          <w:tcPr>
            <w:tcW w:w="1975" w:type="dxa"/>
            <w:tcBorders>
              <w:top w:val="single" w:sz="4" w:space="0" w:color="auto"/>
              <w:left w:val="nil"/>
              <w:bottom w:val="single" w:sz="4" w:space="0" w:color="auto"/>
              <w:right w:val="single" w:sz="4" w:space="0" w:color="auto"/>
            </w:tcBorders>
            <w:shd w:val="clear" w:color="auto" w:fill="C6EFCE"/>
            <w:noWrap/>
          </w:tcPr>
          <w:p w14:paraId="6E55B47C" w14:textId="77777777" w:rsidR="00A00259" w:rsidRDefault="00371282">
            <w:pPr>
              <w:pStyle w:val="P68B1DB1-Normal12"/>
              <w:spacing w:after="0" w:line="240" w:lineRule="auto"/>
              <w:rPr>
                <w:rFonts w:eastAsia="Times New Roman"/>
                <w:noProof/>
              </w:rPr>
            </w:pPr>
            <w:r>
              <w:rPr>
                <w:noProof/>
              </w:rPr>
              <w:t>Publication des méthodes de comptabilité d'exercice et établissement des états financiers consolidés des administrations publiques.</w:t>
            </w:r>
          </w:p>
        </w:tc>
        <w:tc>
          <w:tcPr>
            <w:tcW w:w="1777" w:type="dxa"/>
            <w:tcBorders>
              <w:top w:val="single" w:sz="4" w:space="0" w:color="auto"/>
              <w:left w:val="nil"/>
              <w:bottom w:val="single" w:sz="4" w:space="0" w:color="auto"/>
              <w:right w:val="single" w:sz="4" w:space="0" w:color="auto"/>
            </w:tcBorders>
            <w:shd w:val="clear" w:color="auto" w:fill="C6EFCE"/>
            <w:noWrap/>
          </w:tcPr>
          <w:p w14:paraId="68F9EE1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03" w:type="dxa"/>
            <w:tcBorders>
              <w:top w:val="single" w:sz="4" w:space="0" w:color="auto"/>
              <w:left w:val="nil"/>
              <w:bottom w:val="single" w:sz="4" w:space="0" w:color="auto"/>
              <w:right w:val="single" w:sz="4" w:space="0" w:color="auto"/>
            </w:tcBorders>
            <w:shd w:val="clear" w:color="auto" w:fill="C6EFCE"/>
            <w:noWrap/>
          </w:tcPr>
          <w:p w14:paraId="572F915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76" w:type="dxa"/>
            <w:tcBorders>
              <w:top w:val="single" w:sz="4" w:space="0" w:color="auto"/>
              <w:left w:val="nil"/>
              <w:bottom w:val="single" w:sz="4" w:space="0" w:color="auto"/>
              <w:right w:val="single" w:sz="4" w:space="0" w:color="auto"/>
            </w:tcBorders>
            <w:shd w:val="clear" w:color="auto" w:fill="C6EFCE"/>
            <w:noWrap/>
          </w:tcPr>
          <w:p w14:paraId="56E79E2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0EAB3F6C" w14:textId="77777777" w:rsidR="00A00259" w:rsidRDefault="00371282">
            <w:pPr>
              <w:pStyle w:val="P68B1DB1-Normal12"/>
              <w:spacing w:after="0" w:line="240" w:lineRule="auto"/>
              <w:rPr>
                <w:rFonts w:eastAsia="Times New Roman"/>
                <w:noProof/>
              </w:rPr>
            </w:pPr>
            <w:r>
              <w:rPr>
                <w:noProof/>
              </w:rPr>
              <w:t>T4</w:t>
            </w:r>
          </w:p>
        </w:tc>
        <w:tc>
          <w:tcPr>
            <w:tcW w:w="673" w:type="dxa"/>
            <w:tcBorders>
              <w:top w:val="single" w:sz="4" w:space="0" w:color="auto"/>
              <w:left w:val="nil"/>
              <w:bottom w:val="single" w:sz="4" w:space="0" w:color="auto"/>
              <w:right w:val="single" w:sz="4" w:space="0" w:color="auto"/>
            </w:tcBorders>
            <w:shd w:val="clear" w:color="auto" w:fill="C6EFCE"/>
            <w:noWrap/>
          </w:tcPr>
          <w:p w14:paraId="5AACD25F" w14:textId="77777777" w:rsidR="00A00259" w:rsidRDefault="00371282">
            <w:pPr>
              <w:pStyle w:val="P68B1DB1-Normal12"/>
              <w:spacing w:after="0" w:line="240" w:lineRule="auto"/>
              <w:rPr>
                <w:rFonts w:eastAsia="Times New Roman"/>
                <w:noProof/>
              </w:rPr>
            </w:pPr>
            <w:r>
              <w:rPr>
                <w:noProof/>
              </w:rPr>
              <w:t>2025</w:t>
            </w:r>
          </w:p>
        </w:tc>
        <w:tc>
          <w:tcPr>
            <w:tcW w:w="2965" w:type="dxa"/>
            <w:tcBorders>
              <w:top w:val="single" w:sz="4" w:space="0" w:color="auto"/>
              <w:left w:val="nil"/>
              <w:bottom w:val="single" w:sz="4" w:space="0" w:color="auto"/>
              <w:right w:val="single" w:sz="4" w:space="0" w:color="auto"/>
            </w:tcBorders>
            <w:shd w:val="clear" w:color="auto" w:fill="C6EFCE"/>
            <w:noWrap/>
          </w:tcPr>
          <w:p w14:paraId="330F72EF" w14:textId="7424D8F7" w:rsidR="00A00259" w:rsidRDefault="00371282">
            <w:pPr>
              <w:pStyle w:val="P68B1DB1-ListParagraph34"/>
              <w:numPr>
                <w:ilvl w:val="0"/>
                <w:numId w:val="62"/>
              </w:numPr>
              <w:spacing w:after="0" w:line="240" w:lineRule="auto"/>
              <w:ind w:left="406" w:hanging="270"/>
              <w:rPr>
                <w:rFonts w:eastAsia="Times New Roman"/>
                <w:noProof/>
              </w:rPr>
            </w:pPr>
            <w:r>
              <w:rPr>
                <w:noProof/>
              </w:rPr>
              <w:t>Publication d’un ou de plusieurs actes juridiques au Journal officiel sur les méthodes de comptabilité d’exercice pour les administrations publiques, sur la base des normes comptables internationales pour le secteur public</w:t>
            </w:r>
          </w:p>
          <w:p w14:paraId="72B90E4B" w14:textId="77777777" w:rsidR="00A00259" w:rsidRDefault="00371282">
            <w:pPr>
              <w:pStyle w:val="P68B1DB1-ListParagraph42"/>
              <w:numPr>
                <w:ilvl w:val="0"/>
                <w:numId w:val="62"/>
              </w:numPr>
              <w:spacing w:after="0" w:line="240" w:lineRule="auto"/>
              <w:ind w:left="406" w:hanging="270"/>
              <w:rPr>
                <w:rFonts w:eastAsia="Times New Roman"/>
                <w:noProof/>
                <w:color w:val="006100"/>
              </w:rPr>
            </w:pPr>
            <w:r>
              <w:rPr>
                <w:noProof/>
                <w:color w:val="006100"/>
              </w:rPr>
              <w:t>Publication, sur le site web officiel du ministère de l’économie et des finances, de la liste de toutes les entités couvertes par la procédure de consolidation des états financiers 2025 (période de référence 2023).</w:t>
            </w:r>
          </w:p>
          <w:p w14:paraId="40663A6C" w14:textId="77777777" w:rsidR="00A00259" w:rsidRDefault="00371282">
            <w:pPr>
              <w:pStyle w:val="P68B1DB1-ListParagraph34"/>
              <w:numPr>
                <w:ilvl w:val="0"/>
                <w:numId w:val="62"/>
              </w:numPr>
              <w:spacing w:after="0" w:line="240" w:lineRule="auto"/>
              <w:ind w:left="406" w:hanging="270"/>
              <w:rPr>
                <w:rFonts w:eastAsia="Times New Roman"/>
                <w:noProof/>
              </w:rPr>
            </w:pPr>
            <w:r>
              <w:rPr>
                <w:noProof/>
              </w:rPr>
              <w:t>Présentation à la Commission européenne des états financiers consolidés produits, y compris la méthodologie et les paramètres utilisés.</w:t>
            </w:r>
          </w:p>
        </w:tc>
      </w:tr>
      <w:tr w:rsidR="00A00259" w14:paraId="79B17592"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13B9B18F" w14:textId="77777777" w:rsidR="00A00259" w:rsidRDefault="00371282">
            <w:pPr>
              <w:pStyle w:val="P68B1DB1-Normal12"/>
              <w:spacing w:after="0" w:line="240" w:lineRule="auto"/>
              <w:rPr>
                <w:rFonts w:eastAsia="Times New Roman"/>
                <w:noProof/>
              </w:rPr>
            </w:pPr>
            <w:r>
              <w:rPr>
                <w:noProof/>
              </w:rPr>
              <w:t>220</w:t>
            </w:r>
          </w:p>
        </w:tc>
        <w:tc>
          <w:tcPr>
            <w:tcW w:w="2560" w:type="dxa"/>
            <w:tcBorders>
              <w:top w:val="single" w:sz="4" w:space="0" w:color="auto"/>
              <w:left w:val="nil"/>
              <w:bottom w:val="single" w:sz="4" w:space="0" w:color="auto"/>
              <w:right w:val="single" w:sz="4" w:space="0" w:color="auto"/>
            </w:tcBorders>
            <w:shd w:val="clear" w:color="auto" w:fill="C6EFCE"/>
            <w:noWrap/>
          </w:tcPr>
          <w:p w14:paraId="55DD7B03" w14:textId="77777777" w:rsidR="00A00259" w:rsidRDefault="00371282">
            <w:pPr>
              <w:pStyle w:val="P68B1DB1-Normal12"/>
              <w:spacing w:after="0" w:line="240" w:lineRule="auto"/>
              <w:rPr>
                <w:rFonts w:eastAsia="Times New Roman"/>
                <w:noProof/>
              </w:rPr>
            </w:pPr>
            <w:r>
              <w:rPr>
                <w:noProof/>
              </w:rPr>
              <w:t>13 - 4.2. Moderniser l'administration publique, notamment en accélérant la mise en œuvre des investissements publics, en améliorant le cadre des marchés publics, les mesures de renforcement des capacités et en luttant contre la corruption - 16705_Transformation numérique de la gestion et du contrôle budgétaires dans le domaine de la gouvernance &amp; Facturation électronique</w:t>
            </w:r>
          </w:p>
        </w:tc>
        <w:tc>
          <w:tcPr>
            <w:tcW w:w="1063" w:type="dxa"/>
            <w:tcBorders>
              <w:top w:val="single" w:sz="4" w:space="0" w:color="auto"/>
              <w:left w:val="nil"/>
              <w:bottom w:val="single" w:sz="4" w:space="0" w:color="auto"/>
              <w:right w:val="single" w:sz="4" w:space="0" w:color="auto"/>
            </w:tcBorders>
            <w:shd w:val="clear" w:color="auto" w:fill="C6EFCE"/>
            <w:noWrap/>
          </w:tcPr>
          <w:p w14:paraId="2CC5078B" w14:textId="77777777" w:rsidR="00A00259" w:rsidRDefault="00371282">
            <w:pPr>
              <w:pStyle w:val="P68B1DB1-Normal12"/>
              <w:spacing w:after="0" w:line="240" w:lineRule="auto"/>
              <w:rPr>
                <w:rFonts w:eastAsia="Times New Roman"/>
                <w:noProof/>
              </w:rPr>
            </w:pPr>
            <w:r>
              <w:rPr>
                <w:noProof/>
              </w:rPr>
              <w:t>Étape</w:t>
            </w:r>
          </w:p>
        </w:tc>
        <w:tc>
          <w:tcPr>
            <w:tcW w:w="2034" w:type="dxa"/>
            <w:tcBorders>
              <w:top w:val="single" w:sz="4" w:space="0" w:color="auto"/>
              <w:left w:val="nil"/>
              <w:bottom w:val="single" w:sz="4" w:space="0" w:color="auto"/>
              <w:right w:val="single" w:sz="4" w:space="0" w:color="auto"/>
            </w:tcBorders>
            <w:shd w:val="clear" w:color="auto" w:fill="C6EFCE"/>
            <w:noWrap/>
          </w:tcPr>
          <w:p w14:paraId="1DBF3717" w14:textId="77777777" w:rsidR="00A00259" w:rsidRDefault="00371282">
            <w:pPr>
              <w:pStyle w:val="P68B1DB1-Normal12"/>
              <w:spacing w:after="0" w:line="240" w:lineRule="auto"/>
              <w:rPr>
                <w:rFonts w:eastAsia="Times New Roman"/>
                <w:noProof/>
              </w:rPr>
            </w:pPr>
            <w:r>
              <w:rPr>
                <w:noProof/>
              </w:rPr>
              <w:t>Planification des ressources de l'entreprise gouvernementale (GovERP)</w:t>
            </w:r>
          </w:p>
        </w:tc>
        <w:tc>
          <w:tcPr>
            <w:tcW w:w="1975" w:type="dxa"/>
            <w:tcBorders>
              <w:top w:val="single" w:sz="4" w:space="0" w:color="auto"/>
              <w:left w:val="nil"/>
              <w:bottom w:val="single" w:sz="4" w:space="0" w:color="auto"/>
              <w:right w:val="single" w:sz="4" w:space="0" w:color="auto"/>
            </w:tcBorders>
            <w:shd w:val="clear" w:color="auto" w:fill="C6EFCE"/>
            <w:noWrap/>
          </w:tcPr>
          <w:p w14:paraId="4BB12DCB" w14:textId="77777777" w:rsidR="00A00259" w:rsidRDefault="00371282">
            <w:pPr>
              <w:pStyle w:val="P68B1DB1-Normal12"/>
              <w:spacing w:after="0" w:line="240" w:lineRule="auto"/>
              <w:rPr>
                <w:rFonts w:eastAsia="Times New Roman"/>
                <w:noProof/>
              </w:rPr>
            </w:pPr>
            <w:r>
              <w:rPr>
                <w:noProof/>
              </w:rPr>
              <w:t>Mise en œuvre de la planification des ressources de l’entreprise publique (GovERP) pour soutenir la préparation du budget.</w:t>
            </w:r>
          </w:p>
        </w:tc>
        <w:tc>
          <w:tcPr>
            <w:tcW w:w="1777" w:type="dxa"/>
            <w:tcBorders>
              <w:top w:val="single" w:sz="4" w:space="0" w:color="auto"/>
              <w:left w:val="nil"/>
              <w:bottom w:val="single" w:sz="4" w:space="0" w:color="auto"/>
              <w:right w:val="single" w:sz="4" w:space="0" w:color="auto"/>
            </w:tcBorders>
            <w:shd w:val="clear" w:color="auto" w:fill="C6EFCE"/>
            <w:noWrap/>
          </w:tcPr>
          <w:p w14:paraId="6736A6A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03" w:type="dxa"/>
            <w:tcBorders>
              <w:top w:val="single" w:sz="4" w:space="0" w:color="auto"/>
              <w:left w:val="nil"/>
              <w:bottom w:val="single" w:sz="4" w:space="0" w:color="auto"/>
              <w:right w:val="single" w:sz="4" w:space="0" w:color="auto"/>
            </w:tcBorders>
            <w:shd w:val="clear" w:color="auto" w:fill="C6EFCE"/>
            <w:noWrap/>
          </w:tcPr>
          <w:p w14:paraId="36A5243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76" w:type="dxa"/>
            <w:tcBorders>
              <w:top w:val="single" w:sz="4" w:space="0" w:color="auto"/>
              <w:left w:val="nil"/>
              <w:bottom w:val="single" w:sz="4" w:space="0" w:color="auto"/>
              <w:right w:val="single" w:sz="4" w:space="0" w:color="auto"/>
            </w:tcBorders>
            <w:shd w:val="clear" w:color="auto" w:fill="C6EFCE"/>
            <w:noWrap/>
          </w:tcPr>
          <w:p w14:paraId="786A7AD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27F75A6E" w14:textId="77777777" w:rsidR="00A00259" w:rsidRDefault="00371282">
            <w:pPr>
              <w:pStyle w:val="P68B1DB1-Normal12"/>
              <w:spacing w:after="0" w:line="240" w:lineRule="auto"/>
              <w:rPr>
                <w:rFonts w:eastAsia="Times New Roman"/>
                <w:noProof/>
              </w:rPr>
            </w:pPr>
            <w:r>
              <w:rPr>
                <w:noProof/>
              </w:rPr>
              <w:t>T4</w:t>
            </w:r>
          </w:p>
        </w:tc>
        <w:tc>
          <w:tcPr>
            <w:tcW w:w="673" w:type="dxa"/>
            <w:tcBorders>
              <w:top w:val="single" w:sz="4" w:space="0" w:color="auto"/>
              <w:left w:val="nil"/>
              <w:bottom w:val="single" w:sz="4" w:space="0" w:color="auto"/>
              <w:right w:val="single" w:sz="4" w:space="0" w:color="auto"/>
            </w:tcBorders>
            <w:shd w:val="clear" w:color="auto" w:fill="C6EFCE"/>
            <w:noWrap/>
          </w:tcPr>
          <w:p w14:paraId="5754FD02" w14:textId="77777777" w:rsidR="00A00259" w:rsidRDefault="00371282">
            <w:pPr>
              <w:pStyle w:val="P68B1DB1-Normal12"/>
              <w:spacing w:after="0" w:line="240" w:lineRule="auto"/>
              <w:rPr>
                <w:rFonts w:eastAsia="Times New Roman"/>
                <w:noProof/>
              </w:rPr>
            </w:pPr>
            <w:r>
              <w:rPr>
                <w:noProof/>
              </w:rPr>
              <w:t>2025</w:t>
            </w:r>
          </w:p>
        </w:tc>
        <w:tc>
          <w:tcPr>
            <w:tcW w:w="2965" w:type="dxa"/>
            <w:tcBorders>
              <w:top w:val="single" w:sz="4" w:space="0" w:color="auto"/>
              <w:left w:val="nil"/>
              <w:bottom w:val="single" w:sz="4" w:space="0" w:color="auto"/>
              <w:right w:val="single" w:sz="4" w:space="0" w:color="auto"/>
            </w:tcBorders>
            <w:shd w:val="clear" w:color="auto" w:fill="C6EFCE"/>
            <w:noWrap/>
          </w:tcPr>
          <w:p w14:paraId="727B27C4" w14:textId="5BD3635F" w:rsidR="00A00259" w:rsidRDefault="00371282">
            <w:pPr>
              <w:pStyle w:val="P68B1DB1-ListParagraph34"/>
              <w:ind w:left="144"/>
              <w:rPr>
                <w:rFonts w:eastAsia="Times New Roman"/>
                <w:noProof/>
              </w:rPr>
            </w:pPr>
            <w:r>
              <w:rPr>
                <w:noProof/>
              </w:rPr>
              <w:t xml:space="preserve">Réaliser la transformation numérique du cadre de gestion et de supervision financières en développant la planification des ressources de l’entreprise publique (GovERP) et en l’utilisant pour soutenir la préparation du budget. L’application du plan govERP à l’exécution du budget ne fait pas partie de la mesure de la FRR. </w:t>
            </w:r>
          </w:p>
        </w:tc>
      </w:tr>
      <w:tr w:rsidR="00A00259" w14:paraId="20089825"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27F86D7B" w14:textId="77777777" w:rsidR="00A00259" w:rsidRDefault="00371282">
            <w:pPr>
              <w:pStyle w:val="P68B1DB1-Normal12"/>
              <w:spacing w:after="0" w:line="240" w:lineRule="auto"/>
              <w:rPr>
                <w:rFonts w:eastAsia="Times New Roman"/>
                <w:noProof/>
              </w:rPr>
            </w:pPr>
            <w:r>
              <w:rPr>
                <w:noProof/>
              </w:rPr>
              <w:t>221</w:t>
            </w:r>
          </w:p>
        </w:tc>
        <w:tc>
          <w:tcPr>
            <w:tcW w:w="2560" w:type="dxa"/>
            <w:tcBorders>
              <w:top w:val="single" w:sz="4" w:space="0" w:color="auto"/>
              <w:left w:val="nil"/>
              <w:bottom w:val="single" w:sz="4" w:space="0" w:color="auto"/>
              <w:right w:val="single" w:sz="4" w:space="0" w:color="auto"/>
            </w:tcBorders>
            <w:shd w:val="clear" w:color="auto" w:fill="C6EFCE"/>
            <w:noWrap/>
          </w:tcPr>
          <w:p w14:paraId="008CE2E0" w14:textId="77777777" w:rsidR="00A00259" w:rsidRDefault="00371282">
            <w:pPr>
              <w:pStyle w:val="P68B1DB1-Normal12"/>
              <w:spacing w:after="0" w:line="240" w:lineRule="auto"/>
              <w:rPr>
                <w:rFonts w:eastAsia="Times New Roman"/>
                <w:noProof/>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- 16711_Professionnalisation du domaine des marchés publics</w:t>
            </w:r>
          </w:p>
        </w:tc>
        <w:tc>
          <w:tcPr>
            <w:tcW w:w="1063" w:type="dxa"/>
            <w:tcBorders>
              <w:top w:val="single" w:sz="4" w:space="0" w:color="auto"/>
              <w:left w:val="nil"/>
              <w:bottom w:val="single" w:sz="4" w:space="0" w:color="auto"/>
              <w:right w:val="single" w:sz="4" w:space="0" w:color="auto"/>
            </w:tcBorders>
            <w:shd w:val="clear" w:color="auto" w:fill="C6EFCE"/>
            <w:noWrap/>
          </w:tcPr>
          <w:p w14:paraId="37E86106" w14:textId="77777777" w:rsidR="00A00259" w:rsidRDefault="00371282">
            <w:pPr>
              <w:pStyle w:val="P68B1DB1-Normal12"/>
              <w:spacing w:after="0" w:line="240" w:lineRule="auto"/>
              <w:rPr>
                <w:rFonts w:eastAsia="Times New Roman"/>
                <w:noProof/>
              </w:rPr>
            </w:pPr>
            <w:r>
              <w:rPr>
                <w:noProof/>
              </w:rPr>
              <w:t>Objectif</w:t>
            </w:r>
          </w:p>
        </w:tc>
        <w:tc>
          <w:tcPr>
            <w:tcW w:w="2034" w:type="dxa"/>
            <w:tcBorders>
              <w:top w:val="single" w:sz="4" w:space="0" w:color="auto"/>
              <w:left w:val="nil"/>
              <w:bottom w:val="single" w:sz="4" w:space="0" w:color="auto"/>
              <w:right w:val="single" w:sz="4" w:space="0" w:color="auto"/>
            </w:tcBorders>
            <w:shd w:val="clear" w:color="auto" w:fill="C6EFCE"/>
            <w:noWrap/>
          </w:tcPr>
          <w:p w14:paraId="68DEFF1E" w14:textId="333CADB1" w:rsidR="00A00259" w:rsidRDefault="00371282">
            <w:pPr>
              <w:pStyle w:val="P68B1DB1-Normal12"/>
              <w:spacing w:after="0" w:line="240" w:lineRule="auto"/>
              <w:rPr>
                <w:rFonts w:eastAsia="Times New Roman"/>
                <w:noProof/>
              </w:rPr>
            </w:pPr>
            <w:r>
              <w:rPr>
                <w:noProof/>
              </w:rPr>
              <w:t>Achèvement du programme de formation intitulé: «Certification des professionnels des marchés publics»</w:t>
            </w:r>
          </w:p>
        </w:tc>
        <w:tc>
          <w:tcPr>
            <w:tcW w:w="1975" w:type="dxa"/>
            <w:tcBorders>
              <w:top w:val="single" w:sz="4" w:space="0" w:color="auto"/>
              <w:left w:val="nil"/>
              <w:bottom w:val="single" w:sz="4" w:space="0" w:color="auto"/>
              <w:right w:val="single" w:sz="4" w:space="0" w:color="auto"/>
            </w:tcBorders>
            <w:shd w:val="clear" w:color="auto" w:fill="C6EFCE"/>
            <w:noWrap/>
          </w:tcPr>
          <w:p w14:paraId="4DEE025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777" w:type="dxa"/>
            <w:tcBorders>
              <w:top w:val="single" w:sz="4" w:space="0" w:color="auto"/>
              <w:left w:val="nil"/>
              <w:bottom w:val="single" w:sz="4" w:space="0" w:color="auto"/>
              <w:right w:val="single" w:sz="4" w:space="0" w:color="auto"/>
            </w:tcBorders>
            <w:shd w:val="clear" w:color="auto" w:fill="C6EFCE"/>
            <w:noWrap/>
          </w:tcPr>
          <w:p w14:paraId="3EDC47F4" w14:textId="77777777" w:rsidR="00A00259" w:rsidRDefault="00371282">
            <w:pPr>
              <w:pStyle w:val="P68B1DB1-Normal12"/>
              <w:spacing w:after="0" w:line="240" w:lineRule="auto"/>
              <w:rPr>
                <w:rFonts w:eastAsia="Times New Roman"/>
                <w:noProof/>
              </w:rPr>
            </w:pPr>
            <w:r>
              <w:rPr>
                <w:noProof/>
              </w:rPr>
              <w:t>Nombre de certifications délivrées</w:t>
            </w:r>
          </w:p>
        </w:tc>
        <w:tc>
          <w:tcPr>
            <w:tcW w:w="1003" w:type="dxa"/>
            <w:tcBorders>
              <w:top w:val="single" w:sz="4" w:space="0" w:color="auto"/>
              <w:left w:val="nil"/>
              <w:bottom w:val="single" w:sz="4" w:space="0" w:color="auto"/>
              <w:right w:val="single" w:sz="4" w:space="0" w:color="auto"/>
            </w:tcBorders>
            <w:shd w:val="clear" w:color="auto" w:fill="C6EFCE"/>
            <w:noWrap/>
          </w:tcPr>
          <w:p w14:paraId="23C123A6" w14:textId="77777777" w:rsidR="00A00259" w:rsidRDefault="00371282">
            <w:pPr>
              <w:pStyle w:val="P68B1DB1-Normal12"/>
              <w:spacing w:after="0" w:line="240" w:lineRule="auto"/>
              <w:rPr>
                <w:rFonts w:eastAsia="Times New Roman"/>
                <w:noProof/>
              </w:rPr>
            </w:pPr>
            <w:r>
              <w:rPr>
                <w:noProof/>
              </w:rPr>
              <w:t>0</w:t>
            </w:r>
          </w:p>
        </w:tc>
        <w:tc>
          <w:tcPr>
            <w:tcW w:w="876" w:type="dxa"/>
            <w:tcBorders>
              <w:top w:val="single" w:sz="4" w:space="0" w:color="auto"/>
              <w:left w:val="nil"/>
              <w:bottom w:val="single" w:sz="4" w:space="0" w:color="auto"/>
              <w:right w:val="single" w:sz="4" w:space="0" w:color="auto"/>
            </w:tcBorders>
            <w:shd w:val="clear" w:color="auto" w:fill="C6EFCE"/>
            <w:noWrap/>
          </w:tcPr>
          <w:p w14:paraId="43816023" w14:textId="77777777" w:rsidR="00A00259" w:rsidRDefault="00371282">
            <w:pPr>
              <w:pStyle w:val="P68B1DB1-Normal12"/>
              <w:spacing w:after="0" w:line="240" w:lineRule="auto"/>
              <w:rPr>
                <w:rFonts w:eastAsia="Times New Roman"/>
                <w:noProof/>
              </w:rPr>
            </w:pPr>
            <w:r>
              <w:rPr>
                <w:noProof/>
              </w:rPr>
              <w:t>4 500</w:t>
            </w:r>
          </w:p>
        </w:tc>
        <w:tc>
          <w:tcPr>
            <w:tcW w:w="846" w:type="dxa"/>
            <w:tcBorders>
              <w:top w:val="single" w:sz="4" w:space="0" w:color="auto"/>
              <w:left w:val="nil"/>
              <w:bottom w:val="single" w:sz="4" w:space="0" w:color="auto"/>
              <w:right w:val="single" w:sz="4" w:space="0" w:color="auto"/>
            </w:tcBorders>
            <w:shd w:val="clear" w:color="auto" w:fill="C6EFCE"/>
            <w:noWrap/>
          </w:tcPr>
          <w:p w14:paraId="5551E778" w14:textId="77777777" w:rsidR="00A00259" w:rsidRDefault="00371282">
            <w:pPr>
              <w:pStyle w:val="P68B1DB1-Normal12"/>
              <w:spacing w:after="0" w:line="240" w:lineRule="auto"/>
              <w:rPr>
                <w:rFonts w:eastAsia="Times New Roman"/>
                <w:noProof/>
              </w:rPr>
            </w:pPr>
            <w:r>
              <w:rPr>
                <w:noProof/>
              </w:rPr>
              <w:t>T4</w:t>
            </w:r>
          </w:p>
        </w:tc>
        <w:tc>
          <w:tcPr>
            <w:tcW w:w="673" w:type="dxa"/>
            <w:tcBorders>
              <w:top w:val="single" w:sz="4" w:space="0" w:color="auto"/>
              <w:left w:val="nil"/>
              <w:bottom w:val="single" w:sz="4" w:space="0" w:color="auto"/>
              <w:right w:val="single" w:sz="4" w:space="0" w:color="auto"/>
            </w:tcBorders>
            <w:shd w:val="clear" w:color="auto" w:fill="C6EFCE"/>
            <w:noWrap/>
          </w:tcPr>
          <w:p w14:paraId="4229CEBF" w14:textId="77777777" w:rsidR="00A00259" w:rsidRDefault="00371282">
            <w:pPr>
              <w:pStyle w:val="P68B1DB1-Normal12"/>
              <w:spacing w:after="0" w:line="240" w:lineRule="auto"/>
              <w:rPr>
                <w:rFonts w:eastAsia="Times New Roman"/>
                <w:noProof/>
              </w:rPr>
            </w:pPr>
            <w:r>
              <w:rPr>
                <w:noProof/>
              </w:rPr>
              <w:t>2025</w:t>
            </w:r>
          </w:p>
        </w:tc>
        <w:tc>
          <w:tcPr>
            <w:tcW w:w="2965" w:type="dxa"/>
            <w:tcBorders>
              <w:top w:val="single" w:sz="4" w:space="0" w:color="auto"/>
              <w:left w:val="nil"/>
              <w:bottom w:val="single" w:sz="4" w:space="0" w:color="auto"/>
              <w:right w:val="single" w:sz="4" w:space="0" w:color="auto"/>
            </w:tcBorders>
            <w:shd w:val="clear" w:color="auto" w:fill="C6EFCE"/>
            <w:noWrap/>
          </w:tcPr>
          <w:p w14:paraId="58ED3B4B" w14:textId="3317B6CC" w:rsidR="00A00259" w:rsidRDefault="00371282">
            <w:pPr>
              <w:pStyle w:val="P68B1DB1-Normal12"/>
              <w:spacing w:after="0" w:line="240" w:lineRule="auto"/>
              <w:rPr>
                <w:rFonts w:eastAsia="Times New Roman"/>
                <w:noProof/>
              </w:rPr>
            </w:pPr>
            <w:r>
              <w:rPr>
                <w:noProof/>
              </w:rPr>
              <w:t>4 500 certifications délivrées lors de la participation à un programme de formation spécifique intitulé: «Certification des professionnels des marchés publics»</w:t>
            </w:r>
          </w:p>
        </w:tc>
      </w:tr>
      <w:tr w:rsidR="00A00259" w14:paraId="2CC5A995"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04C18C80" w14:textId="77777777" w:rsidR="00A00259" w:rsidRDefault="00371282">
            <w:pPr>
              <w:pStyle w:val="P68B1DB1-Normal12"/>
              <w:spacing w:after="0" w:line="240" w:lineRule="auto"/>
              <w:rPr>
                <w:rFonts w:eastAsia="Times New Roman"/>
                <w:noProof/>
              </w:rPr>
            </w:pPr>
            <w:r>
              <w:rPr>
                <w:noProof/>
              </w:rPr>
              <w:t>341</w:t>
            </w:r>
          </w:p>
        </w:tc>
        <w:tc>
          <w:tcPr>
            <w:tcW w:w="2560" w:type="dxa"/>
            <w:tcBorders>
              <w:top w:val="single" w:sz="4" w:space="0" w:color="auto"/>
              <w:left w:val="nil"/>
              <w:bottom w:val="single" w:sz="4" w:space="0" w:color="auto"/>
              <w:right w:val="single" w:sz="4" w:space="0" w:color="auto"/>
            </w:tcBorders>
            <w:shd w:val="clear" w:color="auto" w:fill="C6EFCE"/>
            <w:noWrap/>
          </w:tcPr>
          <w:p w14:paraId="1037C1CD" w14:textId="77777777" w:rsidR="00A00259" w:rsidRDefault="00371282">
            <w:pPr>
              <w:pStyle w:val="P68B1DB1-Normal12"/>
              <w:spacing w:after="0" w:line="240" w:lineRule="auto"/>
              <w:rPr>
                <w:rFonts w:eastAsia="Times New Roman"/>
                <w:noProof/>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- 16986_Achèvement du cadastre national</w:t>
            </w:r>
          </w:p>
        </w:tc>
        <w:tc>
          <w:tcPr>
            <w:tcW w:w="1063" w:type="dxa"/>
            <w:tcBorders>
              <w:top w:val="single" w:sz="4" w:space="0" w:color="auto"/>
              <w:left w:val="nil"/>
              <w:bottom w:val="single" w:sz="4" w:space="0" w:color="auto"/>
              <w:right w:val="single" w:sz="4" w:space="0" w:color="auto"/>
            </w:tcBorders>
            <w:shd w:val="clear" w:color="auto" w:fill="C6EFCE"/>
            <w:noWrap/>
          </w:tcPr>
          <w:p w14:paraId="46128AE6" w14:textId="77777777" w:rsidR="00A00259" w:rsidRDefault="00371282">
            <w:pPr>
              <w:pStyle w:val="P68B1DB1-Normal12"/>
              <w:spacing w:after="0" w:line="240" w:lineRule="auto"/>
              <w:rPr>
                <w:rFonts w:eastAsia="Times New Roman"/>
                <w:noProof/>
              </w:rPr>
            </w:pPr>
            <w:r>
              <w:rPr>
                <w:noProof/>
              </w:rPr>
              <w:t>Objectif</w:t>
            </w:r>
          </w:p>
        </w:tc>
        <w:tc>
          <w:tcPr>
            <w:tcW w:w="2034" w:type="dxa"/>
            <w:tcBorders>
              <w:top w:val="single" w:sz="4" w:space="0" w:color="auto"/>
              <w:left w:val="nil"/>
              <w:bottom w:val="single" w:sz="4" w:space="0" w:color="auto"/>
              <w:right w:val="single" w:sz="4" w:space="0" w:color="auto"/>
            </w:tcBorders>
            <w:shd w:val="clear" w:color="auto" w:fill="C6EFCE"/>
            <w:noWrap/>
          </w:tcPr>
          <w:p w14:paraId="50676096" w14:textId="77777777" w:rsidR="00A00259" w:rsidRDefault="00371282">
            <w:pPr>
              <w:pStyle w:val="P68B1DB1-Normal12"/>
              <w:spacing w:after="0" w:line="240" w:lineRule="auto"/>
              <w:rPr>
                <w:rFonts w:eastAsia="Times New Roman"/>
                <w:noProof/>
              </w:rPr>
            </w:pPr>
            <w:r>
              <w:rPr>
                <w:noProof/>
              </w:rPr>
              <w:t>Cartographie cadastrale – 85 % d’achèvement</w:t>
            </w:r>
          </w:p>
        </w:tc>
        <w:tc>
          <w:tcPr>
            <w:tcW w:w="1975" w:type="dxa"/>
            <w:tcBorders>
              <w:top w:val="single" w:sz="4" w:space="0" w:color="auto"/>
              <w:left w:val="nil"/>
              <w:bottom w:val="single" w:sz="4" w:space="0" w:color="auto"/>
              <w:right w:val="single" w:sz="4" w:space="0" w:color="auto"/>
            </w:tcBorders>
            <w:shd w:val="clear" w:color="auto" w:fill="C6EFCE"/>
            <w:noWrap/>
          </w:tcPr>
          <w:p w14:paraId="28F13BD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777" w:type="dxa"/>
            <w:tcBorders>
              <w:top w:val="single" w:sz="4" w:space="0" w:color="auto"/>
              <w:left w:val="nil"/>
              <w:bottom w:val="single" w:sz="4" w:space="0" w:color="auto"/>
              <w:right w:val="single" w:sz="4" w:space="0" w:color="auto"/>
            </w:tcBorders>
            <w:shd w:val="clear" w:color="auto" w:fill="C6EFCE"/>
            <w:noWrap/>
          </w:tcPr>
          <w:p w14:paraId="4990E59E" w14:textId="77777777" w:rsidR="00A00259" w:rsidRDefault="00371282">
            <w:pPr>
              <w:pStyle w:val="P68B1DB1-Normal12"/>
              <w:spacing w:after="0" w:line="240" w:lineRule="auto"/>
              <w:rPr>
                <w:rFonts w:eastAsia="Times New Roman"/>
                <w:noProof/>
              </w:rPr>
            </w:pPr>
            <w:r>
              <w:rPr>
                <w:noProof/>
              </w:rPr>
              <w:t>% du total des droits de propriété téléchargés pour l’affichage public, conformément aux dispositions de la loi 2308/1995 telle que modifiée par l’article 3 de la loi 4821/2021</w:t>
            </w:r>
          </w:p>
        </w:tc>
        <w:tc>
          <w:tcPr>
            <w:tcW w:w="1003" w:type="dxa"/>
            <w:tcBorders>
              <w:top w:val="single" w:sz="4" w:space="0" w:color="auto"/>
              <w:left w:val="nil"/>
              <w:bottom w:val="single" w:sz="4" w:space="0" w:color="auto"/>
              <w:right w:val="single" w:sz="4" w:space="0" w:color="auto"/>
            </w:tcBorders>
            <w:shd w:val="clear" w:color="auto" w:fill="C6EFCE"/>
            <w:noWrap/>
          </w:tcPr>
          <w:p w14:paraId="56C5C1AD" w14:textId="77777777" w:rsidR="00A00259" w:rsidRDefault="00371282">
            <w:pPr>
              <w:pStyle w:val="P68B1DB1-Normal12"/>
              <w:spacing w:after="0" w:line="240" w:lineRule="auto"/>
              <w:rPr>
                <w:rFonts w:eastAsia="Times New Roman"/>
                <w:noProof/>
              </w:rPr>
            </w:pPr>
            <w:r>
              <w:rPr>
                <w:noProof/>
              </w:rPr>
              <w:t>79%</w:t>
            </w:r>
          </w:p>
        </w:tc>
        <w:tc>
          <w:tcPr>
            <w:tcW w:w="876" w:type="dxa"/>
            <w:tcBorders>
              <w:top w:val="single" w:sz="4" w:space="0" w:color="auto"/>
              <w:left w:val="nil"/>
              <w:bottom w:val="single" w:sz="4" w:space="0" w:color="auto"/>
              <w:right w:val="single" w:sz="4" w:space="0" w:color="auto"/>
            </w:tcBorders>
            <w:shd w:val="clear" w:color="auto" w:fill="C6EFCE"/>
            <w:noWrap/>
          </w:tcPr>
          <w:p w14:paraId="7BA3FD89" w14:textId="77777777" w:rsidR="00A00259" w:rsidRDefault="00371282">
            <w:pPr>
              <w:pStyle w:val="P68B1DB1-Normal12"/>
              <w:spacing w:after="0" w:line="240" w:lineRule="auto"/>
              <w:rPr>
                <w:rFonts w:eastAsia="Times New Roman"/>
                <w:noProof/>
              </w:rPr>
            </w:pPr>
            <w:r>
              <w:rPr>
                <w:noProof/>
              </w:rPr>
              <w:t>85%</w:t>
            </w:r>
          </w:p>
        </w:tc>
        <w:tc>
          <w:tcPr>
            <w:tcW w:w="846" w:type="dxa"/>
            <w:tcBorders>
              <w:top w:val="single" w:sz="4" w:space="0" w:color="auto"/>
              <w:left w:val="nil"/>
              <w:bottom w:val="single" w:sz="4" w:space="0" w:color="auto"/>
              <w:right w:val="single" w:sz="4" w:space="0" w:color="auto"/>
            </w:tcBorders>
            <w:shd w:val="clear" w:color="auto" w:fill="C6EFCE"/>
            <w:noWrap/>
          </w:tcPr>
          <w:p w14:paraId="5D425BFE" w14:textId="77777777" w:rsidR="00A00259" w:rsidRDefault="00371282">
            <w:pPr>
              <w:pStyle w:val="P68B1DB1-Normal12"/>
              <w:spacing w:after="0" w:line="240" w:lineRule="auto"/>
              <w:rPr>
                <w:rFonts w:eastAsia="Times New Roman"/>
                <w:noProof/>
              </w:rPr>
            </w:pPr>
            <w:r>
              <w:rPr>
                <w:noProof/>
              </w:rPr>
              <w:t>T4</w:t>
            </w:r>
          </w:p>
        </w:tc>
        <w:tc>
          <w:tcPr>
            <w:tcW w:w="673" w:type="dxa"/>
            <w:tcBorders>
              <w:top w:val="single" w:sz="4" w:space="0" w:color="auto"/>
              <w:left w:val="nil"/>
              <w:bottom w:val="single" w:sz="4" w:space="0" w:color="auto"/>
              <w:right w:val="single" w:sz="4" w:space="0" w:color="auto"/>
            </w:tcBorders>
            <w:shd w:val="clear" w:color="auto" w:fill="C6EFCE"/>
            <w:noWrap/>
          </w:tcPr>
          <w:p w14:paraId="55CFF66A" w14:textId="77777777" w:rsidR="00A00259" w:rsidRDefault="00371282">
            <w:pPr>
              <w:pStyle w:val="P68B1DB1-Normal12"/>
              <w:spacing w:after="0" w:line="240" w:lineRule="auto"/>
              <w:rPr>
                <w:rFonts w:eastAsia="Times New Roman"/>
                <w:noProof/>
              </w:rPr>
            </w:pPr>
            <w:r>
              <w:rPr>
                <w:noProof/>
              </w:rPr>
              <w:t>2023</w:t>
            </w:r>
          </w:p>
        </w:tc>
        <w:tc>
          <w:tcPr>
            <w:tcW w:w="2965" w:type="dxa"/>
            <w:tcBorders>
              <w:top w:val="single" w:sz="4" w:space="0" w:color="auto"/>
              <w:left w:val="nil"/>
              <w:bottom w:val="single" w:sz="4" w:space="0" w:color="auto"/>
              <w:right w:val="single" w:sz="4" w:space="0" w:color="auto"/>
            </w:tcBorders>
            <w:shd w:val="clear" w:color="auto" w:fill="C6EFCE"/>
            <w:noWrap/>
          </w:tcPr>
          <w:p w14:paraId="262D23DD" w14:textId="77777777" w:rsidR="00A00259" w:rsidRDefault="00371282">
            <w:pPr>
              <w:pStyle w:val="P68B1DB1-Normal12"/>
              <w:spacing w:after="0" w:line="240" w:lineRule="auto"/>
              <w:rPr>
                <w:rFonts w:eastAsia="Times New Roman"/>
                <w:noProof/>
              </w:rPr>
            </w:pPr>
            <w:r>
              <w:rPr>
                <w:noProof/>
              </w:rPr>
              <w:t>85 % des droits de propriété de la Grèce ont atteint le stade de l’exposition publique.</w:t>
            </w:r>
          </w:p>
        </w:tc>
      </w:tr>
      <w:tr w:rsidR="00A00259" w14:paraId="5FCACFE8"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360779DE" w14:textId="77777777" w:rsidR="00A00259" w:rsidRDefault="00371282">
            <w:pPr>
              <w:pStyle w:val="P68B1DB1-Normal12"/>
              <w:spacing w:after="0" w:line="240" w:lineRule="auto"/>
              <w:rPr>
                <w:rFonts w:eastAsia="Times New Roman"/>
                <w:noProof/>
              </w:rPr>
            </w:pPr>
            <w:r>
              <w:rPr>
                <w:noProof/>
              </w:rPr>
              <w:t>342</w:t>
            </w:r>
          </w:p>
        </w:tc>
        <w:tc>
          <w:tcPr>
            <w:tcW w:w="2560" w:type="dxa"/>
            <w:tcBorders>
              <w:top w:val="single" w:sz="4" w:space="0" w:color="auto"/>
              <w:left w:val="nil"/>
              <w:bottom w:val="single" w:sz="4" w:space="0" w:color="auto"/>
              <w:right w:val="single" w:sz="4" w:space="0" w:color="auto"/>
            </w:tcBorders>
            <w:shd w:val="clear" w:color="auto" w:fill="C6EFCE"/>
            <w:noWrap/>
          </w:tcPr>
          <w:p w14:paraId="57DB1117" w14:textId="77777777" w:rsidR="00A00259" w:rsidRDefault="00371282">
            <w:pPr>
              <w:pStyle w:val="P68B1DB1-Normal12"/>
              <w:spacing w:after="0" w:line="240" w:lineRule="auto"/>
              <w:rPr>
                <w:rFonts w:eastAsia="Times New Roman"/>
                <w:noProof/>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- 16986_Achèvement du cadastre national</w:t>
            </w:r>
          </w:p>
        </w:tc>
        <w:tc>
          <w:tcPr>
            <w:tcW w:w="1063" w:type="dxa"/>
            <w:tcBorders>
              <w:top w:val="single" w:sz="4" w:space="0" w:color="auto"/>
              <w:left w:val="nil"/>
              <w:bottom w:val="single" w:sz="4" w:space="0" w:color="auto"/>
              <w:right w:val="single" w:sz="4" w:space="0" w:color="auto"/>
            </w:tcBorders>
            <w:shd w:val="clear" w:color="auto" w:fill="C6EFCE"/>
            <w:noWrap/>
          </w:tcPr>
          <w:p w14:paraId="0A2B7839" w14:textId="77777777" w:rsidR="00A00259" w:rsidRDefault="00371282">
            <w:pPr>
              <w:pStyle w:val="P68B1DB1-Normal12"/>
              <w:spacing w:after="0" w:line="240" w:lineRule="auto"/>
              <w:rPr>
                <w:rFonts w:eastAsia="Times New Roman"/>
                <w:noProof/>
              </w:rPr>
            </w:pPr>
            <w:r>
              <w:rPr>
                <w:noProof/>
              </w:rPr>
              <w:t>Objectif</w:t>
            </w:r>
          </w:p>
        </w:tc>
        <w:tc>
          <w:tcPr>
            <w:tcW w:w="2034" w:type="dxa"/>
            <w:tcBorders>
              <w:top w:val="single" w:sz="4" w:space="0" w:color="auto"/>
              <w:left w:val="nil"/>
              <w:bottom w:val="single" w:sz="4" w:space="0" w:color="auto"/>
              <w:right w:val="single" w:sz="4" w:space="0" w:color="auto"/>
            </w:tcBorders>
            <w:shd w:val="clear" w:color="auto" w:fill="C6EFCE"/>
            <w:noWrap/>
          </w:tcPr>
          <w:p w14:paraId="40AFE684" w14:textId="77777777" w:rsidR="00A00259" w:rsidRDefault="00371282">
            <w:pPr>
              <w:pStyle w:val="P68B1DB1-Normal12"/>
              <w:spacing w:after="0" w:line="240" w:lineRule="auto"/>
              <w:rPr>
                <w:rFonts w:eastAsia="Times New Roman"/>
                <w:noProof/>
              </w:rPr>
            </w:pPr>
            <w:r>
              <w:rPr>
                <w:noProof/>
              </w:rPr>
              <w:t>Cartographie cadastrale – 95 % d’achèvement</w:t>
            </w:r>
          </w:p>
        </w:tc>
        <w:tc>
          <w:tcPr>
            <w:tcW w:w="1975" w:type="dxa"/>
            <w:tcBorders>
              <w:top w:val="single" w:sz="4" w:space="0" w:color="auto"/>
              <w:left w:val="nil"/>
              <w:bottom w:val="single" w:sz="4" w:space="0" w:color="auto"/>
              <w:right w:val="single" w:sz="4" w:space="0" w:color="auto"/>
            </w:tcBorders>
            <w:shd w:val="clear" w:color="auto" w:fill="C6EFCE"/>
            <w:noWrap/>
          </w:tcPr>
          <w:p w14:paraId="372B3E8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777" w:type="dxa"/>
            <w:tcBorders>
              <w:top w:val="single" w:sz="4" w:space="0" w:color="auto"/>
              <w:left w:val="nil"/>
              <w:bottom w:val="single" w:sz="4" w:space="0" w:color="auto"/>
              <w:right w:val="single" w:sz="4" w:space="0" w:color="auto"/>
            </w:tcBorders>
            <w:shd w:val="clear" w:color="auto" w:fill="C6EFCE"/>
            <w:noWrap/>
          </w:tcPr>
          <w:p w14:paraId="110B96F2" w14:textId="77777777" w:rsidR="00A00259" w:rsidRDefault="00371282">
            <w:pPr>
              <w:pStyle w:val="P68B1DB1-Normal12"/>
              <w:spacing w:after="0" w:line="240" w:lineRule="auto"/>
              <w:rPr>
                <w:rFonts w:eastAsia="Times New Roman"/>
                <w:noProof/>
              </w:rPr>
            </w:pPr>
            <w:r>
              <w:rPr>
                <w:noProof/>
              </w:rPr>
              <w:t>% du total des droits de propriété téléchargés pour l’affichage public, conformément aux dispositions de la loi 2308/1995 telle que modifiée par l’article 6 de la loi 4821/2021</w:t>
            </w:r>
          </w:p>
        </w:tc>
        <w:tc>
          <w:tcPr>
            <w:tcW w:w="1003" w:type="dxa"/>
            <w:tcBorders>
              <w:top w:val="single" w:sz="4" w:space="0" w:color="auto"/>
              <w:left w:val="nil"/>
              <w:bottom w:val="single" w:sz="4" w:space="0" w:color="auto"/>
              <w:right w:val="single" w:sz="4" w:space="0" w:color="auto"/>
            </w:tcBorders>
            <w:shd w:val="clear" w:color="auto" w:fill="C6EFCE"/>
            <w:noWrap/>
          </w:tcPr>
          <w:p w14:paraId="04AA6EBA" w14:textId="77777777" w:rsidR="00A00259" w:rsidRDefault="00371282">
            <w:pPr>
              <w:pStyle w:val="P68B1DB1-Normal12"/>
              <w:spacing w:after="0" w:line="240" w:lineRule="auto"/>
              <w:rPr>
                <w:rFonts w:eastAsia="Times New Roman"/>
                <w:noProof/>
              </w:rPr>
            </w:pPr>
            <w:r>
              <w:rPr>
                <w:noProof/>
              </w:rPr>
              <w:t>85%</w:t>
            </w:r>
          </w:p>
        </w:tc>
        <w:tc>
          <w:tcPr>
            <w:tcW w:w="876" w:type="dxa"/>
            <w:tcBorders>
              <w:top w:val="single" w:sz="4" w:space="0" w:color="auto"/>
              <w:left w:val="nil"/>
              <w:bottom w:val="single" w:sz="4" w:space="0" w:color="auto"/>
              <w:right w:val="single" w:sz="4" w:space="0" w:color="auto"/>
            </w:tcBorders>
            <w:shd w:val="clear" w:color="auto" w:fill="C6EFCE"/>
            <w:noWrap/>
          </w:tcPr>
          <w:p w14:paraId="19667A83" w14:textId="77777777" w:rsidR="00A00259" w:rsidRDefault="00371282">
            <w:pPr>
              <w:pStyle w:val="P68B1DB1-Normal12"/>
              <w:spacing w:after="0" w:line="240" w:lineRule="auto"/>
              <w:rPr>
                <w:rFonts w:eastAsia="Times New Roman"/>
                <w:noProof/>
              </w:rPr>
            </w:pPr>
            <w:r>
              <w:rPr>
                <w:noProof/>
              </w:rPr>
              <w:t>95%</w:t>
            </w:r>
          </w:p>
        </w:tc>
        <w:tc>
          <w:tcPr>
            <w:tcW w:w="846" w:type="dxa"/>
            <w:tcBorders>
              <w:top w:val="single" w:sz="4" w:space="0" w:color="auto"/>
              <w:left w:val="nil"/>
              <w:bottom w:val="single" w:sz="4" w:space="0" w:color="auto"/>
              <w:right w:val="single" w:sz="4" w:space="0" w:color="auto"/>
            </w:tcBorders>
            <w:shd w:val="clear" w:color="auto" w:fill="C6EFCE"/>
            <w:noWrap/>
          </w:tcPr>
          <w:p w14:paraId="0B76BC20" w14:textId="77777777" w:rsidR="00A00259" w:rsidRDefault="00371282">
            <w:pPr>
              <w:pStyle w:val="P68B1DB1-Normal12"/>
              <w:spacing w:after="0" w:line="240" w:lineRule="auto"/>
              <w:rPr>
                <w:rFonts w:eastAsia="Times New Roman"/>
                <w:noProof/>
              </w:rPr>
            </w:pPr>
            <w:r>
              <w:rPr>
                <w:noProof/>
              </w:rPr>
              <w:t>T2</w:t>
            </w:r>
          </w:p>
        </w:tc>
        <w:tc>
          <w:tcPr>
            <w:tcW w:w="673" w:type="dxa"/>
            <w:tcBorders>
              <w:top w:val="single" w:sz="4" w:space="0" w:color="auto"/>
              <w:left w:val="nil"/>
              <w:bottom w:val="single" w:sz="4" w:space="0" w:color="auto"/>
              <w:right w:val="single" w:sz="4" w:space="0" w:color="auto"/>
            </w:tcBorders>
            <w:shd w:val="clear" w:color="auto" w:fill="C6EFCE"/>
            <w:noWrap/>
          </w:tcPr>
          <w:p w14:paraId="651BC481" w14:textId="77777777" w:rsidR="00A00259" w:rsidRDefault="00371282">
            <w:pPr>
              <w:pStyle w:val="P68B1DB1-Normal12"/>
              <w:spacing w:after="0" w:line="240" w:lineRule="auto"/>
              <w:rPr>
                <w:rFonts w:eastAsia="Times New Roman"/>
                <w:noProof/>
              </w:rPr>
            </w:pPr>
            <w:r>
              <w:rPr>
                <w:noProof/>
              </w:rPr>
              <w:t>2024</w:t>
            </w:r>
          </w:p>
        </w:tc>
        <w:tc>
          <w:tcPr>
            <w:tcW w:w="2965" w:type="dxa"/>
            <w:tcBorders>
              <w:top w:val="single" w:sz="4" w:space="0" w:color="auto"/>
              <w:left w:val="nil"/>
              <w:bottom w:val="single" w:sz="4" w:space="0" w:color="auto"/>
              <w:right w:val="single" w:sz="4" w:space="0" w:color="auto"/>
            </w:tcBorders>
            <w:shd w:val="clear" w:color="auto" w:fill="C6EFCE"/>
            <w:noWrap/>
          </w:tcPr>
          <w:p w14:paraId="754E817F" w14:textId="77777777" w:rsidR="00A00259" w:rsidRDefault="00371282">
            <w:pPr>
              <w:pStyle w:val="P68B1DB1-Normal12"/>
              <w:spacing w:after="0" w:line="240" w:lineRule="auto"/>
              <w:rPr>
                <w:rFonts w:eastAsia="Times New Roman"/>
                <w:noProof/>
              </w:rPr>
            </w:pPr>
            <w:r>
              <w:rPr>
                <w:noProof/>
              </w:rPr>
              <w:t>95 % des droits de propriété de la Grèce ont atteint le stade de l’exposition publique.</w:t>
            </w:r>
          </w:p>
        </w:tc>
      </w:tr>
      <w:tr w:rsidR="00A00259" w14:paraId="3812A969"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0296F158" w14:textId="77777777" w:rsidR="00A00259" w:rsidRDefault="00371282">
            <w:pPr>
              <w:pStyle w:val="P68B1DB1-Normal12"/>
              <w:spacing w:after="0" w:line="240" w:lineRule="auto"/>
              <w:rPr>
                <w:rFonts w:eastAsia="Times New Roman"/>
                <w:noProof/>
              </w:rPr>
            </w:pPr>
            <w:r>
              <w:rPr>
                <w:noProof/>
              </w:rPr>
              <w:t>343</w:t>
            </w:r>
          </w:p>
        </w:tc>
        <w:tc>
          <w:tcPr>
            <w:tcW w:w="2560" w:type="dxa"/>
            <w:tcBorders>
              <w:top w:val="single" w:sz="4" w:space="0" w:color="auto"/>
              <w:left w:val="nil"/>
              <w:bottom w:val="single" w:sz="4" w:space="0" w:color="auto"/>
              <w:right w:val="single" w:sz="4" w:space="0" w:color="auto"/>
            </w:tcBorders>
            <w:shd w:val="clear" w:color="auto" w:fill="C6EFCE"/>
            <w:noWrap/>
          </w:tcPr>
          <w:p w14:paraId="73B56C52" w14:textId="77777777" w:rsidR="00A00259" w:rsidRDefault="00371282">
            <w:pPr>
              <w:pStyle w:val="P68B1DB1-Normal12"/>
              <w:spacing w:after="0" w:line="240" w:lineRule="auto"/>
              <w:rPr>
                <w:rFonts w:eastAsia="Times New Roman"/>
                <w:noProof/>
              </w:rPr>
            </w:pPr>
            <w:r>
              <w:rPr>
                <w:noProof/>
              </w:rPr>
              <w:t xml:space="preserve">13 - 4.2. Moderniser l'administration publique, notamment en accélérant la mise en œuvre des investissements publics, en améliorant le cadre des marchés publics, en prenant des mesures de renforcement des capacités et en luttant contre la corruption - 16986_Achèvement du cadastre national </w:t>
            </w:r>
          </w:p>
        </w:tc>
        <w:tc>
          <w:tcPr>
            <w:tcW w:w="1063" w:type="dxa"/>
            <w:tcBorders>
              <w:top w:val="single" w:sz="4" w:space="0" w:color="auto"/>
              <w:left w:val="nil"/>
              <w:bottom w:val="single" w:sz="4" w:space="0" w:color="auto"/>
              <w:right w:val="single" w:sz="4" w:space="0" w:color="auto"/>
            </w:tcBorders>
            <w:shd w:val="clear" w:color="auto" w:fill="C6EFCE"/>
            <w:noWrap/>
          </w:tcPr>
          <w:p w14:paraId="12097E34" w14:textId="77777777" w:rsidR="00A00259" w:rsidRDefault="00371282">
            <w:pPr>
              <w:pStyle w:val="P68B1DB1-Normal12"/>
              <w:spacing w:after="0" w:line="240" w:lineRule="auto"/>
              <w:rPr>
                <w:rFonts w:eastAsia="Times New Roman"/>
                <w:noProof/>
              </w:rPr>
            </w:pPr>
            <w:r>
              <w:rPr>
                <w:noProof/>
              </w:rPr>
              <w:t>Étape</w:t>
            </w:r>
          </w:p>
        </w:tc>
        <w:tc>
          <w:tcPr>
            <w:tcW w:w="2034" w:type="dxa"/>
            <w:tcBorders>
              <w:top w:val="single" w:sz="4" w:space="0" w:color="auto"/>
              <w:left w:val="nil"/>
              <w:bottom w:val="single" w:sz="4" w:space="0" w:color="auto"/>
              <w:right w:val="single" w:sz="4" w:space="0" w:color="auto"/>
            </w:tcBorders>
            <w:shd w:val="clear" w:color="auto" w:fill="C6EFCE"/>
            <w:noWrap/>
          </w:tcPr>
          <w:p w14:paraId="113B5767" w14:textId="77777777" w:rsidR="00A00259" w:rsidRDefault="00371282">
            <w:pPr>
              <w:pStyle w:val="P68B1DB1-Normal12"/>
              <w:spacing w:after="0" w:line="240" w:lineRule="auto"/>
              <w:rPr>
                <w:rFonts w:eastAsia="Times New Roman"/>
                <w:noProof/>
              </w:rPr>
            </w:pPr>
            <w:r>
              <w:rPr>
                <w:noProof/>
              </w:rPr>
              <w:t>Transition vers la nouvelle structure organisationnelle du Cadastre hellénique – Achèvement complet</w:t>
            </w:r>
          </w:p>
        </w:tc>
        <w:tc>
          <w:tcPr>
            <w:tcW w:w="1975" w:type="dxa"/>
            <w:tcBorders>
              <w:top w:val="single" w:sz="4" w:space="0" w:color="auto"/>
              <w:left w:val="nil"/>
              <w:bottom w:val="single" w:sz="4" w:space="0" w:color="auto"/>
              <w:right w:val="single" w:sz="4" w:space="0" w:color="auto"/>
            </w:tcBorders>
            <w:shd w:val="clear" w:color="auto" w:fill="C6EFCE"/>
            <w:noWrap/>
          </w:tcPr>
          <w:p w14:paraId="2C94BAF9" w14:textId="77777777" w:rsidR="00A00259" w:rsidRDefault="00371282">
            <w:pPr>
              <w:pStyle w:val="P68B1DB1-Normal16"/>
              <w:spacing w:after="0" w:line="240" w:lineRule="auto"/>
              <w:rPr>
                <w:rFonts w:eastAsia="Times New Roman"/>
                <w:noProof/>
                <w:color w:val="006100"/>
              </w:rPr>
            </w:pPr>
            <w:r>
              <w:rPr>
                <w:noProof/>
                <w:color w:val="006100"/>
              </w:rPr>
              <w:t>Décisions officielles du conseil d'administration du cadastre hellénique pour l'ouverture et l'opérationnalisation des bureaux cadastraux et des succursales sur l'ensemble du territoire grec, et la fermeture des anciens bureaux hypothécaires.</w:t>
            </w:r>
          </w:p>
        </w:tc>
        <w:tc>
          <w:tcPr>
            <w:tcW w:w="1777" w:type="dxa"/>
            <w:tcBorders>
              <w:top w:val="single" w:sz="4" w:space="0" w:color="auto"/>
              <w:left w:val="nil"/>
              <w:bottom w:val="single" w:sz="4" w:space="0" w:color="auto"/>
              <w:right w:val="single" w:sz="4" w:space="0" w:color="auto"/>
            </w:tcBorders>
            <w:shd w:val="clear" w:color="auto" w:fill="C6EFCE"/>
            <w:noWrap/>
          </w:tcPr>
          <w:p w14:paraId="60D5B0E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03" w:type="dxa"/>
            <w:tcBorders>
              <w:top w:val="single" w:sz="4" w:space="0" w:color="auto"/>
              <w:left w:val="nil"/>
              <w:bottom w:val="single" w:sz="4" w:space="0" w:color="auto"/>
              <w:right w:val="single" w:sz="4" w:space="0" w:color="auto"/>
            </w:tcBorders>
            <w:shd w:val="clear" w:color="auto" w:fill="C6EFCE"/>
            <w:noWrap/>
          </w:tcPr>
          <w:p w14:paraId="00F094F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76" w:type="dxa"/>
            <w:tcBorders>
              <w:top w:val="single" w:sz="4" w:space="0" w:color="auto"/>
              <w:left w:val="nil"/>
              <w:bottom w:val="single" w:sz="4" w:space="0" w:color="auto"/>
              <w:right w:val="single" w:sz="4" w:space="0" w:color="auto"/>
            </w:tcBorders>
            <w:shd w:val="clear" w:color="auto" w:fill="C6EFCE"/>
            <w:noWrap/>
          </w:tcPr>
          <w:p w14:paraId="288EA12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02C9AA45" w14:textId="77777777" w:rsidR="00A00259" w:rsidRDefault="00371282">
            <w:pPr>
              <w:pStyle w:val="P68B1DB1-Normal12"/>
              <w:spacing w:after="0" w:line="240" w:lineRule="auto"/>
              <w:rPr>
                <w:rFonts w:eastAsia="Times New Roman"/>
                <w:noProof/>
              </w:rPr>
            </w:pPr>
            <w:r>
              <w:rPr>
                <w:noProof/>
              </w:rPr>
              <w:t>T2</w:t>
            </w:r>
          </w:p>
        </w:tc>
        <w:tc>
          <w:tcPr>
            <w:tcW w:w="673" w:type="dxa"/>
            <w:tcBorders>
              <w:top w:val="single" w:sz="4" w:space="0" w:color="auto"/>
              <w:left w:val="nil"/>
              <w:bottom w:val="single" w:sz="4" w:space="0" w:color="auto"/>
              <w:right w:val="single" w:sz="4" w:space="0" w:color="auto"/>
            </w:tcBorders>
            <w:shd w:val="clear" w:color="auto" w:fill="C6EFCE"/>
            <w:noWrap/>
          </w:tcPr>
          <w:p w14:paraId="0D95C82A" w14:textId="77777777" w:rsidR="00A00259" w:rsidRDefault="00371282">
            <w:pPr>
              <w:pStyle w:val="P68B1DB1-Normal12"/>
              <w:spacing w:after="0" w:line="240" w:lineRule="auto"/>
              <w:rPr>
                <w:rFonts w:eastAsia="Times New Roman"/>
                <w:noProof/>
              </w:rPr>
            </w:pPr>
            <w:r>
              <w:rPr>
                <w:noProof/>
              </w:rPr>
              <w:t>2024</w:t>
            </w:r>
          </w:p>
        </w:tc>
        <w:tc>
          <w:tcPr>
            <w:tcW w:w="2965" w:type="dxa"/>
            <w:tcBorders>
              <w:top w:val="single" w:sz="4" w:space="0" w:color="auto"/>
              <w:left w:val="nil"/>
              <w:bottom w:val="single" w:sz="4" w:space="0" w:color="auto"/>
              <w:right w:val="single" w:sz="4" w:space="0" w:color="auto"/>
            </w:tcBorders>
            <w:shd w:val="clear" w:color="auto" w:fill="C6EFCE"/>
            <w:noWrap/>
          </w:tcPr>
          <w:p w14:paraId="462C99BC" w14:textId="77777777" w:rsidR="00A00259" w:rsidRDefault="00371282">
            <w:pPr>
              <w:pStyle w:val="P68B1DB1-Normal12"/>
              <w:spacing w:after="0" w:line="240" w:lineRule="auto"/>
              <w:rPr>
                <w:rFonts w:eastAsia="Times New Roman"/>
                <w:noProof/>
              </w:rPr>
            </w:pPr>
            <w:r>
              <w:rPr>
                <w:noProof/>
              </w:rPr>
              <w:t>Suite à l'adoption des décisions officielles du Conseil d'administration du Cadastre hellénique, la transition vers la nouvelle structure organisationnelle du Cadastre hellénique est achevée. Plus précisément, i) les bureaux cadastraux restants pour les régions de Thessalonique, de Crète et du Dodécanèse sont ouverts et opérationnels; ii) les 18 autres succursales sont ouvertes et opérationnelles; et iii) les 223 anciens bureaux hypothécaires restants sont fermés.</w:t>
            </w:r>
          </w:p>
        </w:tc>
      </w:tr>
      <w:tr w:rsidR="00A00259" w14:paraId="107F5F9D"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3EF9F6B7" w14:textId="77777777" w:rsidR="00A00259" w:rsidRDefault="00371282">
            <w:pPr>
              <w:pStyle w:val="P68B1DB1-Normal12"/>
              <w:spacing w:after="0" w:line="240" w:lineRule="auto"/>
              <w:rPr>
                <w:rFonts w:eastAsia="Times New Roman"/>
                <w:noProof/>
              </w:rPr>
            </w:pPr>
            <w:r>
              <w:rPr>
                <w:noProof/>
              </w:rPr>
              <w:t>344</w:t>
            </w:r>
          </w:p>
        </w:tc>
        <w:tc>
          <w:tcPr>
            <w:tcW w:w="2560" w:type="dxa"/>
            <w:tcBorders>
              <w:top w:val="single" w:sz="4" w:space="0" w:color="auto"/>
              <w:left w:val="nil"/>
              <w:bottom w:val="single" w:sz="4" w:space="0" w:color="auto"/>
              <w:right w:val="single" w:sz="4" w:space="0" w:color="auto"/>
            </w:tcBorders>
            <w:shd w:val="clear" w:color="auto" w:fill="C6EFCE"/>
            <w:noWrap/>
          </w:tcPr>
          <w:p w14:paraId="167A8E98" w14:textId="77777777" w:rsidR="00A00259" w:rsidRDefault="00371282">
            <w:pPr>
              <w:pStyle w:val="P68B1DB1-Normal12"/>
              <w:spacing w:after="0" w:line="240" w:lineRule="auto"/>
              <w:rPr>
                <w:rFonts w:eastAsia="Times New Roman"/>
                <w:noProof/>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- 16986_Achèvement du cadastre national</w:t>
            </w:r>
          </w:p>
        </w:tc>
        <w:tc>
          <w:tcPr>
            <w:tcW w:w="1063" w:type="dxa"/>
            <w:tcBorders>
              <w:top w:val="single" w:sz="4" w:space="0" w:color="auto"/>
              <w:left w:val="nil"/>
              <w:bottom w:val="single" w:sz="4" w:space="0" w:color="auto"/>
              <w:right w:val="single" w:sz="4" w:space="0" w:color="auto"/>
            </w:tcBorders>
            <w:shd w:val="clear" w:color="auto" w:fill="C6EFCE"/>
            <w:noWrap/>
          </w:tcPr>
          <w:p w14:paraId="76BD14F6" w14:textId="77777777" w:rsidR="00A00259" w:rsidRDefault="00371282">
            <w:pPr>
              <w:pStyle w:val="P68B1DB1-Normal12"/>
              <w:spacing w:after="0" w:line="240" w:lineRule="auto"/>
              <w:rPr>
                <w:rFonts w:eastAsia="Times New Roman"/>
                <w:noProof/>
              </w:rPr>
            </w:pPr>
            <w:r>
              <w:rPr>
                <w:noProof/>
              </w:rPr>
              <w:t>Objectif</w:t>
            </w:r>
          </w:p>
        </w:tc>
        <w:tc>
          <w:tcPr>
            <w:tcW w:w="2034" w:type="dxa"/>
            <w:tcBorders>
              <w:top w:val="single" w:sz="4" w:space="0" w:color="auto"/>
              <w:left w:val="nil"/>
              <w:bottom w:val="single" w:sz="4" w:space="0" w:color="auto"/>
              <w:right w:val="single" w:sz="4" w:space="0" w:color="auto"/>
            </w:tcBorders>
            <w:shd w:val="clear" w:color="auto" w:fill="C6EFCE"/>
            <w:noWrap/>
          </w:tcPr>
          <w:p w14:paraId="4EDA26F7" w14:textId="77777777" w:rsidR="00A00259" w:rsidRDefault="00371282">
            <w:pPr>
              <w:pStyle w:val="P68B1DB1-Normal12"/>
              <w:spacing w:after="0" w:line="240" w:lineRule="auto"/>
              <w:rPr>
                <w:rFonts w:eastAsia="Times New Roman"/>
                <w:noProof/>
              </w:rPr>
            </w:pPr>
            <w:r>
              <w:rPr>
                <w:noProof/>
              </w:rPr>
              <w:t>Cartographie cadastrale – Achèvement</w:t>
            </w:r>
          </w:p>
        </w:tc>
        <w:tc>
          <w:tcPr>
            <w:tcW w:w="1975" w:type="dxa"/>
            <w:tcBorders>
              <w:top w:val="single" w:sz="4" w:space="0" w:color="auto"/>
              <w:left w:val="nil"/>
              <w:bottom w:val="single" w:sz="4" w:space="0" w:color="auto"/>
              <w:right w:val="single" w:sz="4" w:space="0" w:color="auto"/>
            </w:tcBorders>
            <w:shd w:val="clear" w:color="auto" w:fill="C6EFCE"/>
            <w:noWrap/>
          </w:tcPr>
          <w:p w14:paraId="2215A67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777" w:type="dxa"/>
            <w:tcBorders>
              <w:top w:val="single" w:sz="4" w:space="0" w:color="auto"/>
              <w:left w:val="nil"/>
              <w:bottom w:val="single" w:sz="4" w:space="0" w:color="auto"/>
              <w:right w:val="single" w:sz="4" w:space="0" w:color="auto"/>
            </w:tcBorders>
            <w:shd w:val="clear" w:color="auto" w:fill="C6EFCE"/>
            <w:noWrap/>
          </w:tcPr>
          <w:p w14:paraId="33A05A82" w14:textId="77777777" w:rsidR="00A00259" w:rsidRDefault="00371282">
            <w:pPr>
              <w:pStyle w:val="P68B1DB1-Normal12"/>
              <w:spacing w:after="0" w:line="240" w:lineRule="auto"/>
              <w:rPr>
                <w:rFonts w:eastAsia="Times New Roman"/>
                <w:noProof/>
              </w:rPr>
            </w:pPr>
            <w:r>
              <w:rPr>
                <w:noProof/>
              </w:rPr>
              <w:t xml:space="preserve">% du total des droits de propriété téléchargés pour affichage public, conformément aux dispositions de la loi 2308/1995 </w:t>
            </w:r>
          </w:p>
        </w:tc>
        <w:tc>
          <w:tcPr>
            <w:tcW w:w="1003" w:type="dxa"/>
            <w:tcBorders>
              <w:top w:val="single" w:sz="4" w:space="0" w:color="auto"/>
              <w:left w:val="nil"/>
              <w:bottom w:val="single" w:sz="4" w:space="0" w:color="auto"/>
              <w:right w:val="single" w:sz="4" w:space="0" w:color="auto"/>
            </w:tcBorders>
            <w:shd w:val="clear" w:color="auto" w:fill="C6EFCE"/>
            <w:noWrap/>
          </w:tcPr>
          <w:p w14:paraId="29BCEBF1" w14:textId="77777777" w:rsidR="00A00259" w:rsidRDefault="00371282">
            <w:pPr>
              <w:pStyle w:val="P68B1DB1-Normal12"/>
              <w:spacing w:after="0" w:line="240" w:lineRule="auto"/>
              <w:rPr>
                <w:rFonts w:eastAsia="Times New Roman"/>
                <w:noProof/>
              </w:rPr>
            </w:pPr>
            <w:r>
              <w:rPr>
                <w:noProof/>
              </w:rPr>
              <w:t>95%</w:t>
            </w:r>
          </w:p>
        </w:tc>
        <w:tc>
          <w:tcPr>
            <w:tcW w:w="876" w:type="dxa"/>
            <w:tcBorders>
              <w:top w:val="single" w:sz="4" w:space="0" w:color="auto"/>
              <w:left w:val="nil"/>
              <w:bottom w:val="single" w:sz="4" w:space="0" w:color="auto"/>
              <w:right w:val="single" w:sz="4" w:space="0" w:color="auto"/>
            </w:tcBorders>
            <w:shd w:val="clear" w:color="auto" w:fill="C6EFCE"/>
            <w:noWrap/>
          </w:tcPr>
          <w:p w14:paraId="4FB457AA" w14:textId="77777777" w:rsidR="00A00259" w:rsidRDefault="00371282">
            <w:pPr>
              <w:pStyle w:val="P68B1DB1-Normal12"/>
              <w:spacing w:after="0" w:line="240" w:lineRule="auto"/>
              <w:rPr>
                <w:rFonts w:eastAsia="Times New Roman"/>
                <w:noProof/>
              </w:rPr>
            </w:pPr>
            <w:r>
              <w:rPr>
                <w:noProof/>
              </w:rPr>
              <w:t>100%</w:t>
            </w:r>
          </w:p>
        </w:tc>
        <w:tc>
          <w:tcPr>
            <w:tcW w:w="846" w:type="dxa"/>
            <w:tcBorders>
              <w:top w:val="single" w:sz="4" w:space="0" w:color="auto"/>
              <w:left w:val="nil"/>
              <w:bottom w:val="single" w:sz="4" w:space="0" w:color="auto"/>
              <w:right w:val="single" w:sz="4" w:space="0" w:color="auto"/>
            </w:tcBorders>
            <w:shd w:val="clear" w:color="auto" w:fill="C6EFCE"/>
            <w:noWrap/>
          </w:tcPr>
          <w:p w14:paraId="5493E9CD" w14:textId="77777777" w:rsidR="00A00259" w:rsidRDefault="00371282">
            <w:pPr>
              <w:pStyle w:val="P68B1DB1-Normal12"/>
              <w:spacing w:after="0" w:line="240" w:lineRule="auto"/>
              <w:rPr>
                <w:rFonts w:eastAsia="Times New Roman"/>
                <w:noProof/>
              </w:rPr>
            </w:pPr>
            <w:r>
              <w:rPr>
                <w:noProof/>
              </w:rPr>
              <w:t>T2</w:t>
            </w:r>
          </w:p>
        </w:tc>
        <w:tc>
          <w:tcPr>
            <w:tcW w:w="673" w:type="dxa"/>
            <w:tcBorders>
              <w:top w:val="single" w:sz="4" w:space="0" w:color="auto"/>
              <w:left w:val="nil"/>
              <w:bottom w:val="single" w:sz="4" w:space="0" w:color="auto"/>
              <w:right w:val="single" w:sz="4" w:space="0" w:color="auto"/>
            </w:tcBorders>
            <w:shd w:val="clear" w:color="auto" w:fill="C6EFCE"/>
            <w:noWrap/>
          </w:tcPr>
          <w:p w14:paraId="497D3D88" w14:textId="77777777" w:rsidR="00A00259" w:rsidRDefault="00371282">
            <w:pPr>
              <w:pStyle w:val="P68B1DB1-Normal12"/>
              <w:spacing w:after="0" w:line="240" w:lineRule="auto"/>
              <w:rPr>
                <w:rFonts w:eastAsia="Times New Roman"/>
                <w:noProof/>
              </w:rPr>
            </w:pPr>
            <w:r>
              <w:rPr>
                <w:noProof/>
              </w:rPr>
              <w:t>2025</w:t>
            </w:r>
          </w:p>
        </w:tc>
        <w:tc>
          <w:tcPr>
            <w:tcW w:w="2965" w:type="dxa"/>
            <w:tcBorders>
              <w:top w:val="single" w:sz="4" w:space="0" w:color="auto"/>
              <w:left w:val="nil"/>
              <w:bottom w:val="single" w:sz="4" w:space="0" w:color="auto"/>
              <w:right w:val="single" w:sz="4" w:space="0" w:color="auto"/>
            </w:tcBorders>
            <w:shd w:val="clear" w:color="auto" w:fill="C6EFCE"/>
            <w:noWrap/>
          </w:tcPr>
          <w:p w14:paraId="64AE5F00" w14:textId="77777777" w:rsidR="00A00259" w:rsidRDefault="00371282">
            <w:pPr>
              <w:pStyle w:val="P68B1DB1-Normal12"/>
              <w:spacing w:after="0" w:line="240" w:lineRule="auto"/>
              <w:rPr>
                <w:rFonts w:eastAsia="Times New Roman"/>
                <w:noProof/>
              </w:rPr>
            </w:pPr>
            <w:r>
              <w:rPr>
                <w:noProof/>
              </w:rPr>
              <w:t>La cartographie cadastrale des droits de propriété en Grèce est achevée, tous les droits de propriété sur l’ensemble du territoire grec ayant atteint le stade de l’affichage public.</w:t>
            </w:r>
          </w:p>
        </w:tc>
      </w:tr>
    </w:tbl>
    <w:p w14:paraId="0183D0FF" w14:textId="77777777" w:rsidR="00A00259" w:rsidRDefault="00A00259">
      <w:pPr>
        <w:spacing w:before="120" w:after="120" w:line="240" w:lineRule="auto"/>
        <w:ind w:left="709"/>
        <w:jc w:val="both"/>
        <w:rPr>
          <w:rFonts w:ascii="Times New Roman" w:hAnsi="Times New Roman" w:cs="Times New Roman"/>
          <w:noProof/>
          <w:sz w:val="24"/>
          <w:szCs w:val="24"/>
        </w:rPr>
      </w:pPr>
    </w:p>
    <w:p w14:paraId="38F57AA3" w14:textId="77777777" w:rsidR="00A00259" w:rsidRDefault="00A00259">
      <w:pPr>
        <w:spacing w:before="120" w:after="120" w:line="240" w:lineRule="auto"/>
        <w:ind w:left="709"/>
        <w:jc w:val="both"/>
        <w:rPr>
          <w:rFonts w:ascii="Times New Roman" w:hAnsi="Times New Roman" w:cs="Times New Roman"/>
          <w:noProof/>
          <w:sz w:val="24"/>
        </w:rPr>
        <w:sectPr w:rsidR="00A00259">
          <w:headerReference w:type="even" r:id="rId288"/>
          <w:headerReference w:type="default" r:id="rId289"/>
          <w:footerReference w:type="even" r:id="rId290"/>
          <w:footerReference w:type="default" r:id="rId291"/>
          <w:headerReference w:type="first" r:id="rId292"/>
          <w:footerReference w:type="first" r:id="rId293"/>
          <w:pgSz w:w="16839" w:h="11907" w:orient="landscape"/>
          <w:pgMar w:top="1134" w:right="1134" w:bottom="1134" w:left="1134" w:header="567" w:footer="567" w:gutter="0"/>
          <w:cols w:space="720"/>
          <w:docGrid w:linePitch="360"/>
        </w:sectPr>
      </w:pPr>
    </w:p>
    <w:p w14:paraId="3C6E9B4E" w14:textId="77777777" w:rsidR="00A00259" w:rsidRDefault="00371282">
      <w:pPr>
        <w:pStyle w:val="P68B1DB1-Normal17"/>
        <w:spacing w:before="120" w:after="120" w:line="240" w:lineRule="auto"/>
        <w:ind w:firstLine="6"/>
        <w:jc w:val="both"/>
        <w:outlineLvl w:val="3"/>
        <w:rPr>
          <w:rFonts w:cs="Times New Roman"/>
          <w:bCs/>
          <w:noProof/>
        </w:rPr>
      </w:pPr>
      <w:r>
        <w:rPr>
          <w:noProof/>
        </w:rPr>
        <w:t>N. Élément 4.3: AMÉLIORER L'EFFICACITÉ DU SYSTÈME DE JUSTICE</w:t>
      </w:r>
    </w:p>
    <w:p w14:paraId="7A48C757" w14:textId="77777777" w:rsidR="00A00259" w:rsidRDefault="00371282">
      <w:pPr>
        <w:pStyle w:val="P68B1DB1-Normal5"/>
        <w:spacing w:before="120" w:after="120" w:line="240" w:lineRule="auto"/>
        <w:jc w:val="both"/>
        <w:rPr>
          <w:rFonts w:cs="Times New Roman"/>
          <w:noProof/>
        </w:rPr>
      </w:pPr>
      <w:r>
        <w:rPr>
          <w:noProof/>
        </w:rPr>
        <w:t>Ce volet du plan grec pour la reprise et la résilience comprend un certain nombre de réformes de grande ampleur ainsi que des investissements visant à renforcer l’efficacité et l’efficience du système judiciaire grec en introduisant une révision ambitieuse de la carte judiciaire du pays, en répondant aux besoins en infrastructures, en adoptant des mesures visant à accroître les capacités numériques du système judiciaire, en modernisant la fonction des tribunaux, en mettant en place une police judiciaire et en élargissant et en améliorant l’éducation (initiale et permanente) des magistrats et du personnel de bureau. Les mesures devraient contribuer à relever les défis posés par les recommandations par pays concernant les investissements publics et privés (recommandation par pays no 2 2019, recommandation par pays no 3 2020) et les réformes structurelles visant à améliorer le fonctionnement de l’économie (recommandation par pays no 4 2020). 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551443CC" w14:textId="77777777" w:rsidR="00A00259" w:rsidRDefault="00371282">
      <w:pPr>
        <w:pStyle w:val="P68B1DB1-Normal6"/>
        <w:spacing w:before="120" w:after="120" w:line="240" w:lineRule="auto"/>
        <w:jc w:val="both"/>
        <w:rPr>
          <w:rFonts w:cs="Times New Roman"/>
          <w:bCs/>
          <w:i/>
          <w:iCs/>
          <w:noProof/>
          <w:color w:val="4F81BD"/>
        </w:rPr>
      </w:pPr>
      <w:r>
        <w:rPr>
          <w:noProof/>
        </w:rPr>
        <w:t>N.1. Description des réformes et des investissements pour le soutien financier non remboursable</w:t>
      </w:r>
    </w:p>
    <w:p w14:paraId="0579D83B" w14:textId="208E1D1A" w:rsidR="00A00259" w:rsidRDefault="00371282">
      <w:pPr>
        <w:pStyle w:val="P68B1DB1-Normal7"/>
        <w:spacing w:before="120" w:after="120" w:line="240" w:lineRule="auto"/>
        <w:jc w:val="both"/>
        <w:rPr>
          <w:rFonts w:cs="Times New Roman"/>
          <w:noProof/>
        </w:rPr>
      </w:pPr>
      <w:r>
        <w:rPr>
          <w:b/>
          <w:noProof/>
        </w:rPr>
        <w:t xml:space="preserve">Investissement: </w:t>
      </w:r>
      <w:r>
        <w:rPr>
          <w:noProof/>
        </w:rPr>
        <w:t xml:space="preserve">Nouveaux bâtiments judiciaires </w:t>
      </w:r>
      <w:r>
        <w:rPr>
          <w:noProof/>
          <w:color w:val="000000" w:themeColor="text1"/>
        </w:rPr>
        <w:t>et rénovations</w:t>
      </w:r>
      <w:r>
        <w:rPr>
          <w:noProof/>
        </w:rPr>
        <w:t xml:space="preserve"> (mesure ID 16292)</w:t>
      </w:r>
    </w:p>
    <w:p w14:paraId="2E691139" w14:textId="5A8ACCD8" w:rsidR="00A00259" w:rsidRDefault="00371282">
      <w:pPr>
        <w:pStyle w:val="P68B1DB1-Normal5"/>
        <w:spacing w:before="120" w:after="120" w:line="240" w:lineRule="auto"/>
        <w:jc w:val="both"/>
        <w:rPr>
          <w:rFonts w:cs="Times New Roman"/>
          <w:noProof/>
        </w:rPr>
      </w:pPr>
      <w:r>
        <w:rPr>
          <w:noProof/>
        </w:rPr>
        <w:t xml:space="preserve">L’objectif de la mesure est de rendre le système judiciaire plus efficace en améliorant les installations de construction judiciaire. La mesure consiste en un investissement pour la construction et la rénovation de bâtiments judiciaires non concernés par la révision de la carte judiciaire et la délivrance d’extraits d’identité électronique pour les bâtiments détenus par le pouvoir judiciaire ou accordés à celui-ci par l’intermédiaire de la plateforme d’identité électronique. </w:t>
      </w:r>
    </w:p>
    <w:p w14:paraId="0FC67D9E"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Transformation numérique de la justice (Justice en ligne) (mesure ID 16727)</w:t>
      </w:r>
    </w:p>
    <w:p w14:paraId="4CCDDBEE" w14:textId="77777777" w:rsidR="00A00259" w:rsidRDefault="00371282">
      <w:pPr>
        <w:pStyle w:val="P68B1DB1-Normal5"/>
        <w:spacing w:before="120" w:after="120" w:line="240" w:lineRule="auto"/>
        <w:jc w:val="both"/>
        <w:rPr>
          <w:rFonts w:cs="Times New Roman"/>
          <w:noProof/>
        </w:rPr>
      </w:pPr>
      <w:r>
        <w:rPr>
          <w:noProof/>
        </w:rPr>
        <w:t xml:space="preserve">L’objectif de la réforme est de fournir aux juges et au personnel judiciaire des outils et une infrastructure informatiques permettant de mieux gérer la charge de travail et d’accélérer l’administration de la justice. La mesure consiste à numériser les documents, à améliorer le système de tenue des registres des juridictions civiles et pénales et à numériser les juridictions civiles et pénales, la cour des comptes et le casier judiciaire national. </w:t>
      </w:r>
    </w:p>
    <w:p w14:paraId="107B28E2"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Compétences et compétences numériques des juges et du personnel judiciaire (personnel judiciaire) (mesure ID 16733)</w:t>
      </w:r>
    </w:p>
    <w:p w14:paraId="5FDC1D66" w14:textId="77777777" w:rsidR="00A00259" w:rsidRDefault="00371282">
      <w:pPr>
        <w:pStyle w:val="P68B1DB1-Normal5"/>
        <w:spacing w:before="120" w:after="120" w:line="240" w:lineRule="auto"/>
        <w:jc w:val="both"/>
        <w:rPr>
          <w:noProof/>
        </w:rPr>
      </w:pPr>
      <w:r>
        <w:rPr>
          <w:noProof/>
        </w:rPr>
        <w:t xml:space="preserve">L'École nationale de la magistrature est soumise à un certain nombre de changements institutionnels en ce qui concerne sa fonction et son programme éducatif; ses critères de sélection des candidats seront également révisés, afin d’offrir un environnement d’études plus sélectif et compétitif, tout en admettant d’autres catégories d’étudiants (juges des tribunaux de première instance et juges des cours d’audit); il propose également des cours supplémentaires visant à fournir de nouvelles compétences, en mettant l’accent sur les compétences managériales et numériques, ainsi que sur des sujets pertinents pour l’exercice des fonctions judiciaires, conformément à la loi 4871/2021; la réforme comprend la fourniture d’une formation obligatoire tout au long de la vie aux juges sur des sujets essentiels à l’exercice de leurs fonctions par des formateurs également sélectionnés par l’École nationale des juges conformément à la loi 4871/2021. Enfin, un nouveau programme éducatif pour les greffiers judiciaires sera créé au sein de l’École nationale des juges, afin d’offrir une formation et une formation tout au long de la vie au personnel de bureau sur des sujets essentiels à l’exercice de ses fonctions, à la gestion et à l’organisation de son service, aux compétences numériques, au droit procédural et au droit matériel. </w:t>
      </w:r>
    </w:p>
    <w:p w14:paraId="1A60ADD8" w14:textId="77777777" w:rsidR="00A00259" w:rsidRDefault="00371282">
      <w:pPr>
        <w:pStyle w:val="P68B1DB1-Normal5"/>
        <w:spacing w:before="120" w:after="120" w:line="240" w:lineRule="auto"/>
        <w:jc w:val="both"/>
        <w:rPr>
          <w:noProof/>
        </w:rPr>
      </w:pPr>
      <w:r>
        <w:rPr>
          <w:noProof/>
        </w:rPr>
        <w:t>La mise en œuvre de la réforme est achevée au plus tard le 31 décembre 2024.</w:t>
      </w:r>
    </w:p>
    <w:p w14:paraId="09F9FE81" w14:textId="77777777" w:rsidR="00A00259" w:rsidRDefault="00371282">
      <w:pPr>
        <w:pStyle w:val="P68B1DB1-Normal5"/>
        <w:spacing w:before="120" w:after="120" w:line="240" w:lineRule="auto"/>
        <w:jc w:val="both"/>
        <w:rPr>
          <w:noProof/>
        </w:rPr>
      </w:pPr>
      <w:r>
        <w:rPr>
          <w:noProof/>
        </w:rPr>
        <w:t>Réforme: Accélérer l'administration de la justice (mesure ID 16575)</w:t>
      </w:r>
    </w:p>
    <w:p w14:paraId="56A555D5" w14:textId="02FABB89" w:rsidR="00A00259" w:rsidRDefault="00371282">
      <w:pPr>
        <w:pStyle w:val="P68B1DB1-Normal7"/>
        <w:spacing w:before="120" w:after="120" w:line="240" w:lineRule="auto"/>
        <w:jc w:val="both"/>
        <w:rPr>
          <w:noProof/>
        </w:rPr>
      </w:pPr>
      <w:r>
        <w:rPr>
          <w:noProof/>
        </w:rPr>
        <w:t>L'objectif de la mesure est d'accélérer l'administration de la justice. La mesure consiste à réviser la carte judiciaire civile/pénale et administrative en créant, abolissant ou redistribuant des tribunaux dans tous les districts judiciaires, en dispensant une formation sur le règlement extrajudiciaire des litiges aux professionnels du droit et/ou aux médiateurs et en mettant en place un système numérique unifié pour les centres de médiation.</w:t>
      </w:r>
    </w:p>
    <w:p w14:paraId="1FDAA459" w14:textId="77777777" w:rsidR="00A00259" w:rsidRDefault="00A00259">
      <w:pPr>
        <w:spacing w:before="120" w:after="120" w:line="240" w:lineRule="auto"/>
        <w:ind w:left="709"/>
        <w:jc w:val="both"/>
        <w:rPr>
          <w:rFonts w:ascii="Times New Roman" w:hAnsi="Times New Roman" w:cs="Times New Roman"/>
          <w:b/>
          <w:bCs/>
          <w:noProof/>
          <w:sz w:val="24"/>
          <w:u w:val="single"/>
        </w:rPr>
      </w:pPr>
    </w:p>
    <w:p w14:paraId="21DFA740" w14:textId="77777777" w:rsidR="00A00259" w:rsidRDefault="00A00259">
      <w:pPr>
        <w:spacing w:before="120" w:after="120" w:line="240" w:lineRule="auto"/>
        <w:ind w:left="709"/>
        <w:jc w:val="both"/>
        <w:rPr>
          <w:rFonts w:ascii="Times New Roman" w:hAnsi="Times New Roman" w:cs="Times New Roman"/>
          <w:noProof/>
          <w:sz w:val="24"/>
        </w:rPr>
        <w:sectPr w:rsidR="00A00259">
          <w:headerReference w:type="even" r:id="rId294"/>
          <w:headerReference w:type="default" r:id="rId295"/>
          <w:footerReference w:type="even" r:id="rId296"/>
          <w:footerReference w:type="default" r:id="rId297"/>
          <w:headerReference w:type="first" r:id="rId298"/>
          <w:footerReference w:type="first" r:id="rId299"/>
          <w:pgSz w:w="11906" w:h="16838"/>
          <w:pgMar w:top="1134" w:right="1134" w:bottom="1134" w:left="1134" w:header="567" w:footer="567" w:gutter="0"/>
          <w:cols w:space="708"/>
          <w:docGrid w:linePitch="360"/>
        </w:sectPr>
      </w:pPr>
    </w:p>
    <w:p w14:paraId="1C200F94" w14:textId="77777777" w:rsidR="00A00259" w:rsidRDefault="00371282">
      <w:pPr>
        <w:pStyle w:val="P68B1DB1-Normal6"/>
        <w:spacing w:before="120" w:after="120" w:line="240" w:lineRule="auto"/>
        <w:jc w:val="both"/>
        <w:rPr>
          <w:rFonts w:cs="Times New Roman"/>
          <w:bCs/>
          <w:noProof/>
        </w:rPr>
      </w:pPr>
      <w:r>
        <w:rPr>
          <w:noProof/>
        </w:rPr>
        <w:t>N.2. Étapes, cibles, indicateurs et calendrier pour le suivi et la mise en œuvre du soutien financier non remboursable</w:t>
      </w:r>
    </w:p>
    <w:p w14:paraId="150265A1" w14:textId="77777777" w:rsidR="00A00259" w:rsidRDefault="00371282">
      <w:pPr>
        <w:pStyle w:val="P68B1DB1-Normal9"/>
        <w:keepNext/>
        <w:keepLines/>
        <w:spacing w:before="40" w:after="0" w:line="240" w:lineRule="auto"/>
        <w:jc w:val="both"/>
        <w:outlineLvl w:val="4"/>
        <w:rPr>
          <w:rFonts w:eastAsia="Times New Roman"/>
          <w:noProof/>
        </w:rPr>
      </w:pPr>
      <w:r>
        <w:rPr>
          <w:noProof/>
        </w:rPr>
        <w:t>Groupe 21: Améliorer l'efficacité du système judiciaire</w:t>
      </w:r>
    </w:p>
    <w:p w14:paraId="18018232" w14:textId="77777777" w:rsidR="00A00259" w:rsidRDefault="00371282">
      <w:pPr>
        <w:pStyle w:val="P68B1DB1-Normal5"/>
        <w:spacing w:before="120" w:after="120" w:line="240" w:lineRule="auto"/>
        <w:jc w:val="both"/>
        <w:rPr>
          <w:rFonts w:cs="Times New Roman"/>
          <w:noProof/>
        </w:rPr>
      </w:pPr>
      <w:r>
        <w:rPr>
          <w:noProof/>
        </w:rPr>
        <w:t>Les mesures incluses dans ce groupe sont les suivantes:</w:t>
      </w:r>
    </w:p>
    <w:p w14:paraId="0CEC6E31" w14:textId="08A54E11" w:rsidR="00A00259" w:rsidRDefault="00371282">
      <w:pPr>
        <w:pStyle w:val="P68B1DB1-Normal7"/>
        <w:numPr>
          <w:ilvl w:val="0"/>
          <w:numId w:val="64"/>
        </w:numPr>
        <w:spacing w:before="120" w:after="0" w:line="240" w:lineRule="auto"/>
        <w:jc w:val="both"/>
        <w:rPr>
          <w:rFonts w:cs="Times New Roman"/>
          <w:noProof/>
        </w:rPr>
      </w:pPr>
      <w:r>
        <w:rPr>
          <w:noProof/>
        </w:rPr>
        <w:t>Nouveaux bâtiments judiciaires et rénovations (ID: 16292)</w:t>
      </w:r>
    </w:p>
    <w:p w14:paraId="654BFFDA" w14:textId="77777777" w:rsidR="00A00259" w:rsidRDefault="00371282">
      <w:pPr>
        <w:pStyle w:val="P68B1DB1-Normal5"/>
        <w:numPr>
          <w:ilvl w:val="0"/>
          <w:numId w:val="64"/>
        </w:numPr>
        <w:spacing w:before="120" w:after="0" w:line="240" w:lineRule="auto"/>
        <w:jc w:val="both"/>
        <w:rPr>
          <w:rFonts w:cs="Times New Roman"/>
          <w:noProof/>
        </w:rPr>
      </w:pPr>
      <w:r>
        <w:rPr>
          <w:noProof/>
        </w:rPr>
        <w:t>Transformation numérique de la justice (Justice en ligne) (ID: 16727)</w:t>
      </w:r>
    </w:p>
    <w:p w14:paraId="2FA334EC" w14:textId="77777777" w:rsidR="00A00259" w:rsidRDefault="00371282">
      <w:pPr>
        <w:pStyle w:val="P68B1DB1-Normal5"/>
        <w:numPr>
          <w:ilvl w:val="0"/>
          <w:numId w:val="64"/>
        </w:numPr>
        <w:spacing w:before="120" w:after="120" w:line="240" w:lineRule="auto"/>
        <w:jc w:val="both"/>
        <w:rPr>
          <w:rFonts w:cs="Times New Roman"/>
          <w:noProof/>
        </w:rPr>
      </w:pPr>
      <w:r>
        <w:rPr>
          <w:noProof/>
        </w:rPr>
        <w:t>Compétences et compétences numériques des juges et du personnel judiciaire (personnel judiciaire) (ID: 16733)</w:t>
      </w:r>
    </w:p>
    <w:p w14:paraId="23321CB3" w14:textId="77777777" w:rsidR="00A00259" w:rsidRDefault="00371282">
      <w:pPr>
        <w:pStyle w:val="P68B1DB1-Normal5"/>
        <w:numPr>
          <w:ilvl w:val="0"/>
          <w:numId w:val="64"/>
        </w:numPr>
        <w:spacing w:before="120" w:after="120" w:line="240" w:lineRule="auto"/>
        <w:jc w:val="both"/>
        <w:rPr>
          <w:rFonts w:cs="Times New Roman"/>
          <w:noProof/>
        </w:rPr>
      </w:pPr>
      <w:r>
        <w:rPr>
          <w:noProof/>
        </w:rPr>
        <w:t>Accélérer l'administration de la justice (ID: 16575)</w:t>
      </w:r>
    </w:p>
    <w:tbl>
      <w:tblPr>
        <w:tblW w:w="15730" w:type="dxa"/>
        <w:jc w:val="center"/>
        <w:tblLook w:val="04A0" w:firstRow="1" w:lastRow="0" w:firstColumn="1" w:lastColumn="0" w:noHBand="0" w:noVBand="1"/>
      </w:tblPr>
      <w:tblGrid>
        <w:gridCol w:w="592"/>
        <w:gridCol w:w="8"/>
        <w:gridCol w:w="1968"/>
        <w:gridCol w:w="1424"/>
        <w:gridCol w:w="1408"/>
        <w:gridCol w:w="1552"/>
        <w:gridCol w:w="992"/>
        <w:gridCol w:w="936"/>
        <w:gridCol w:w="846"/>
        <w:gridCol w:w="986"/>
        <w:gridCol w:w="706"/>
        <w:gridCol w:w="4885"/>
      </w:tblGrid>
      <w:tr w:rsidR="00A00259" w14:paraId="60FACD44" w14:textId="77777777">
        <w:trPr>
          <w:trHeight w:val="927"/>
          <w:tblHeader/>
          <w:jc w:val="center"/>
        </w:trPr>
        <w:tc>
          <w:tcPr>
            <w:tcW w:w="600"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483C622" w14:textId="77777777" w:rsidR="00A00259" w:rsidRDefault="00371282">
            <w:pPr>
              <w:pStyle w:val="P68B1DB1-Normal15"/>
              <w:spacing w:after="0" w:line="240" w:lineRule="auto"/>
              <w:jc w:val="center"/>
              <w:rPr>
                <w:rFonts w:eastAsia="Times New Roman"/>
                <w:bCs/>
                <w:noProof/>
              </w:rPr>
            </w:pPr>
            <w:r>
              <w:rPr>
                <w:noProof/>
              </w:rPr>
              <w:t xml:space="preserve">Seq. </w:t>
            </w:r>
            <w:r>
              <w:rPr>
                <w:noProof/>
              </w:rPr>
              <w:br/>
              <w:t>Non.</w:t>
            </w:r>
          </w:p>
        </w:tc>
        <w:tc>
          <w:tcPr>
            <w:tcW w:w="19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E54EEA6"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B545082"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3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A1953E"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5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E75BD8"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243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FBB2BBB" w14:textId="77777777" w:rsidR="00A00259" w:rsidRDefault="00371282">
            <w:pPr>
              <w:pStyle w:val="P68B1DB1-Normal10"/>
              <w:spacing w:after="0" w:line="240" w:lineRule="auto"/>
              <w:jc w:val="center"/>
              <w:rPr>
                <w:rFonts w:eastAsia="Times New Roman" w:cs="Times New Roman"/>
                <w:bCs/>
                <w:noProof/>
                <w:szCs w:val="18"/>
              </w:rPr>
            </w:pPr>
            <w:r>
              <w:rPr>
                <w:noProof/>
              </w:rPr>
              <w:t>Indicateurs quantitatifs (pour les objectifs)</w:t>
            </w:r>
          </w:p>
        </w:tc>
        <w:tc>
          <w:tcPr>
            <w:tcW w:w="1468"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A89A2F6" w14:textId="77777777" w:rsidR="00A00259" w:rsidRDefault="00371282">
            <w:pPr>
              <w:pStyle w:val="P68B1DB1-Normal10"/>
              <w:spacing w:after="0" w:line="240" w:lineRule="auto"/>
              <w:jc w:val="center"/>
              <w:rPr>
                <w:rFonts w:eastAsia="Times New Roman" w:cs="Times New Roman"/>
                <w:bCs/>
                <w:noProof/>
                <w:szCs w:val="18"/>
              </w:rPr>
            </w:pPr>
            <w:r>
              <w:rPr>
                <w:noProof/>
              </w:rPr>
              <w:t>Calendrier indicatif d'achèvement</w:t>
            </w:r>
          </w:p>
        </w:tc>
        <w:tc>
          <w:tcPr>
            <w:tcW w:w="48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3DA54A"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410E6EE3" w14:textId="77777777">
        <w:trPr>
          <w:trHeight w:val="629"/>
          <w:tblHeader/>
          <w:jc w:val="center"/>
        </w:trPr>
        <w:tc>
          <w:tcPr>
            <w:tcW w:w="600" w:type="dxa"/>
            <w:gridSpan w:val="2"/>
            <w:vMerge/>
            <w:tcBorders>
              <w:top w:val="single" w:sz="4" w:space="0" w:color="auto"/>
              <w:left w:val="single" w:sz="4" w:space="0" w:color="auto"/>
              <w:bottom w:val="single" w:sz="4" w:space="0" w:color="auto"/>
              <w:right w:val="single" w:sz="4" w:space="0" w:color="auto"/>
            </w:tcBorders>
            <w:hideMark/>
          </w:tcPr>
          <w:p w14:paraId="10A18B30" w14:textId="77777777" w:rsidR="00A00259" w:rsidRDefault="00A00259">
            <w:pPr>
              <w:spacing w:after="0" w:line="240" w:lineRule="auto"/>
              <w:rPr>
                <w:rFonts w:ascii="Times New Roman" w:eastAsia="Times New Roman" w:hAnsi="Times New Roman" w:cs="Times New Roman"/>
                <w:b/>
                <w:bCs/>
                <w:noProof/>
                <w:sz w:val="18"/>
                <w:szCs w:val="18"/>
              </w:rPr>
            </w:pPr>
          </w:p>
        </w:tc>
        <w:tc>
          <w:tcPr>
            <w:tcW w:w="1968" w:type="dxa"/>
            <w:vMerge/>
            <w:tcBorders>
              <w:top w:val="single" w:sz="4" w:space="0" w:color="auto"/>
              <w:left w:val="single" w:sz="4" w:space="0" w:color="auto"/>
              <w:bottom w:val="single" w:sz="4" w:space="0" w:color="auto"/>
              <w:right w:val="single" w:sz="4" w:space="0" w:color="auto"/>
            </w:tcBorders>
            <w:hideMark/>
          </w:tcPr>
          <w:p w14:paraId="20656FFB" w14:textId="77777777" w:rsidR="00A00259" w:rsidRDefault="00A00259">
            <w:pPr>
              <w:spacing w:after="0" w:line="240" w:lineRule="auto"/>
              <w:rPr>
                <w:rFonts w:ascii="Times New Roman" w:eastAsia="Times New Roman" w:hAnsi="Times New Roman" w:cs="Times New Roman"/>
                <w:b/>
                <w:bCs/>
                <w:noProof/>
                <w:sz w:val="18"/>
                <w:szCs w:val="18"/>
              </w:rPr>
            </w:pPr>
          </w:p>
        </w:tc>
        <w:tc>
          <w:tcPr>
            <w:tcW w:w="1424" w:type="dxa"/>
            <w:vMerge/>
            <w:tcBorders>
              <w:top w:val="single" w:sz="4" w:space="0" w:color="auto"/>
              <w:left w:val="single" w:sz="4" w:space="0" w:color="auto"/>
              <w:bottom w:val="single" w:sz="4" w:space="0" w:color="auto"/>
              <w:right w:val="single" w:sz="4" w:space="0" w:color="auto"/>
            </w:tcBorders>
            <w:hideMark/>
          </w:tcPr>
          <w:p w14:paraId="6E85A4DB" w14:textId="77777777" w:rsidR="00A00259" w:rsidRDefault="00A00259">
            <w:pPr>
              <w:spacing w:after="0" w:line="240" w:lineRule="auto"/>
              <w:rPr>
                <w:rFonts w:ascii="Times New Roman" w:eastAsia="Times New Roman" w:hAnsi="Times New Roman" w:cs="Times New Roman"/>
                <w:b/>
                <w:bCs/>
                <w:noProof/>
                <w:sz w:val="18"/>
                <w:szCs w:val="18"/>
              </w:rPr>
            </w:pPr>
          </w:p>
        </w:tc>
        <w:tc>
          <w:tcPr>
            <w:tcW w:w="1397" w:type="dxa"/>
            <w:vMerge/>
            <w:tcBorders>
              <w:top w:val="single" w:sz="4" w:space="0" w:color="auto"/>
              <w:left w:val="single" w:sz="4" w:space="0" w:color="auto"/>
              <w:bottom w:val="single" w:sz="4" w:space="0" w:color="auto"/>
              <w:right w:val="single" w:sz="4" w:space="0" w:color="auto"/>
            </w:tcBorders>
            <w:hideMark/>
          </w:tcPr>
          <w:p w14:paraId="18125A00" w14:textId="77777777" w:rsidR="00A00259" w:rsidRDefault="00A00259">
            <w:pPr>
              <w:spacing w:after="0" w:line="240" w:lineRule="auto"/>
              <w:rPr>
                <w:rFonts w:ascii="Times New Roman" w:eastAsia="Times New Roman" w:hAnsi="Times New Roman" w:cs="Times New Roman"/>
                <w:b/>
                <w:bCs/>
                <w:noProof/>
                <w:sz w:val="18"/>
                <w:szCs w:val="18"/>
              </w:rPr>
            </w:pPr>
          </w:p>
        </w:tc>
        <w:tc>
          <w:tcPr>
            <w:tcW w:w="1552" w:type="dxa"/>
            <w:vMerge/>
            <w:tcBorders>
              <w:top w:val="single" w:sz="4" w:space="0" w:color="auto"/>
              <w:left w:val="single" w:sz="4" w:space="0" w:color="auto"/>
              <w:bottom w:val="single" w:sz="4" w:space="0" w:color="auto"/>
              <w:right w:val="single" w:sz="4" w:space="0" w:color="auto"/>
            </w:tcBorders>
            <w:hideMark/>
          </w:tcPr>
          <w:p w14:paraId="13136FF8" w14:textId="77777777" w:rsidR="00A00259" w:rsidRDefault="00A00259">
            <w:pPr>
              <w:spacing w:after="0" w:line="240" w:lineRule="auto"/>
              <w:rPr>
                <w:rFonts w:ascii="Times New Roman" w:eastAsia="Times New Roman" w:hAnsi="Times New Roman" w:cs="Times New Roman"/>
                <w:b/>
                <w:bCs/>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BBB38E2"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8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882345C" w14:textId="77777777" w:rsidR="00A00259" w:rsidRDefault="00371282">
            <w:pPr>
              <w:pStyle w:val="P68B1DB1-Normal10"/>
              <w:spacing w:after="0" w:line="240" w:lineRule="auto"/>
              <w:jc w:val="center"/>
              <w:rPr>
                <w:rFonts w:eastAsia="Times New Roman" w:cs="Times New Roman"/>
                <w:bCs/>
                <w:noProof/>
                <w:szCs w:val="18"/>
              </w:rPr>
            </w:pPr>
            <w:r>
              <w:rPr>
                <w:noProof/>
              </w:rPr>
              <w:t>Données de référence</w:t>
            </w:r>
          </w:p>
        </w:tc>
        <w:tc>
          <w:tcPr>
            <w:tcW w:w="5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61F6373" w14:textId="77777777" w:rsidR="00A00259" w:rsidRDefault="00371282">
            <w:pPr>
              <w:pStyle w:val="P68B1DB1-Normal10"/>
              <w:spacing w:after="0" w:line="240" w:lineRule="auto"/>
              <w:jc w:val="center"/>
              <w:rPr>
                <w:rFonts w:eastAsia="Times New Roman" w:cs="Times New Roman"/>
                <w:bCs/>
                <w:noProof/>
                <w:szCs w:val="18"/>
              </w:rPr>
            </w:pPr>
            <w:r>
              <w:rPr>
                <w:noProof/>
              </w:rPr>
              <w:t>Objectif</w:t>
            </w:r>
          </w:p>
        </w:tc>
        <w:tc>
          <w:tcPr>
            <w:tcW w:w="84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D36E4D3"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62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F57FBE"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4885" w:type="dxa"/>
            <w:vMerge/>
            <w:tcBorders>
              <w:top w:val="single" w:sz="4" w:space="0" w:color="auto"/>
              <w:left w:val="single" w:sz="4" w:space="0" w:color="auto"/>
              <w:bottom w:val="single" w:sz="4" w:space="0" w:color="auto"/>
              <w:right w:val="single" w:sz="4" w:space="0" w:color="auto"/>
            </w:tcBorders>
            <w:hideMark/>
          </w:tcPr>
          <w:p w14:paraId="0E327711"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12CC0C3F"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61C0DEA4" w14:textId="77777777" w:rsidR="00A00259" w:rsidRDefault="00371282">
            <w:pPr>
              <w:pStyle w:val="P68B1DB1-Normal12"/>
              <w:spacing w:after="0" w:line="240" w:lineRule="auto"/>
              <w:rPr>
                <w:rFonts w:eastAsia="Times New Roman"/>
                <w:noProof/>
              </w:rPr>
            </w:pPr>
            <w:r>
              <w:rPr>
                <w:noProof/>
              </w:rPr>
              <w:t>222</w:t>
            </w:r>
          </w:p>
        </w:tc>
        <w:tc>
          <w:tcPr>
            <w:tcW w:w="1976" w:type="dxa"/>
            <w:gridSpan w:val="2"/>
            <w:tcBorders>
              <w:top w:val="single" w:sz="4" w:space="0" w:color="auto"/>
              <w:left w:val="single" w:sz="4" w:space="0" w:color="auto"/>
              <w:bottom w:val="single" w:sz="4" w:space="0" w:color="auto"/>
              <w:right w:val="single" w:sz="4" w:space="0" w:color="auto"/>
            </w:tcBorders>
            <w:shd w:val="clear" w:color="auto" w:fill="C6EFCE"/>
            <w:noWrap/>
          </w:tcPr>
          <w:p w14:paraId="3F2A3429" w14:textId="77777777" w:rsidR="00A00259" w:rsidRDefault="00371282">
            <w:pPr>
              <w:pStyle w:val="P68B1DB1-Normal12"/>
              <w:spacing w:after="0" w:line="240" w:lineRule="auto"/>
              <w:rPr>
                <w:rFonts w:eastAsia="Times New Roman"/>
                <w:noProof/>
              </w:rPr>
            </w:pPr>
            <w:r>
              <w:rPr>
                <w:noProof/>
              </w:rPr>
              <w:t>14 - 4.3. Améliorer l'efficacité du système judiciaire - 16292_Nouveaux bâtiments judiciaires</w:t>
            </w:r>
          </w:p>
        </w:tc>
        <w:tc>
          <w:tcPr>
            <w:tcW w:w="1424" w:type="dxa"/>
            <w:tcBorders>
              <w:top w:val="single" w:sz="4" w:space="0" w:color="auto"/>
              <w:left w:val="single" w:sz="4" w:space="0" w:color="auto"/>
              <w:bottom w:val="single" w:sz="4" w:space="0" w:color="auto"/>
              <w:right w:val="single" w:sz="4" w:space="0" w:color="auto"/>
            </w:tcBorders>
            <w:shd w:val="clear" w:color="auto" w:fill="C6EFCE"/>
            <w:noWrap/>
          </w:tcPr>
          <w:p w14:paraId="511FE907" w14:textId="77777777" w:rsidR="00A00259" w:rsidRDefault="00371282">
            <w:pPr>
              <w:pStyle w:val="P68B1DB1-Normal12"/>
              <w:spacing w:after="0" w:line="240" w:lineRule="auto"/>
              <w:rPr>
                <w:rFonts w:eastAsia="Times New Roman"/>
                <w:noProof/>
              </w:rPr>
            </w:pPr>
            <w:r>
              <w:rPr>
                <w:noProof/>
              </w:rPr>
              <w:t>Étape</w:t>
            </w:r>
          </w:p>
        </w:tc>
        <w:tc>
          <w:tcPr>
            <w:tcW w:w="1397" w:type="dxa"/>
            <w:tcBorders>
              <w:top w:val="single" w:sz="4" w:space="0" w:color="auto"/>
              <w:left w:val="single" w:sz="4" w:space="0" w:color="auto"/>
              <w:bottom w:val="single" w:sz="4" w:space="0" w:color="auto"/>
              <w:right w:val="single" w:sz="4" w:space="0" w:color="auto"/>
            </w:tcBorders>
            <w:shd w:val="clear" w:color="auto" w:fill="C6EFCE"/>
            <w:noWrap/>
          </w:tcPr>
          <w:p w14:paraId="503B8D1B" w14:textId="77777777" w:rsidR="00A00259" w:rsidRDefault="00371282">
            <w:pPr>
              <w:pStyle w:val="P68B1DB1-Normal12"/>
              <w:spacing w:after="0" w:line="240" w:lineRule="auto"/>
              <w:rPr>
                <w:rFonts w:eastAsia="Times New Roman"/>
                <w:noProof/>
              </w:rPr>
            </w:pPr>
            <w:r>
              <w:rPr>
                <w:noProof/>
              </w:rPr>
              <w:t>Identification – Bâtiments éligibles</w:t>
            </w:r>
          </w:p>
        </w:tc>
        <w:tc>
          <w:tcPr>
            <w:tcW w:w="1552" w:type="dxa"/>
            <w:tcBorders>
              <w:top w:val="single" w:sz="4" w:space="0" w:color="auto"/>
              <w:left w:val="single" w:sz="4" w:space="0" w:color="auto"/>
              <w:bottom w:val="single" w:sz="4" w:space="0" w:color="auto"/>
              <w:right w:val="single" w:sz="4" w:space="0" w:color="auto"/>
            </w:tcBorders>
            <w:shd w:val="clear" w:color="auto" w:fill="C6EFCE"/>
            <w:noWrap/>
          </w:tcPr>
          <w:p w14:paraId="17A11D4D" w14:textId="77777777" w:rsidR="00A00259" w:rsidRDefault="00371282">
            <w:pPr>
              <w:pStyle w:val="P68B1DB1-Normal12"/>
              <w:spacing w:after="0" w:line="240" w:lineRule="auto"/>
              <w:rPr>
                <w:rFonts w:eastAsia="Times New Roman"/>
                <w:noProof/>
              </w:rPr>
            </w:pPr>
            <w:r>
              <w:rPr>
                <w:noProof/>
              </w:rPr>
              <w:t xml:space="preserve">Achèvement de la liste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AEDDA4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31DCB92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single" w:sz="4" w:space="0" w:color="auto"/>
              <w:bottom w:val="single" w:sz="4" w:space="0" w:color="auto"/>
              <w:right w:val="single" w:sz="4" w:space="0" w:color="auto"/>
            </w:tcBorders>
            <w:shd w:val="clear" w:color="auto" w:fill="C6EFCE"/>
            <w:noWrap/>
          </w:tcPr>
          <w:p w14:paraId="7BB8E13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EA3F993" w14:textId="77777777" w:rsidR="00A00259" w:rsidRDefault="00371282">
            <w:pPr>
              <w:pStyle w:val="P68B1DB1-Normal12"/>
              <w:spacing w:after="0" w:line="240" w:lineRule="auto"/>
              <w:rPr>
                <w:rFonts w:eastAsia="Times New Roman"/>
                <w:noProof/>
              </w:rPr>
            </w:pPr>
            <w:r>
              <w:rPr>
                <w:noProof/>
              </w:rPr>
              <w:t>T3</w:t>
            </w:r>
          </w:p>
        </w:tc>
        <w:tc>
          <w:tcPr>
            <w:tcW w:w="622" w:type="dxa"/>
            <w:tcBorders>
              <w:top w:val="single" w:sz="4" w:space="0" w:color="auto"/>
              <w:left w:val="single" w:sz="4" w:space="0" w:color="auto"/>
              <w:bottom w:val="single" w:sz="4" w:space="0" w:color="auto"/>
              <w:right w:val="single" w:sz="4" w:space="0" w:color="auto"/>
            </w:tcBorders>
            <w:shd w:val="clear" w:color="auto" w:fill="C6EFCE"/>
            <w:noWrap/>
          </w:tcPr>
          <w:p w14:paraId="73AA8871" w14:textId="77777777" w:rsidR="00A00259" w:rsidRDefault="00371282">
            <w:pPr>
              <w:pStyle w:val="P68B1DB1-Normal12"/>
              <w:spacing w:after="0" w:line="240" w:lineRule="auto"/>
              <w:rPr>
                <w:rFonts w:eastAsia="Times New Roman"/>
                <w:noProof/>
              </w:rPr>
            </w:pPr>
            <w:r>
              <w:rPr>
                <w:noProof/>
              </w:rPr>
              <w:t>2021</w:t>
            </w:r>
          </w:p>
        </w:tc>
        <w:tc>
          <w:tcPr>
            <w:tcW w:w="4885" w:type="dxa"/>
            <w:tcBorders>
              <w:top w:val="single" w:sz="4" w:space="0" w:color="auto"/>
              <w:left w:val="single" w:sz="4" w:space="0" w:color="auto"/>
              <w:bottom w:val="single" w:sz="4" w:space="0" w:color="auto"/>
              <w:right w:val="single" w:sz="4" w:space="0" w:color="auto"/>
            </w:tcBorders>
            <w:shd w:val="clear" w:color="auto" w:fill="C6EFCE"/>
            <w:noWrap/>
          </w:tcPr>
          <w:p w14:paraId="7041439F" w14:textId="77777777" w:rsidR="00A00259" w:rsidRDefault="00371282">
            <w:pPr>
              <w:pStyle w:val="P68B1DB1-Normal12"/>
              <w:spacing w:after="0" w:line="240" w:lineRule="auto"/>
              <w:rPr>
                <w:rFonts w:eastAsia="Times New Roman"/>
                <w:noProof/>
              </w:rPr>
            </w:pPr>
            <w:r>
              <w:rPr>
                <w:noProof/>
              </w:rPr>
              <w:t>Compilation d'une liste des bâtiments non concernés par la révision de la carte judiciaire.</w:t>
            </w:r>
          </w:p>
        </w:tc>
      </w:tr>
      <w:tr w:rsidR="00A00259" w14:paraId="20FDB882"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38FE8C80" w14:textId="77777777" w:rsidR="00A00259" w:rsidRDefault="00371282">
            <w:pPr>
              <w:pStyle w:val="P68B1DB1-Normal12"/>
              <w:spacing w:after="0" w:line="240" w:lineRule="auto"/>
              <w:rPr>
                <w:rFonts w:eastAsia="Times New Roman"/>
                <w:noProof/>
              </w:rPr>
            </w:pPr>
            <w:r>
              <w:rPr>
                <w:noProof/>
              </w:rPr>
              <w:t>223</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1860EC82" w14:textId="77777777" w:rsidR="00A00259" w:rsidRDefault="00371282">
            <w:pPr>
              <w:pStyle w:val="P68B1DB1-Normal12"/>
              <w:spacing w:after="0" w:line="240" w:lineRule="auto"/>
              <w:rPr>
                <w:rFonts w:eastAsia="Times New Roman"/>
                <w:noProof/>
              </w:rPr>
            </w:pPr>
            <w:r>
              <w:rPr>
                <w:noProof/>
              </w:rPr>
              <w:t xml:space="preserve">14 - 4.3. Améliorer l'efficacité du système judiciaire - </w:t>
            </w:r>
          </w:p>
          <w:p w14:paraId="595E012E" w14:textId="77777777" w:rsidR="00A00259" w:rsidRDefault="00371282">
            <w:pPr>
              <w:pStyle w:val="P68B1DB1-Normal12"/>
              <w:spacing w:after="0" w:line="240" w:lineRule="auto"/>
              <w:rPr>
                <w:rFonts w:eastAsia="Times New Roman"/>
                <w:noProof/>
              </w:rPr>
            </w:pPr>
            <w:r>
              <w:rPr>
                <w:noProof/>
              </w:rPr>
              <w:t>16575 Accélérer l'administration de la justice</w:t>
            </w:r>
          </w:p>
        </w:tc>
        <w:tc>
          <w:tcPr>
            <w:tcW w:w="1424" w:type="dxa"/>
            <w:tcBorders>
              <w:top w:val="single" w:sz="4" w:space="0" w:color="auto"/>
              <w:left w:val="nil"/>
              <w:bottom w:val="single" w:sz="4" w:space="0" w:color="auto"/>
              <w:right w:val="single" w:sz="4" w:space="0" w:color="auto"/>
            </w:tcBorders>
            <w:shd w:val="clear" w:color="auto" w:fill="C6EFCE"/>
            <w:noWrap/>
          </w:tcPr>
          <w:p w14:paraId="06602645" w14:textId="77777777" w:rsidR="00A00259" w:rsidRDefault="00371282">
            <w:pPr>
              <w:pStyle w:val="P68B1DB1-Normal12"/>
              <w:spacing w:after="0" w:line="240" w:lineRule="auto"/>
              <w:rPr>
                <w:rFonts w:eastAsia="Times New Roman"/>
                <w:noProof/>
              </w:rPr>
            </w:pPr>
            <w:r>
              <w:rPr>
                <w:noProof/>
              </w:rPr>
              <w:t>Étape</w:t>
            </w:r>
          </w:p>
        </w:tc>
        <w:tc>
          <w:tcPr>
            <w:tcW w:w="1397" w:type="dxa"/>
            <w:tcBorders>
              <w:top w:val="single" w:sz="4" w:space="0" w:color="auto"/>
              <w:left w:val="nil"/>
              <w:bottom w:val="single" w:sz="4" w:space="0" w:color="auto"/>
              <w:right w:val="single" w:sz="4" w:space="0" w:color="auto"/>
            </w:tcBorders>
            <w:shd w:val="clear" w:color="auto" w:fill="C6EFCE"/>
            <w:noWrap/>
          </w:tcPr>
          <w:p w14:paraId="31A8CF67" w14:textId="77777777" w:rsidR="00A00259" w:rsidRDefault="00371282">
            <w:pPr>
              <w:pStyle w:val="P68B1DB1-Normal12"/>
              <w:spacing w:after="0" w:line="240" w:lineRule="auto"/>
              <w:rPr>
                <w:rFonts w:eastAsia="Times New Roman"/>
                <w:noProof/>
              </w:rPr>
            </w:pPr>
            <w:r>
              <w:rPr>
                <w:noProof/>
              </w:rPr>
              <w:t>Soutien technique - Outil de performance judiciaire</w:t>
            </w:r>
          </w:p>
        </w:tc>
        <w:tc>
          <w:tcPr>
            <w:tcW w:w="1552" w:type="dxa"/>
            <w:tcBorders>
              <w:top w:val="single" w:sz="4" w:space="0" w:color="auto"/>
              <w:left w:val="nil"/>
              <w:bottom w:val="single" w:sz="4" w:space="0" w:color="auto"/>
              <w:right w:val="single" w:sz="4" w:space="0" w:color="auto"/>
            </w:tcBorders>
            <w:shd w:val="clear" w:color="auto" w:fill="C6EFCE"/>
            <w:noWrap/>
          </w:tcPr>
          <w:p w14:paraId="34296DF2" w14:textId="77777777" w:rsidR="00A00259" w:rsidRDefault="00371282">
            <w:pPr>
              <w:pStyle w:val="P68B1DB1-Normal12"/>
              <w:spacing w:after="0" w:line="240" w:lineRule="auto"/>
              <w:rPr>
                <w:rFonts w:eastAsia="Times New Roman"/>
                <w:noProof/>
              </w:rPr>
            </w:pPr>
            <w:r>
              <w:rPr>
                <w:noProof/>
              </w:rPr>
              <w:t>Attribution de l’appel d’offres pour le soutien technique</w:t>
            </w:r>
          </w:p>
        </w:tc>
        <w:tc>
          <w:tcPr>
            <w:tcW w:w="992" w:type="dxa"/>
            <w:tcBorders>
              <w:top w:val="single" w:sz="4" w:space="0" w:color="auto"/>
              <w:left w:val="nil"/>
              <w:bottom w:val="single" w:sz="4" w:space="0" w:color="auto"/>
              <w:right w:val="single" w:sz="4" w:space="0" w:color="auto"/>
            </w:tcBorders>
            <w:shd w:val="clear" w:color="auto" w:fill="C6EFCE"/>
            <w:noWrap/>
          </w:tcPr>
          <w:p w14:paraId="346BBA5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23D8D59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5086622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4E709F1A" w14:textId="77777777" w:rsidR="00A00259" w:rsidRDefault="00371282">
            <w:pPr>
              <w:pStyle w:val="P68B1DB1-Normal12"/>
              <w:spacing w:after="0" w:line="240" w:lineRule="auto"/>
              <w:rPr>
                <w:rFonts w:eastAsia="Times New Roman"/>
                <w:noProof/>
              </w:rPr>
            </w:pPr>
            <w:r>
              <w:rPr>
                <w:noProof/>
              </w:rPr>
              <w:t>T3</w:t>
            </w:r>
          </w:p>
        </w:tc>
        <w:tc>
          <w:tcPr>
            <w:tcW w:w="622" w:type="dxa"/>
            <w:tcBorders>
              <w:top w:val="single" w:sz="4" w:space="0" w:color="auto"/>
              <w:left w:val="nil"/>
              <w:bottom w:val="single" w:sz="4" w:space="0" w:color="auto"/>
              <w:right w:val="single" w:sz="4" w:space="0" w:color="auto"/>
            </w:tcBorders>
            <w:shd w:val="clear" w:color="auto" w:fill="C6EFCE"/>
            <w:noWrap/>
          </w:tcPr>
          <w:p w14:paraId="51948AFA" w14:textId="77777777" w:rsidR="00A00259" w:rsidRDefault="00371282">
            <w:pPr>
              <w:pStyle w:val="P68B1DB1-Normal12"/>
              <w:spacing w:after="0" w:line="240" w:lineRule="auto"/>
              <w:rPr>
                <w:rFonts w:eastAsia="Times New Roman"/>
                <w:noProof/>
              </w:rPr>
            </w:pPr>
            <w:r>
              <w:rPr>
                <w:noProof/>
              </w:rPr>
              <w:t>2022</w:t>
            </w:r>
          </w:p>
        </w:tc>
        <w:tc>
          <w:tcPr>
            <w:tcW w:w="4885" w:type="dxa"/>
            <w:tcBorders>
              <w:top w:val="single" w:sz="4" w:space="0" w:color="auto"/>
              <w:left w:val="nil"/>
              <w:bottom w:val="single" w:sz="4" w:space="0" w:color="auto"/>
              <w:right w:val="single" w:sz="4" w:space="0" w:color="auto"/>
            </w:tcBorders>
            <w:shd w:val="clear" w:color="auto" w:fill="C6EFCE"/>
            <w:noWrap/>
          </w:tcPr>
          <w:p w14:paraId="4AA46D30" w14:textId="77777777" w:rsidR="00A00259" w:rsidRDefault="00371282">
            <w:pPr>
              <w:pStyle w:val="P68B1DB1-Normal12"/>
              <w:spacing w:after="0" w:line="240" w:lineRule="auto"/>
              <w:rPr>
                <w:rFonts w:eastAsia="Times New Roman"/>
                <w:noProof/>
              </w:rPr>
            </w:pPr>
            <w:r>
              <w:rPr>
                <w:noProof/>
              </w:rPr>
              <w:t>Attribution d’un appel d’offres pour le soutien technique au développement de l’outil de performance judiciaire sur la base d’objectifs stratégiques, en introduisant des indicateurs clés de performance objectifs (délai d’exécution d’une tâche, performance individuelle en termes de temps, communication, motivation, etc.) par département et/ou catégorie de commis et en fournissant des données précises et objectives sur l’attribution des primes; les primes sont payables au cours du premier trimestre suivant la fin de l’année concernée, sur la base des résultats de cette année. L’outil est temporaire et en pleine cohérence avec la grille salariale unifiée (loi 4354/2015), sans prévoir d’exemption pour l’élimination des arriérés judiciaires.</w:t>
            </w:r>
          </w:p>
        </w:tc>
      </w:tr>
      <w:tr w:rsidR="00A00259" w14:paraId="5654155B" w14:textId="77777777">
        <w:tblPrEx>
          <w:tblLook w:val="0400" w:firstRow="0" w:lastRow="0" w:firstColumn="0" w:lastColumn="0" w:noHBand="0" w:noVBand="1"/>
        </w:tblPrEx>
        <w:trPr>
          <w:trHeight w:val="309"/>
          <w:jc w:val="center"/>
        </w:trPr>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09C268C" w14:textId="77777777" w:rsidR="00A00259" w:rsidRDefault="00371282">
            <w:pPr>
              <w:pStyle w:val="P68B1DB1-Normal12"/>
              <w:spacing w:after="0" w:line="240" w:lineRule="auto"/>
              <w:rPr>
                <w:noProof/>
              </w:rPr>
            </w:pPr>
            <w:r>
              <w:rPr>
                <w:noProof/>
              </w:rPr>
              <w:t>224</w:t>
            </w:r>
          </w:p>
        </w:tc>
        <w:tc>
          <w:tcPr>
            <w:tcW w:w="1976" w:type="dxa"/>
            <w:gridSpan w:val="2"/>
            <w:tcBorders>
              <w:top w:val="single" w:sz="4" w:space="0" w:color="000000" w:themeColor="text1"/>
              <w:left w:val="nil"/>
              <w:bottom w:val="single" w:sz="4" w:space="0" w:color="000000" w:themeColor="text1"/>
              <w:right w:val="single" w:sz="4" w:space="0" w:color="000000" w:themeColor="text1"/>
            </w:tcBorders>
            <w:shd w:val="clear" w:color="auto" w:fill="C6EFCE"/>
          </w:tcPr>
          <w:p w14:paraId="417FA219" w14:textId="77777777" w:rsidR="00A00259" w:rsidRDefault="00371282">
            <w:pPr>
              <w:pStyle w:val="P68B1DB1-Normal12"/>
              <w:spacing w:after="0" w:line="240" w:lineRule="auto"/>
              <w:rPr>
                <w:noProof/>
              </w:rPr>
            </w:pPr>
            <w:r>
              <w:rPr>
                <w:noProof/>
              </w:rPr>
              <w:t>14 - 4.3. «Améliorer l'efficacité du système judiciaire» - 16733_Compétences et compétences numériques des juges et du personnel judiciaire (personnel judiciaire)</w:t>
            </w:r>
          </w:p>
        </w:tc>
        <w:tc>
          <w:tcPr>
            <w:tcW w:w="1424"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587A7FBC" w14:textId="77777777" w:rsidR="00A00259" w:rsidRDefault="00371282">
            <w:pPr>
              <w:pStyle w:val="P68B1DB1-Normal12"/>
              <w:spacing w:after="0" w:line="240" w:lineRule="auto"/>
              <w:rPr>
                <w:noProof/>
              </w:rPr>
            </w:pPr>
            <w:r>
              <w:rPr>
                <w:noProof/>
              </w:rPr>
              <w:t>Objectif</w:t>
            </w:r>
          </w:p>
        </w:tc>
        <w:tc>
          <w:tcPr>
            <w:tcW w:w="1397"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6E83234A" w14:textId="77777777" w:rsidR="00A00259" w:rsidRDefault="00371282">
            <w:pPr>
              <w:pStyle w:val="P68B1DB1-Normal12"/>
              <w:spacing w:after="0" w:line="240" w:lineRule="auto"/>
              <w:rPr>
                <w:noProof/>
              </w:rPr>
            </w:pPr>
            <w:r>
              <w:rPr>
                <w:noProof/>
              </w:rPr>
              <w:t>Formation – Juges et greffiers</w:t>
            </w:r>
          </w:p>
        </w:tc>
        <w:tc>
          <w:tcPr>
            <w:tcW w:w="1552"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37EDBF7A" w14:textId="77777777" w:rsidR="00A00259" w:rsidRDefault="00A00259">
            <w:pPr>
              <w:spacing w:after="0" w:line="240" w:lineRule="auto"/>
              <w:rPr>
                <w:rFonts w:ascii="Times New Roman" w:hAnsi="Times New Roman" w:cs="Times New Roman"/>
                <w:noProof/>
                <w:color w:val="006100"/>
                <w:sz w:val="18"/>
                <w:szCs w:val="18"/>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36D76CE2" w14:textId="77777777" w:rsidR="00A00259" w:rsidRDefault="00371282">
            <w:pPr>
              <w:pStyle w:val="P68B1DB1-Normal12"/>
              <w:spacing w:after="0" w:line="240" w:lineRule="auto"/>
              <w:rPr>
                <w:noProof/>
              </w:rPr>
            </w:pPr>
            <w:r>
              <w:rPr>
                <w:noProof/>
              </w:rPr>
              <w:t>Nombre de juges inscrits à l ' École nationale des juges</w:t>
            </w:r>
          </w:p>
        </w:tc>
        <w:tc>
          <w:tcPr>
            <w:tcW w:w="857"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0178F179" w14:textId="77777777" w:rsidR="00A00259" w:rsidRDefault="00371282">
            <w:pPr>
              <w:pStyle w:val="P68B1DB1-Normal12"/>
              <w:spacing w:after="0" w:line="240" w:lineRule="auto"/>
              <w:rPr>
                <w:noProof/>
              </w:rPr>
            </w:pPr>
            <w:r>
              <w:rPr>
                <w:noProof/>
              </w:rPr>
              <w:t>0</w:t>
            </w:r>
          </w:p>
        </w:tc>
        <w:tc>
          <w:tcPr>
            <w:tcW w:w="587"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17D45A7E" w14:textId="77777777" w:rsidR="00A00259" w:rsidRDefault="00371282">
            <w:pPr>
              <w:pStyle w:val="P68B1DB1-Normal12"/>
              <w:spacing w:after="0" w:line="240" w:lineRule="auto"/>
              <w:rPr>
                <w:noProof/>
              </w:rPr>
            </w:pPr>
            <w:r>
              <w:rPr>
                <w:noProof/>
              </w:rPr>
              <w:t>10</w:t>
            </w:r>
          </w:p>
        </w:tc>
        <w:tc>
          <w:tcPr>
            <w:tcW w:w="846"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48A05BB5" w14:textId="77777777" w:rsidR="00A00259" w:rsidRDefault="00371282">
            <w:pPr>
              <w:pStyle w:val="P68B1DB1-Normal12"/>
              <w:spacing w:after="0" w:line="240" w:lineRule="auto"/>
              <w:rPr>
                <w:noProof/>
              </w:rPr>
            </w:pPr>
            <w:r>
              <w:rPr>
                <w:noProof/>
              </w:rPr>
              <w:t>T1</w:t>
            </w:r>
          </w:p>
        </w:tc>
        <w:tc>
          <w:tcPr>
            <w:tcW w:w="622"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4AEAFC1E" w14:textId="77777777" w:rsidR="00A00259" w:rsidRDefault="00371282">
            <w:pPr>
              <w:pStyle w:val="P68B1DB1-Normal12"/>
              <w:spacing w:after="0" w:line="240" w:lineRule="auto"/>
              <w:rPr>
                <w:noProof/>
              </w:rPr>
            </w:pPr>
            <w:r>
              <w:rPr>
                <w:noProof/>
              </w:rPr>
              <w:t>2022</w:t>
            </w:r>
          </w:p>
        </w:tc>
        <w:tc>
          <w:tcPr>
            <w:tcW w:w="4885"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33D6E676" w14:textId="77777777" w:rsidR="00A00259" w:rsidRDefault="00371282">
            <w:pPr>
              <w:pStyle w:val="P68B1DB1-Normal12"/>
              <w:spacing w:after="0" w:line="240" w:lineRule="auto"/>
              <w:rPr>
                <w:noProof/>
              </w:rPr>
            </w:pPr>
            <w:r>
              <w:rPr>
                <w:noProof/>
              </w:rPr>
              <w:t xml:space="preserve">10 magistrats inscrits à l’école nationale des juges </w:t>
            </w:r>
          </w:p>
        </w:tc>
      </w:tr>
      <w:tr w:rsidR="00A00259" w14:paraId="7A9A8A0C"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tcPr>
          <w:p w14:paraId="72C431C0" w14:textId="77777777" w:rsidR="00A00259" w:rsidRDefault="00371282">
            <w:pPr>
              <w:pStyle w:val="P68B1DB1-Normal12"/>
              <w:spacing w:after="0" w:line="240" w:lineRule="auto"/>
              <w:rPr>
                <w:rFonts w:eastAsia="Times New Roman"/>
                <w:noProof/>
              </w:rPr>
            </w:pPr>
            <w:r>
              <w:rPr>
                <w:noProof/>
              </w:rPr>
              <w:t>225</w:t>
            </w:r>
          </w:p>
        </w:tc>
        <w:tc>
          <w:tcPr>
            <w:tcW w:w="1976" w:type="dxa"/>
            <w:gridSpan w:val="2"/>
            <w:tcBorders>
              <w:top w:val="nil"/>
              <w:left w:val="nil"/>
              <w:bottom w:val="single" w:sz="4" w:space="0" w:color="auto"/>
              <w:right w:val="single" w:sz="4" w:space="0" w:color="auto"/>
            </w:tcBorders>
            <w:shd w:val="clear" w:color="auto" w:fill="C6EFCE"/>
            <w:noWrap/>
          </w:tcPr>
          <w:p w14:paraId="6BB58FF4" w14:textId="77777777" w:rsidR="00A00259" w:rsidRDefault="00371282">
            <w:pPr>
              <w:pStyle w:val="P68B1DB1-Normal12"/>
              <w:spacing w:after="0" w:line="240" w:lineRule="auto"/>
              <w:rPr>
                <w:rFonts w:eastAsia="Times New Roman"/>
                <w:noProof/>
              </w:rPr>
            </w:pPr>
            <w:r>
              <w:rPr>
                <w:noProof/>
              </w:rPr>
              <w:t>14 - 4.3. Améliorer l’efficacité du système judiciaire – 16575 Accélérer l’administration de la justice</w:t>
            </w:r>
          </w:p>
        </w:tc>
        <w:tc>
          <w:tcPr>
            <w:tcW w:w="1424" w:type="dxa"/>
            <w:tcBorders>
              <w:top w:val="nil"/>
              <w:left w:val="nil"/>
              <w:bottom w:val="single" w:sz="4" w:space="0" w:color="auto"/>
              <w:right w:val="single" w:sz="4" w:space="0" w:color="auto"/>
            </w:tcBorders>
            <w:shd w:val="clear" w:color="auto" w:fill="C6EFCE"/>
            <w:noWrap/>
          </w:tcPr>
          <w:p w14:paraId="2F607190" w14:textId="77777777" w:rsidR="00A00259" w:rsidRDefault="00371282">
            <w:pPr>
              <w:pStyle w:val="P68B1DB1-Normal12"/>
              <w:spacing w:after="0" w:line="240" w:lineRule="auto"/>
              <w:rPr>
                <w:rFonts w:eastAsia="Times New Roman"/>
                <w:noProof/>
              </w:rPr>
            </w:pPr>
            <w:r>
              <w:rPr>
                <w:noProof/>
              </w:rPr>
              <w:t>Étape</w:t>
            </w:r>
          </w:p>
        </w:tc>
        <w:tc>
          <w:tcPr>
            <w:tcW w:w="1397" w:type="dxa"/>
            <w:tcBorders>
              <w:top w:val="nil"/>
              <w:left w:val="nil"/>
              <w:bottom w:val="single" w:sz="4" w:space="0" w:color="auto"/>
              <w:right w:val="single" w:sz="4" w:space="0" w:color="auto"/>
            </w:tcBorders>
            <w:shd w:val="clear" w:color="auto" w:fill="C6EFCE"/>
            <w:noWrap/>
          </w:tcPr>
          <w:p w14:paraId="21F166C6" w14:textId="77777777" w:rsidR="00A00259" w:rsidRDefault="00371282">
            <w:pPr>
              <w:pStyle w:val="P68B1DB1-Normal12"/>
              <w:spacing w:after="0" w:line="240" w:lineRule="auto"/>
              <w:rPr>
                <w:rFonts w:eastAsia="Times New Roman"/>
                <w:noProof/>
              </w:rPr>
            </w:pPr>
            <w:r>
              <w:rPr>
                <w:noProof/>
              </w:rPr>
              <w:t xml:space="preserve">Police judiciaire – Législation secondaire </w:t>
            </w:r>
          </w:p>
        </w:tc>
        <w:tc>
          <w:tcPr>
            <w:tcW w:w="1552" w:type="dxa"/>
            <w:tcBorders>
              <w:top w:val="nil"/>
              <w:left w:val="nil"/>
              <w:bottom w:val="single" w:sz="4" w:space="0" w:color="auto"/>
              <w:right w:val="single" w:sz="4" w:space="0" w:color="auto"/>
            </w:tcBorders>
            <w:shd w:val="clear" w:color="auto" w:fill="C6EFCE"/>
            <w:noWrap/>
          </w:tcPr>
          <w:p w14:paraId="45007C04" w14:textId="77777777" w:rsidR="00A00259" w:rsidRDefault="00371282">
            <w:pPr>
              <w:pStyle w:val="P68B1DB1-Normal12"/>
              <w:spacing w:after="0" w:line="240" w:lineRule="auto"/>
              <w:rPr>
                <w:rFonts w:eastAsia="Times New Roman"/>
                <w:noProof/>
              </w:rPr>
            </w:pPr>
            <w:r>
              <w:rPr>
                <w:noProof/>
              </w:rPr>
              <w:t>Entrée en vigueur de la législation</w:t>
            </w:r>
          </w:p>
        </w:tc>
        <w:tc>
          <w:tcPr>
            <w:tcW w:w="992" w:type="dxa"/>
            <w:tcBorders>
              <w:top w:val="nil"/>
              <w:left w:val="nil"/>
              <w:bottom w:val="single" w:sz="4" w:space="0" w:color="auto"/>
              <w:right w:val="single" w:sz="4" w:space="0" w:color="auto"/>
            </w:tcBorders>
            <w:shd w:val="clear" w:color="auto" w:fill="C6EFCE"/>
            <w:noWrap/>
          </w:tcPr>
          <w:p w14:paraId="3EA2873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7C2AE43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tcBorders>
              <w:top w:val="nil"/>
              <w:left w:val="nil"/>
              <w:bottom w:val="single" w:sz="4" w:space="0" w:color="auto"/>
              <w:right w:val="single" w:sz="4" w:space="0" w:color="auto"/>
            </w:tcBorders>
            <w:shd w:val="clear" w:color="auto" w:fill="C6EFCE"/>
            <w:noWrap/>
          </w:tcPr>
          <w:p w14:paraId="1481B62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nil"/>
              <w:left w:val="nil"/>
              <w:bottom w:val="single" w:sz="4" w:space="0" w:color="auto"/>
              <w:right w:val="single" w:sz="4" w:space="0" w:color="auto"/>
            </w:tcBorders>
            <w:shd w:val="clear" w:color="auto" w:fill="C6EFCE"/>
            <w:noWrap/>
          </w:tcPr>
          <w:p w14:paraId="4F3685A2" w14:textId="77777777" w:rsidR="00A00259" w:rsidRDefault="00371282">
            <w:pPr>
              <w:pStyle w:val="P68B1DB1-Normal12"/>
              <w:spacing w:after="0" w:line="240" w:lineRule="auto"/>
              <w:rPr>
                <w:rFonts w:eastAsia="Times New Roman"/>
                <w:noProof/>
              </w:rPr>
            </w:pPr>
            <w:r>
              <w:rPr>
                <w:noProof/>
              </w:rPr>
              <w:t>T3</w:t>
            </w:r>
          </w:p>
        </w:tc>
        <w:tc>
          <w:tcPr>
            <w:tcW w:w="622" w:type="dxa"/>
            <w:tcBorders>
              <w:top w:val="nil"/>
              <w:left w:val="nil"/>
              <w:bottom w:val="single" w:sz="4" w:space="0" w:color="auto"/>
              <w:right w:val="single" w:sz="4" w:space="0" w:color="auto"/>
            </w:tcBorders>
            <w:shd w:val="clear" w:color="auto" w:fill="C6EFCE"/>
            <w:noWrap/>
          </w:tcPr>
          <w:p w14:paraId="79B174E9" w14:textId="77777777" w:rsidR="00A00259" w:rsidRDefault="00371282">
            <w:pPr>
              <w:pStyle w:val="P68B1DB1-Normal12"/>
              <w:spacing w:after="0" w:line="240" w:lineRule="auto"/>
              <w:rPr>
                <w:rFonts w:eastAsia="Times New Roman"/>
                <w:noProof/>
              </w:rPr>
            </w:pPr>
            <w:r>
              <w:rPr>
                <w:noProof/>
              </w:rPr>
              <w:t>2022</w:t>
            </w:r>
          </w:p>
        </w:tc>
        <w:tc>
          <w:tcPr>
            <w:tcW w:w="4885" w:type="dxa"/>
            <w:tcBorders>
              <w:top w:val="nil"/>
              <w:left w:val="nil"/>
              <w:bottom w:val="single" w:sz="4" w:space="0" w:color="auto"/>
              <w:right w:val="single" w:sz="4" w:space="0" w:color="auto"/>
            </w:tcBorders>
            <w:shd w:val="clear" w:color="auto" w:fill="C6EFCE"/>
            <w:noWrap/>
          </w:tcPr>
          <w:p w14:paraId="27DEFF6A" w14:textId="77777777" w:rsidR="00A00259" w:rsidRDefault="00371282">
            <w:pPr>
              <w:pStyle w:val="P68B1DB1-Normal12"/>
              <w:spacing w:before="120" w:after="120" w:line="240" w:lineRule="auto"/>
              <w:jc w:val="both"/>
              <w:rPr>
                <w:noProof/>
              </w:rPr>
            </w:pPr>
            <w:r>
              <w:rPr>
                <w:noProof/>
              </w:rPr>
              <w:t>Entrée en vigueur de tous les actes de droit dérivé (sous la forme de décrets présidentiels ou de décisions ministérielles, selon le cas) nécessaires à la pleine application de la loi sur la police judiciaire pour aider les autorités judiciaires et les autorités chargées des poursuites à:</w:t>
            </w:r>
          </w:p>
          <w:p w14:paraId="30F94739" w14:textId="77777777" w:rsidR="00A00259" w:rsidRDefault="00371282">
            <w:pPr>
              <w:pStyle w:val="P68B1DB1-Normal12"/>
              <w:numPr>
                <w:ilvl w:val="0"/>
                <w:numId w:val="65"/>
              </w:numPr>
              <w:spacing w:before="120" w:after="0" w:line="240" w:lineRule="auto"/>
              <w:ind w:left="231" w:hanging="219"/>
              <w:jc w:val="both"/>
              <w:rPr>
                <w:noProof/>
              </w:rPr>
            </w:pPr>
            <w:r>
              <w:rPr>
                <w:noProof/>
              </w:rPr>
              <w:t xml:space="preserve">la fourniture d’une assistance scientifique et technique aux juges et aux procureurs dans les domaines nécessitant une expertise technique ou professionnelle; </w:t>
            </w:r>
          </w:p>
          <w:p w14:paraId="662E14A5" w14:textId="77777777" w:rsidR="00A00259" w:rsidRDefault="00371282">
            <w:pPr>
              <w:pStyle w:val="P68B1DB1-Normal12"/>
              <w:numPr>
                <w:ilvl w:val="0"/>
                <w:numId w:val="65"/>
              </w:numPr>
              <w:spacing w:before="120" w:after="0" w:line="240" w:lineRule="auto"/>
              <w:ind w:left="231" w:hanging="219"/>
              <w:jc w:val="both"/>
              <w:rPr>
                <w:noProof/>
              </w:rPr>
            </w:pPr>
            <w:r>
              <w:rPr>
                <w:noProof/>
              </w:rPr>
              <w:t>la conduite d'examens et d'enquêtes préliminaires;</w:t>
            </w:r>
          </w:p>
          <w:p w14:paraId="10DAEDF6" w14:textId="77777777" w:rsidR="00A00259" w:rsidRDefault="00371282">
            <w:pPr>
              <w:pStyle w:val="P68B1DB1-Normal12"/>
              <w:numPr>
                <w:ilvl w:val="0"/>
                <w:numId w:val="65"/>
              </w:numPr>
              <w:spacing w:before="120" w:after="0" w:line="240" w:lineRule="auto"/>
              <w:ind w:left="231" w:hanging="219"/>
              <w:jc w:val="both"/>
              <w:rPr>
                <w:noProof/>
              </w:rPr>
            </w:pPr>
            <w:r>
              <w:rPr>
                <w:noProof/>
              </w:rPr>
              <w:t>l'exécution des mandats;</w:t>
            </w:r>
          </w:p>
          <w:p w14:paraId="39E7BF0C" w14:textId="77777777" w:rsidR="00A00259" w:rsidRDefault="00371282">
            <w:pPr>
              <w:pStyle w:val="P68B1DB1-Normal12"/>
              <w:numPr>
                <w:ilvl w:val="0"/>
                <w:numId w:val="65"/>
              </w:numPr>
              <w:spacing w:before="120" w:after="0" w:line="240" w:lineRule="auto"/>
              <w:ind w:left="231" w:hanging="219"/>
              <w:jc w:val="both"/>
              <w:rPr>
                <w:noProof/>
              </w:rPr>
            </w:pPr>
            <w:r>
              <w:rPr>
                <w:noProof/>
              </w:rPr>
              <w:t>la fourniture d’une assistance pour présenter des demandes d’entraide judiciaire ou y répondre;</w:t>
            </w:r>
          </w:p>
          <w:p w14:paraId="0A99108C" w14:textId="77777777" w:rsidR="00A00259" w:rsidRDefault="00371282">
            <w:pPr>
              <w:pStyle w:val="P68B1DB1-Normal12"/>
              <w:numPr>
                <w:ilvl w:val="0"/>
                <w:numId w:val="65"/>
              </w:numPr>
              <w:spacing w:before="120" w:after="0" w:line="240" w:lineRule="auto"/>
              <w:ind w:left="231" w:hanging="219"/>
              <w:jc w:val="both"/>
              <w:rPr>
                <w:noProof/>
              </w:rPr>
            </w:pPr>
            <w:r>
              <w:rPr>
                <w:noProof/>
              </w:rPr>
              <w:t>la signification ou la notification d’actes et d’actes de procédure;</w:t>
            </w:r>
          </w:p>
          <w:p w14:paraId="2D1C6E87" w14:textId="77777777" w:rsidR="00A00259" w:rsidRDefault="00371282">
            <w:pPr>
              <w:pStyle w:val="P68B1DB1-Normal12"/>
              <w:numPr>
                <w:ilvl w:val="0"/>
                <w:numId w:val="65"/>
              </w:numPr>
              <w:spacing w:before="120" w:after="0" w:line="240" w:lineRule="auto"/>
              <w:ind w:left="231" w:hanging="219"/>
              <w:jc w:val="both"/>
              <w:rPr>
                <w:noProof/>
              </w:rPr>
            </w:pPr>
            <w:r>
              <w:rPr>
                <w:noProof/>
              </w:rPr>
              <w:t>l'exécution des jugements;</w:t>
            </w:r>
          </w:p>
          <w:p w14:paraId="36C8F634" w14:textId="77777777" w:rsidR="00A00259" w:rsidRDefault="00371282">
            <w:pPr>
              <w:pStyle w:val="P68B1DB1-Normal12"/>
              <w:numPr>
                <w:ilvl w:val="0"/>
                <w:numId w:val="65"/>
              </w:numPr>
              <w:spacing w:before="120" w:after="0" w:line="240" w:lineRule="auto"/>
              <w:ind w:left="231" w:hanging="219"/>
              <w:jc w:val="both"/>
              <w:rPr>
                <w:noProof/>
              </w:rPr>
            </w:pPr>
            <w:r>
              <w:rPr>
                <w:noProof/>
              </w:rPr>
              <w:t>la garde et le maintien de l'ordre dans les palais de justice;</w:t>
            </w:r>
          </w:p>
          <w:p w14:paraId="6B6AC87E" w14:textId="6E90C812" w:rsidR="00A00259" w:rsidRDefault="00371282">
            <w:pPr>
              <w:pStyle w:val="P68B1DB1-Normal12"/>
              <w:numPr>
                <w:ilvl w:val="0"/>
                <w:numId w:val="65"/>
              </w:numPr>
              <w:spacing w:before="120" w:after="0" w:line="240" w:lineRule="auto"/>
              <w:ind w:left="231" w:hanging="219"/>
              <w:jc w:val="both"/>
              <w:rPr>
                <w:rFonts w:eastAsia="Times New Roman"/>
                <w:noProof/>
              </w:rPr>
            </w:pPr>
            <w:r>
              <w:rPr>
                <w:noProof/>
              </w:rPr>
              <w:t>autres actes de procédure qui lui sont confiés par les juridictions et les procureurs compétents</w:t>
            </w:r>
          </w:p>
        </w:tc>
      </w:tr>
      <w:tr w:rsidR="00A00259" w14:paraId="4A7391FB"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tcPr>
          <w:p w14:paraId="15AEED5E" w14:textId="77777777" w:rsidR="00A00259" w:rsidRDefault="00371282">
            <w:pPr>
              <w:pStyle w:val="P68B1DB1-Normal12"/>
              <w:spacing w:after="0" w:line="240" w:lineRule="auto"/>
              <w:rPr>
                <w:rFonts w:eastAsia="Times New Roman"/>
                <w:noProof/>
              </w:rPr>
            </w:pPr>
            <w:r>
              <w:rPr>
                <w:noProof/>
              </w:rPr>
              <w:t>226</w:t>
            </w:r>
          </w:p>
        </w:tc>
        <w:tc>
          <w:tcPr>
            <w:tcW w:w="1976" w:type="dxa"/>
            <w:gridSpan w:val="2"/>
            <w:tcBorders>
              <w:top w:val="nil"/>
              <w:left w:val="nil"/>
              <w:bottom w:val="single" w:sz="4" w:space="0" w:color="auto"/>
              <w:right w:val="single" w:sz="4" w:space="0" w:color="auto"/>
            </w:tcBorders>
            <w:shd w:val="clear" w:color="auto" w:fill="C6EFCE"/>
            <w:noWrap/>
          </w:tcPr>
          <w:p w14:paraId="72D4DE20" w14:textId="77777777" w:rsidR="00A00259" w:rsidRDefault="00371282">
            <w:pPr>
              <w:pStyle w:val="P68B1DB1-Normal12"/>
              <w:spacing w:after="0" w:line="240" w:lineRule="auto"/>
              <w:rPr>
                <w:rFonts w:eastAsia="Times New Roman"/>
                <w:noProof/>
              </w:rPr>
            </w:pPr>
            <w:r>
              <w:rPr>
                <w:noProof/>
              </w:rPr>
              <w:t>14 - 4.3. Améliorer l’efficacité du système judiciaire – 16575 Accélérer l’administration de la justice</w:t>
            </w:r>
          </w:p>
        </w:tc>
        <w:tc>
          <w:tcPr>
            <w:tcW w:w="1424" w:type="dxa"/>
            <w:tcBorders>
              <w:top w:val="nil"/>
              <w:left w:val="nil"/>
              <w:bottom w:val="single" w:sz="4" w:space="0" w:color="auto"/>
              <w:right w:val="single" w:sz="4" w:space="0" w:color="auto"/>
            </w:tcBorders>
            <w:shd w:val="clear" w:color="auto" w:fill="C6EFCE"/>
            <w:noWrap/>
          </w:tcPr>
          <w:p w14:paraId="6B5A6D8E" w14:textId="77777777" w:rsidR="00A00259" w:rsidRDefault="00371282">
            <w:pPr>
              <w:pStyle w:val="P68B1DB1-Normal12"/>
              <w:spacing w:after="0" w:line="240" w:lineRule="auto"/>
              <w:rPr>
                <w:rFonts w:eastAsia="Times New Roman"/>
                <w:noProof/>
              </w:rPr>
            </w:pPr>
            <w:r>
              <w:rPr>
                <w:noProof/>
              </w:rPr>
              <w:t>Étape</w:t>
            </w:r>
          </w:p>
        </w:tc>
        <w:tc>
          <w:tcPr>
            <w:tcW w:w="1397" w:type="dxa"/>
            <w:tcBorders>
              <w:top w:val="nil"/>
              <w:left w:val="nil"/>
              <w:bottom w:val="single" w:sz="4" w:space="0" w:color="auto"/>
              <w:right w:val="single" w:sz="4" w:space="0" w:color="auto"/>
            </w:tcBorders>
            <w:shd w:val="clear" w:color="auto" w:fill="C6EFCE"/>
            <w:noWrap/>
          </w:tcPr>
          <w:p w14:paraId="0729CB36" w14:textId="77777777" w:rsidR="00A00259" w:rsidRDefault="00371282">
            <w:pPr>
              <w:pStyle w:val="P68B1DB1-Normal12"/>
              <w:spacing w:after="0" w:line="240" w:lineRule="auto"/>
              <w:rPr>
                <w:rFonts w:eastAsia="Times New Roman"/>
                <w:noProof/>
              </w:rPr>
            </w:pPr>
            <w:r>
              <w:rPr>
                <w:noProof/>
              </w:rPr>
              <w:t>Carte judiciaire - législation primaire - administrative</w:t>
            </w:r>
          </w:p>
        </w:tc>
        <w:tc>
          <w:tcPr>
            <w:tcW w:w="1552" w:type="dxa"/>
            <w:tcBorders>
              <w:top w:val="nil"/>
              <w:left w:val="nil"/>
              <w:bottom w:val="single" w:sz="4" w:space="0" w:color="auto"/>
              <w:right w:val="single" w:sz="4" w:space="0" w:color="auto"/>
            </w:tcBorders>
            <w:shd w:val="clear" w:color="auto" w:fill="C6EFCE"/>
            <w:noWrap/>
          </w:tcPr>
          <w:p w14:paraId="69659C60" w14:textId="77777777" w:rsidR="00A00259" w:rsidRDefault="00371282">
            <w:pPr>
              <w:pStyle w:val="P68B1DB1-Normal12"/>
              <w:spacing w:after="0" w:line="240" w:lineRule="auto"/>
              <w:rPr>
                <w:rFonts w:eastAsia="Times New Roman"/>
                <w:noProof/>
              </w:rPr>
            </w:pPr>
            <w:r>
              <w:rPr>
                <w:noProof/>
              </w:rPr>
              <w:t>Entrée en vigueur de la législation</w:t>
            </w:r>
          </w:p>
        </w:tc>
        <w:tc>
          <w:tcPr>
            <w:tcW w:w="992" w:type="dxa"/>
            <w:tcBorders>
              <w:top w:val="nil"/>
              <w:left w:val="nil"/>
              <w:bottom w:val="single" w:sz="4" w:space="0" w:color="auto"/>
              <w:right w:val="single" w:sz="4" w:space="0" w:color="auto"/>
            </w:tcBorders>
            <w:shd w:val="clear" w:color="auto" w:fill="C6EFCE"/>
            <w:noWrap/>
          </w:tcPr>
          <w:p w14:paraId="7A2CECD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28869F0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tcBorders>
              <w:top w:val="nil"/>
              <w:left w:val="nil"/>
              <w:bottom w:val="single" w:sz="4" w:space="0" w:color="auto"/>
              <w:right w:val="single" w:sz="4" w:space="0" w:color="auto"/>
            </w:tcBorders>
            <w:shd w:val="clear" w:color="auto" w:fill="C6EFCE"/>
            <w:noWrap/>
          </w:tcPr>
          <w:p w14:paraId="4F901F9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nil"/>
              <w:left w:val="nil"/>
              <w:bottom w:val="single" w:sz="4" w:space="0" w:color="auto"/>
              <w:right w:val="single" w:sz="4" w:space="0" w:color="auto"/>
            </w:tcBorders>
            <w:shd w:val="clear" w:color="auto" w:fill="C6EFCE"/>
            <w:noWrap/>
          </w:tcPr>
          <w:p w14:paraId="6719DA32" w14:textId="77777777" w:rsidR="00A00259" w:rsidRDefault="00371282">
            <w:pPr>
              <w:pStyle w:val="P68B1DB1-Normal12"/>
              <w:spacing w:after="0" w:line="240" w:lineRule="auto"/>
              <w:rPr>
                <w:rFonts w:eastAsia="Times New Roman"/>
                <w:noProof/>
              </w:rPr>
            </w:pPr>
            <w:r>
              <w:rPr>
                <w:noProof/>
              </w:rPr>
              <w:t>T4</w:t>
            </w:r>
          </w:p>
        </w:tc>
        <w:tc>
          <w:tcPr>
            <w:tcW w:w="622" w:type="dxa"/>
            <w:tcBorders>
              <w:top w:val="nil"/>
              <w:left w:val="nil"/>
              <w:bottom w:val="single" w:sz="4" w:space="0" w:color="auto"/>
              <w:right w:val="single" w:sz="4" w:space="0" w:color="auto"/>
            </w:tcBorders>
            <w:shd w:val="clear" w:color="auto" w:fill="C6EFCE"/>
            <w:noWrap/>
          </w:tcPr>
          <w:p w14:paraId="65D49C49" w14:textId="77777777" w:rsidR="00A00259" w:rsidRDefault="00371282">
            <w:pPr>
              <w:pStyle w:val="P68B1DB1-Normal12"/>
              <w:spacing w:after="0" w:line="240" w:lineRule="auto"/>
              <w:rPr>
                <w:rFonts w:eastAsia="Times New Roman"/>
                <w:noProof/>
              </w:rPr>
            </w:pPr>
            <w:r>
              <w:rPr>
                <w:noProof/>
              </w:rPr>
              <w:t>2022</w:t>
            </w:r>
          </w:p>
        </w:tc>
        <w:tc>
          <w:tcPr>
            <w:tcW w:w="4885" w:type="dxa"/>
            <w:tcBorders>
              <w:top w:val="nil"/>
              <w:left w:val="nil"/>
              <w:bottom w:val="single" w:sz="4" w:space="0" w:color="auto"/>
              <w:right w:val="single" w:sz="4" w:space="0" w:color="auto"/>
            </w:tcBorders>
            <w:shd w:val="clear" w:color="auto" w:fill="C6EFCE"/>
            <w:noWrap/>
          </w:tcPr>
          <w:p w14:paraId="287C7A7B" w14:textId="77777777" w:rsidR="00A00259" w:rsidRDefault="00371282">
            <w:pPr>
              <w:pStyle w:val="P68B1DB1-Normal12"/>
              <w:spacing w:after="0" w:line="240" w:lineRule="auto"/>
              <w:rPr>
                <w:noProof/>
              </w:rPr>
            </w:pPr>
            <w:r>
              <w:rPr>
                <w:noProof/>
              </w:rPr>
              <w:t xml:space="preserve">Entrée en vigueur de la législation primaire pour la révision de la carte judiciaire de la justice administrative. </w:t>
            </w:r>
          </w:p>
        </w:tc>
      </w:tr>
      <w:tr w:rsidR="00A00259" w14:paraId="44D027AD"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tcPr>
          <w:p w14:paraId="4EB42718" w14:textId="77777777" w:rsidR="00A00259" w:rsidRDefault="00371282">
            <w:pPr>
              <w:pStyle w:val="P68B1DB1-Normal12"/>
              <w:spacing w:after="0" w:line="240" w:lineRule="auto"/>
              <w:rPr>
                <w:rFonts w:eastAsia="Times New Roman"/>
                <w:noProof/>
              </w:rPr>
            </w:pPr>
            <w:r>
              <w:rPr>
                <w:noProof/>
              </w:rPr>
              <w:t>227</w:t>
            </w:r>
          </w:p>
        </w:tc>
        <w:tc>
          <w:tcPr>
            <w:tcW w:w="1976" w:type="dxa"/>
            <w:gridSpan w:val="2"/>
            <w:tcBorders>
              <w:top w:val="nil"/>
              <w:left w:val="nil"/>
              <w:bottom w:val="single" w:sz="4" w:space="0" w:color="auto"/>
              <w:right w:val="single" w:sz="4" w:space="0" w:color="auto"/>
            </w:tcBorders>
            <w:shd w:val="clear" w:color="auto" w:fill="C6EFCE"/>
            <w:noWrap/>
          </w:tcPr>
          <w:p w14:paraId="704CA68C" w14:textId="77777777" w:rsidR="00A00259" w:rsidRDefault="00371282">
            <w:pPr>
              <w:pStyle w:val="P68B1DB1-Normal12"/>
              <w:spacing w:after="0" w:line="240" w:lineRule="auto"/>
              <w:rPr>
                <w:rFonts w:eastAsia="Times New Roman"/>
                <w:noProof/>
              </w:rPr>
            </w:pPr>
            <w:r>
              <w:rPr>
                <w:noProof/>
              </w:rPr>
              <w:t>14 - 4.3. Améliorer l'efficacité du système judiciaire - 16292_Nouveaux bâtiments judiciaires</w:t>
            </w:r>
          </w:p>
        </w:tc>
        <w:tc>
          <w:tcPr>
            <w:tcW w:w="1424" w:type="dxa"/>
            <w:tcBorders>
              <w:top w:val="nil"/>
              <w:left w:val="nil"/>
              <w:bottom w:val="single" w:sz="4" w:space="0" w:color="auto"/>
              <w:right w:val="single" w:sz="4" w:space="0" w:color="auto"/>
            </w:tcBorders>
            <w:shd w:val="clear" w:color="auto" w:fill="C6EFCE"/>
            <w:noWrap/>
          </w:tcPr>
          <w:p w14:paraId="479E391A" w14:textId="77777777" w:rsidR="00A00259" w:rsidRDefault="00371282">
            <w:pPr>
              <w:pStyle w:val="P68B1DB1-Normal12"/>
              <w:spacing w:after="0" w:line="240" w:lineRule="auto"/>
              <w:rPr>
                <w:rFonts w:eastAsia="Times New Roman"/>
                <w:noProof/>
              </w:rPr>
            </w:pPr>
            <w:r>
              <w:rPr>
                <w:noProof/>
              </w:rPr>
              <w:t>Étape</w:t>
            </w:r>
          </w:p>
        </w:tc>
        <w:tc>
          <w:tcPr>
            <w:tcW w:w="1397" w:type="dxa"/>
            <w:tcBorders>
              <w:top w:val="nil"/>
              <w:left w:val="nil"/>
              <w:bottom w:val="single" w:sz="4" w:space="0" w:color="auto"/>
              <w:right w:val="single" w:sz="4" w:space="0" w:color="auto"/>
            </w:tcBorders>
            <w:shd w:val="clear" w:color="auto" w:fill="C6EFCE"/>
            <w:noWrap/>
          </w:tcPr>
          <w:p w14:paraId="1C01782F" w14:textId="77777777" w:rsidR="00A00259" w:rsidRDefault="00371282">
            <w:pPr>
              <w:pStyle w:val="P68B1DB1-Normal12"/>
              <w:spacing w:after="0" w:line="240" w:lineRule="auto"/>
              <w:rPr>
                <w:rFonts w:eastAsia="Times New Roman"/>
                <w:noProof/>
              </w:rPr>
            </w:pPr>
            <w:r>
              <w:rPr>
                <w:noProof/>
              </w:rPr>
              <w:t>Construction et Rénovation de Bâtiments Judiciaires - Ajustement de Liste - Lancement d'appels d'offres</w:t>
            </w:r>
          </w:p>
        </w:tc>
        <w:tc>
          <w:tcPr>
            <w:tcW w:w="1552" w:type="dxa"/>
            <w:tcBorders>
              <w:top w:val="nil"/>
              <w:left w:val="nil"/>
              <w:bottom w:val="single" w:sz="4" w:space="0" w:color="auto"/>
              <w:right w:val="single" w:sz="4" w:space="0" w:color="auto"/>
            </w:tcBorders>
            <w:shd w:val="clear" w:color="auto" w:fill="C6EFCE"/>
            <w:noWrap/>
          </w:tcPr>
          <w:p w14:paraId="7F6C5F76" w14:textId="77777777" w:rsidR="00A00259" w:rsidRDefault="00371282">
            <w:pPr>
              <w:pStyle w:val="P68B1DB1-Normal12"/>
              <w:spacing w:after="0" w:line="240" w:lineRule="auto"/>
              <w:rPr>
                <w:rFonts w:eastAsia="Times New Roman"/>
                <w:noProof/>
              </w:rPr>
            </w:pPr>
            <w:r>
              <w:rPr>
                <w:noProof/>
              </w:rPr>
              <w:t>Liste des projets de rénovation conformément à la loi pertinente sur la révision de la carte judiciaire, conformément au jalon 14 4.3 / T4 2022; lancement des appels d'offres</w:t>
            </w:r>
          </w:p>
        </w:tc>
        <w:tc>
          <w:tcPr>
            <w:tcW w:w="992" w:type="dxa"/>
            <w:tcBorders>
              <w:top w:val="nil"/>
              <w:left w:val="nil"/>
              <w:bottom w:val="single" w:sz="4" w:space="0" w:color="auto"/>
              <w:right w:val="single" w:sz="4" w:space="0" w:color="auto"/>
            </w:tcBorders>
            <w:shd w:val="clear" w:color="auto" w:fill="C6EFCE"/>
            <w:noWrap/>
          </w:tcPr>
          <w:p w14:paraId="7B97418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74B8D3A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tcBorders>
              <w:top w:val="nil"/>
              <w:left w:val="nil"/>
              <w:bottom w:val="single" w:sz="4" w:space="0" w:color="auto"/>
              <w:right w:val="single" w:sz="4" w:space="0" w:color="auto"/>
            </w:tcBorders>
            <w:shd w:val="clear" w:color="auto" w:fill="C6EFCE"/>
            <w:noWrap/>
          </w:tcPr>
          <w:p w14:paraId="719C3C6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nil"/>
              <w:left w:val="nil"/>
              <w:bottom w:val="single" w:sz="4" w:space="0" w:color="auto"/>
              <w:right w:val="single" w:sz="4" w:space="0" w:color="auto"/>
            </w:tcBorders>
            <w:shd w:val="clear" w:color="auto" w:fill="C6EFCE"/>
            <w:noWrap/>
          </w:tcPr>
          <w:p w14:paraId="11C71990" w14:textId="77777777" w:rsidR="00A00259" w:rsidRDefault="00371282">
            <w:pPr>
              <w:pStyle w:val="P68B1DB1-Normal12"/>
              <w:spacing w:after="0" w:line="240" w:lineRule="auto"/>
              <w:rPr>
                <w:rFonts w:eastAsia="Times New Roman"/>
                <w:noProof/>
              </w:rPr>
            </w:pPr>
            <w:r>
              <w:rPr>
                <w:noProof/>
              </w:rPr>
              <w:t>T4</w:t>
            </w:r>
          </w:p>
        </w:tc>
        <w:tc>
          <w:tcPr>
            <w:tcW w:w="622" w:type="dxa"/>
            <w:tcBorders>
              <w:top w:val="nil"/>
              <w:left w:val="nil"/>
              <w:bottom w:val="single" w:sz="4" w:space="0" w:color="auto"/>
              <w:right w:val="single" w:sz="4" w:space="0" w:color="auto"/>
            </w:tcBorders>
            <w:shd w:val="clear" w:color="auto" w:fill="C6EFCE"/>
            <w:noWrap/>
          </w:tcPr>
          <w:p w14:paraId="1E2C5573" w14:textId="77777777" w:rsidR="00A00259" w:rsidRDefault="00371282">
            <w:pPr>
              <w:pStyle w:val="P68B1DB1-Normal12"/>
              <w:spacing w:after="0" w:line="240" w:lineRule="auto"/>
              <w:rPr>
                <w:rFonts w:eastAsia="Times New Roman"/>
                <w:noProof/>
              </w:rPr>
            </w:pPr>
            <w:r>
              <w:rPr>
                <w:noProof/>
              </w:rPr>
              <w:t>2022</w:t>
            </w:r>
          </w:p>
        </w:tc>
        <w:tc>
          <w:tcPr>
            <w:tcW w:w="4885" w:type="dxa"/>
            <w:tcBorders>
              <w:top w:val="nil"/>
              <w:left w:val="nil"/>
              <w:bottom w:val="single" w:sz="4" w:space="0" w:color="auto"/>
              <w:right w:val="single" w:sz="4" w:space="0" w:color="auto"/>
            </w:tcBorders>
            <w:shd w:val="clear" w:color="auto" w:fill="C6EFCE"/>
            <w:noWrap/>
          </w:tcPr>
          <w:p w14:paraId="25D6CFBB" w14:textId="77777777" w:rsidR="00A00259" w:rsidRDefault="00371282">
            <w:pPr>
              <w:pStyle w:val="P68B1DB1-Normal12"/>
              <w:spacing w:after="0" w:line="240" w:lineRule="auto"/>
              <w:rPr>
                <w:noProof/>
              </w:rPr>
            </w:pPr>
            <w:r>
              <w:rPr>
                <w:noProof/>
              </w:rPr>
              <w:t>Ajustement de la liste des projets conformément à la révision de la carte judiciaire telle qu’adoptée par la loi.</w:t>
            </w:r>
          </w:p>
          <w:p w14:paraId="3CEC0031" w14:textId="77777777" w:rsidR="00A00259" w:rsidRDefault="00371282">
            <w:pPr>
              <w:pStyle w:val="P68B1DB1-Normal12"/>
              <w:spacing w:after="0" w:line="240" w:lineRule="auto"/>
              <w:rPr>
                <w:rFonts w:eastAsia="Times New Roman"/>
                <w:noProof/>
              </w:rPr>
            </w:pPr>
            <w:r>
              <w:rPr>
                <w:noProof/>
              </w:rPr>
              <w:t>Lancement des appels d'offres concernant les tribunaux administratifs. Les conditions de l’appel d’offres prévoient que les bâtiments nouvellement construits doivent répondre à une demande d’énergie primaire (DEP) inférieure d’au moins 20 % à l’exigence relative aux bâtiments dont la consommation d’énergie est quasi nulle (bâtiment dont la consommation d’énergie est quasi nulle, directives nationales).</w:t>
            </w:r>
          </w:p>
        </w:tc>
      </w:tr>
      <w:tr w:rsidR="00A00259" w14:paraId="7A89D926"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tcPr>
          <w:p w14:paraId="008EE374" w14:textId="77777777" w:rsidR="00A00259" w:rsidRDefault="00371282">
            <w:pPr>
              <w:pStyle w:val="P68B1DB1-Normal12"/>
              <w:spacing w:after="0" w:line="240" w:lineRule="auto"/>
              <w:rPr>
                <w:rFonts w:eastAsia="Times New Roman"/>
                <w:noProof/>
              </w:rPr>
            </w:pPr>
            <w:r>
              <w:rPr>
                <w:noProof/>
              </w:rPr>
              <w:t>228</w:t>
            </w:r>
          </w:p>
        </w:tc>
        <w:tc>
          <w:tcPr>
            <w:tcW w:w="1976" w:type="dxa"/>
            <w:gridSpan w:val="2"/>
            <w:tcBorders>
              <w:top w:val="nil"/>
              <w:left w:val="nil"/>
              <w:bottom w:val="single" w:sz="4" w:space="0" w:color="auto"/>
              <w:right w:val="single" w:sz="4" w:space="0" w:color="auto"/>
            </w:tcBorders>
            <w:shd w:val="clear" w:color="auto" w:fill="C6EFCE"/>
            <w:noWrap/>
          </w:tcPr>
          <w:p w14:paraId="04B8972F" w14:textId="77777777" w:rsidR="00A00259" w:rsidRDefault="00371282">
            <w:pPr>
              <w:pStyle w:val="P68B1DB1-Normal12"/>
              <w:spacing w:after="0" w:line="240" w:lineRule="auto"/>
              <w:rPr>
                <w:rFonts w:eastAsia="Times New Roman"/>
                <w:noProof/>
              </w:rPr>
            </w:pPr>
            <w:r>
              <w:rPr>
                <w:noProof/>
              </w:rPr>
              <w:t>14 - 4.3. «Améliorer l'efficacité du système judiciaire» - 16733_Compétences et compétences numériques des juges et du personnel judiciaire (personnel judiciaire)</w:t>
            </w:r>
          </w:p>
        </w:tc>
        <w:tc>
          <w:tcPr>
            <w:tcW w:w="1424" w:type="dxa"/>
            <w:tcBorders>
              <w:top w:val="nil"/>
              <w:left w:val="nil"/>
              <w:bottom w:val="single" w:sz="4" w:space="0" w:color="auto"/>
              <w:right w:val="single" w:sz="4" w:space="0" w:color="auto"/>
            </w:tcBorders>
            <w:shd w:val="clear" w:color="auto" w:fill="C6EFCE"/>
            <w:noWrap/>
          </w:tcPr>
          <w:p w14:paraId="388CA8D6" w14:textId="77777777" w:rsidR="00A00259" w:rsidRDefault="00371282">
            <w:pPr>
              <w:pStyle w:val="P68B1DB1-Normal12"/>
              <w:spacing w:after="0" w:line="240" w:lineRule="auto"/>
              <w:rPr>
                <w:rFonts w:eastAsia="Times New Roman"/>
                <w:noProof/>
              </w:rPr>
            </w:pPr>
            <w:r>
              <w:rPr>
                <w:noProof/>
              </w:rPr>
              <w:t>Objectif</w:t>
            </w:r>
          </w:p>
        </w:tc>
        <w:tc>
          <w:tcPr>
            <w:tcW w:w="1397" w:type="dxa"/>
            <w:tcBorders>
              <w:top w:val="nil"/>
              <w:left w:val="nil"/>
              <w:bottom w:val="single" w:sz="4" w:space="0" w:color="auto"/>
              <w:right w:val="single" w:sz="4" w:space="0" w:color="auto"/>
            </w:tcBorders>
            <w:shd w:val="clear" w:color="auto" w:fill="C6EFCE"/>
            <w:noWrap/>
          </w:tcPr>
          <w:p w14:paraId="0735F903" w14:textId="77777777" w:rsidR="00A00259" w:rsidRDefault="00371282">
            <w:pPr>
              <w:pStyle w:val="P68B1DB1-Normal12"/>
              <w:spacing w:after="0" w:line="240" w:lineRule="auto"/>
              <w:rPr>
                <w:rFonts w:eastAsia="Times New Roman"/>
                <w:noProof/>
              </w:rPr>
            </w:pPr>
            <w:r>
              <w:rPr>
                <w:noProof/>
              </w:rPr>
              <w:t>Formation – Juges et greffiers</w:t>
            </w:r>
          </w:p>
        </w:tc>
        <w:tc>
          <w:tcPr>
            <w:tcW w:w="1552" w:type="dxa"/>
            <w:tcBorders>
              <w:top w:val="nil"/>
              <w:left w:val="nil"/>
              <w:bottom w:val="single" w:sz="4" w:space="0" w:color="auto"/>
              <w:right w:val="single" w:sz="4" w:space="0" w:color="auto"/>
            </w:tcBorders>
            <w:shd w:val="clear" w:color="auto" w:fill="C6EFCE"/>
            <w:noWrap/>
          </w:tcPr>
          <w:p w14:paraId="3C9EA57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tcBorders>
              <w:top w:val="nil"/>
              <w:left w:val="nil"/>
              <w:bottom w:val="single" w:sz="4" w:space="0" w:color="auto"/>
              <w:right w:val="single" w:sz="4" w:space="0" w:color="auto"/>
            </w:tcBorders>
            <w:shd w:val="clear" w:color="auto" w:fill="C6EFCE"/>
            <w:noWrap/>
          </w:tcPr>
          <w:p w14:paraId="2D3E4A47" w14:textId="77777777" w:rsidR="00A00259" w:rsidRDefault="00371282">
            <w:pPr>
              <w:pStyle w:val="P68B1DB1-Normal12"/>
              <w:spacing w:after="0" w:line="240" w:lineRule="auto"/>
              <w:rPr>
                <w:rFonts w:eastAsia="Times New Roman"/>
                <w:noProof/>
              </w:rPr>
            </w:pPr>
            <w:r>
              <w:rPr>
                <w:noProof/>
              </w:rPr>
              <w:t>Nombre de juges inscrits à l ' École nationale des juges</w:t>
            </w:r>
          </w:p>
        </w:tc>
        <w:tc>
          <w:tcPr>
            <w:tcW w:w="857" w:type="dxa"/>
            <w:tcBorders>
              <w:top w:val="nil"/>
              <w:left w:val="nil"/>
              <w:bottom w:val="single" w:sz="4" w:space="0" w:color="auto"/>
              <w:right w:val="single" w:sz="4" w:space="0" w:color="auto"/>
            </w:tcBorders>
            <w:shd w:val="clear" w:color="auto" w:fill="C6EFCE"/>
            <w:noWrap/>
          </w:tcPr>
          <w:p w14:paraId="49B4584A" w14:textId="77777777" w:rsidR="00A00259" w:rsidRDefault="00371282">
            <w:pPr>
              <w:pStyle w:val="P68B1DB1-Normal12"/>
              <w:spacing w:after="0" w:line="240" w:lineRule="auto"/>
              <w:rPr>
                <w:rFonts w:eastAsia="Times New Roman"/>
                <w:noProof/>
              </w:rPr>
            </w:pPr>
            <w:r>
              <w:rPr>
                <w:noProof/>
              </w:rPr>
              <w:t>10</w:t>
            </w:r>
          </w:p>
        </w:tc>
        <w:tc>
          <w:tcPr>
            <w:tcW w:w="587" w:type="dxa"/>
            <w:tcBorders>
              <w:top w:val="nil"/>
              <w:left w:val="nil"/>
              <w:bottom w:val="single" w:sz="4" w:space="0" w:color="auto"/>
              <w:right w:val="single" w:sz="4" w:space="0" w:color="auto"/>
            </w:tcBorders>
            <w:shd w:val="clear" w:color="auto" w:fill="C6EFCE"/>
            <w:noWrap/>
          </w:tcPr>
          <w:p w14:paraId="26ABE833" w14:textId="77777777" w:rsidR="00A00259" w:rsidRDefault="00371282">
            <w:pPr>
              <w:pStyle w:val="P68B1DB1-Normal12"/>
              <w:spacing w:after="0" w:line="240" w:lineRule="auto"/>
              <w:rPr>
                <w:rFonts w:eastAsia="Times New Roman"/>
                <w:noProof/>
              </w:rPr>
            </w:pPr>
            <w:r>
              <w:rPr>
                <w:noProof/>
              </w:rPr>
              <w:t>25</w:t>
            </w:r>
          </w:p>
        </w:tc>
        <w:tc>
          <w:tcPr>
            <w:tcW w:w="846" w:type="dxa"/>
            <w:tcBorders>
              <w:top w:val="nil"/>
              <w:left w:val="nil"/>
              <w:bottom w:val="single" w:sz="4" w:space="0" w:color="auto"/>
              <w:right w:val="single" w:sz="4" w:space="0" w:color="auto"/>
            </w:tcBorders>
            <w:shd w:val="clear" w:color="auto" w:fill="C6EFCE"/>
            <w:noWrap/>
          </w:tcPr>
          <w:p w14:paraId="2BF7B3C9" w14:textId="77777777" w:rsidR="00A00259" w:rsidRDefault="00371282">
            <w:pPr>
              <w:pStyle w:val="P68B1DB1-Normal12"/>
              <w:spacing w:after="0" w:line="240" w:lineRule="auto"/>
              <w:rPr>
                <w:rFonts w:eastAsia="Times New Roman"/>
                <w:noProof/>
              </w:rPr>
            </w:pPr>
            <w:r>
              <w:rPr>
                <w:noProof/>
              </w:rPr>
              <w:t>T1</w:t>
            </w:r>
          </w:p>
        </w:tc>
        <w:tc>
          <w:tcPr>
            <w:tcW w:w="622" w:type="dxa"/>
            <w:tcBorders>
              <w:top w:val="nil"/>
              <w:left w:val="nil"/>
              <w:bottom w:val="single" w:sz="4" w:space="0" w:color="auto"/>
              <w:right w:val="single" w:sz="4" w:space="0" w:color="auto"/>
            </w:tcBorders>
            <w:shd w:val="clear" w:color="auto" w:fill="C6EFCE"/>
            <w:noWrap/>
          </w:tcPr>
          <w:p w14:paraId="58B8F5E4" w14:textId="77777777" w:rsidR="00A00259" w:rsidRDefault="00371282">
            <w:pPr>
              <w:pStyle w:val="P68B1DB1-Normal12"/>
              <w:spacing w:after="0" w:line="240" w:lineRule="auto"/>
              <w:rPr>
                <w:rFonts w:eastAsia="Times New Roman"/>
                <w:noProof/>
              </w:rPr>
            </w:pPr>
            <w:r>
              <w:rPr>
                <w:noProof/>
              </w:rPr>
              <w:t>2023</w:t>
            </w:r>
          </w:p>
        </w:tc>
        <w:tc>
          <w:tcPr>
            <w:tcW w:w="4885" w:type="dxa"/>
            <w:tcBorders>
              <w:top w:val="nil"/>
              <w:left w:val="nil"/>
              <w:bottom w:val="single" w:sz="4" w:space="0" w:color="auto"/>
              <w:right w:val="single" w:sz="4" w:space="0" w:color="auto"/>
            </w:tcBorders>
            <w:shd w:val="clear" w:color="auto" w:fill="C6EFCE"/>
            <w:noWrap/>
          </w:tcPr>
          <w:p w14:paraId="4ABE1DCB" w14:textId="77777777" w:rsidR="00A00259" w:rsidRDefault="00371282">
            <w:pPr>
              <w:pStyle w:val="P68B1DB1-Normal12"/>
              <w:spacing w:after="0" w:line="240" w:lineRule="auto"/>
              <w:rPr>
                <w:rFonts w:eastAsia="Times New Roman"/>
                <w:noProof/>
              </w:rPr>
            </w:pPr>
            <w:r>
              <w:rPr>
                <w:noProof/>
              </w:rPr>
              <w:t>14 juges de première instance supplémentaires inscrits à l'école nationale des juges, 1 juge de la cour des comptes inscrit à l'école nationale des juges. Cela porte à 25 le nombre total de juges participant à la formation.</w:t>
            </w:r>
          </w:p>
        </w:tc>
      </w:tr>
      <w:tr w:rsidR="00A00259" w14:paraId="5D564F6B"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tcPr>
          <w:p w14:paraId="155C6FEF" w14:textId="77777777" w:rsidR="00A00259" w:rsidRDefault="00371282">
            <w:pPr>
              <w:pStyle w:val="P68B1DB1-Normal12"/>
              <w:spacing w:after="0" w:line="240" w:lineRule="auto"/>
              <w:rPr>
                <w:rFonts w:eastAsia="Times New Roman"/>
                <w:noProof/>
              </w:rPr>
            </w:pPr>
            <w:r>
              <w:rPr>
                <w:noProof/>
              </w:rPr>
              <w:t>229</w:t>
            </w:r>
          </w:p>
        </w:tc>
        <w:tc>
          <w:tcPr>
            <w:tcW w:w="1976" w:type="dxa"/>
            <w:gridSpan w:val="2"/>
            <w:tcBorders>
              <w:top w:val="nil"/>
              <w:left w:val="nil"/>
              <w:bottom w:val="single" w:sz="4" w:space="0" w:color="auto"/>
              <w:right w:val="single" w:sz="4" w:space="0" w:color="auto"/>
            </w:tcBorders>
            <w:shd w:val="clear" w:color="auto" w:fill="C6EFCE"/>
            <w:noWrap/>
          </w:tcPr>
          <w:p w14:paraId="163ED14F" w14:textId="15C721DC" w:rsidR="00A00259" w:rsidRDefault="00371282">
            <w:pPr>
              <w:pStyle w:val="P68B1DB1-Normal12"/>
              <w:spacing w:after="0" w:line="240" w:lineRule="auto"/>
              <w:rPr>
                <w:rFonts w:eastAsia="Times New Roman"/>
                <w:noProof/>
              </w:rPr>
            </w:pPr>
            <w:r>
              <w:rPr>
                <w:noProof/>
              </w:rPr>
              <w:t>14 - 4.3. Améliorer l’efficacité du système judiciaire – 16727 Transformation numérique de la justice (Justice en ligne)</w:t>
            </w:r>
          </w:p>
        </w:tc>
        <w:tc>
          <w:tcPr>
            <w:tcW w:w="1424" w:type="dxa"/>
            <w:tcBorders>
              <w:top w:val="nil"/>
              <w:left w:val="nil"/>
              <w:bottom w:val="single" w:sz="4" w:space="0" w:color="auto"/>
              <w:right w:val="single" w:sz="4" w:space="0" w:color="auto"/>
            </w:tcBorders>
            <w:shd w:val="clear" w:color="auto" w:fill="C6EFCE"/>
            <w:noWrap/>
          </w:tcPr>
          <w:p w14:paraId="02F080FF" w14:textId="77777777" w:rsidR="00A00259" w:rsidRDefault="00371282">
            <w:pPr>
              <w:pStyle w:val="P68B1DB1-Normal12"/>
              <w:spacing w:after="0" w:line="240" w:lineRule="auto"/>
              <w:rPr>
                <w:rFonts w:eastAsia="Times New Roman"/>
                <w:noProof/>
              </w:rPr>
            </w:pPr>
            <w:r>
              <w:rPr>
                <w:noProof/>
              </w:rPr>
              <w:t>Étape</w:t>
            </w:r>
          </w:p>
        </w:tc>
        <w:tc>
          <w:tcPr>
            <w:tcW w:w="1397" w:type="dxa"/>
            <w:tcBorders>
              <w:top w:val="nil"/>
              <w:left w:val="nil"/>
              <w:bottom w:val="single" w:sz="4" w:space="0" w:color="auto"/>
              <w:right w:val="single" w:sz="4" w:space="0" w:color="auto"/>
            </w:tcBorders>
            <w:shd w:val="clear" w:color="auto" w:fill="C6EFCE"/>
            <w:noWrap/>
          </w:tcPr>
          <w:p w14:paraId="5F915A14" w14:textId="77777777" w:rsidR="00A00259" w:rsidRDefault="00371282">
            <w:pPr>
              <w:pStyle w:val="P68B1DB1-Normal12"/>
              <w:spacing w:after="0" w:line="240" w:lineRule="auto"/>
              <w:rPr>
                <w:rFonts w:eastAsia="Times New Roman"/>
                <w:noProof/>
              </w:rPr>
            </w:pPr>
            <w:r>
              <w:rPr>
                <w:noProof/>
              </w:rPr>
              <w:t>Mise à niveau des systèmes d'enregistrement &amp; Systèmes de justice informatique</w:t>
            </w:r>
          </w:p>
        </w:tc>
        <w:tc>
          <w:tcPr>
            <w:tcW w:w="1552" w:type="dxa"/>
            <w:tcBorders>
              <w:top w:val="nil"/>
              <w:left w:val="nil"/>
              <w:bottom w:val="single" w:sz="4" w:space="0" w:color="auto"/>
              <w:right w:val="single" w:sz="4" w:space="0" w:color="auto"/>
            </w:tcBorders>
            <w:shd w:val="clear" w:color="auto" w:fill="C6EFCE"/>
            <w:noWrap/>
          </w:tcPr>
          <w:p w14:paraId="663987E2" w14:textId="77777777" w:rsidR="00A00259" w:rsidRDefault="00371282">
            <w:pPr>
              <w:pStyle w:val="P68B1DB1-Normal12"/>
              <w:spacing w:after="0" w:line="240" w:lineRule="auto"/>
              <w:rPr>
                <w:rFonts w:eastAsia="Times New Roman"/>
                <w:noProof/>
              </w:rPr>
            </w:pPr>
            <w:r>
              <w:rPr>
                <w:noProof/>
              </w:rPr>
              <w:t xml:space="preserve">Rapports d'audit de projet pour confirmer le respect des obligations contractuelles </w:t>
            </w:r>
          </w:p>
        </w:tc>
        <w:tc>
          <w:tcPr>
            <w:tcW w:w="992" w:type="dxa"/>
            <w:tcBorders>
              <w:top w:val="nil"/>
              <w:left w:val="nil"/>
              <w:bottom w:val="single" w:sz="4" w:space="0" w:color="auto"/>
              <w:right w:val="single" w:sz="4" w:space="0" w:color="auto"/>
            </w:tcBorders>
            <w:shd w:val="clear" w:color="auto" w:fill="C6EFCE"/>
            <w:noWrap/>
          </w:tcPr>
          <w:p w14:paraId="481ED90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6279631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tcBorders>
              <w:top w:val="nil"/>
              <w:left w:val="nil"/>
              <w:bottom w:val="single" w:sz="4" w:space="0" w:color="auto"/>
              <w:right w:val="single" w:sz="4" w:space="0" w:color="auto"/>
            </w:tcBorders>
            <w:shd w:val="clear" w:color="auto" w:fill="C6EFCE"/>
            <w:noWrap/>
          </w:tcPr>
          <w:p w14:paraId="65DA8ED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nil"/>
              <w:left w:val="nil"/>
              <w:bottom w:val="single" w:sz="4" w:space="0" w:color="auto"/>
              <w:right w:val="single" w:sz="4" w:space="0" w:color="auto"/>
            </w:tcBorders>
            <w:shd w:val="clear" w:color="auto" w:fill="C6EFCE"/>
            <w:noWrap/>
          </w:tcPr>
          <w:p w14:paraId="0CA6BE20" w14:textId="77777777" w:rsidR="00A00259" w:rsidRDefault="00371282">
            <w:pPr>
              <w:pStyle w:val="P68B1DB1-Normal12"/>
              <w:spacing w:after="0" w:line="240" w:lineRule="auto"/>
              <w:rPr>
                <w:rFonts w:eastAsia="Times New Roman"/>
                <w:noProof/>
              </w:rPr>
            </w:pPr>
            <w:r>
              <w:rPr>
                <w:noProof/>
              </w:rPr>
              <w:t>T2</w:t>
            </w:r>
          </w:p>
        </w:tc>
        <w:tc>
          <w:tcPr>
            <w:tcW w:w="622" w:type="dxa"/>
            <w:tcBorders>
              <w:top w:val="nil"/>
              <w:left w:val="nil"/>
              <w:bottom w:val="single" w:sz="4" w:space="0" w:color="auto"/>
              <w:right w:val="single" w:sz="4" w:space="0" w:color="auto"/>
            </w:tcBorders>
            <w:shd w:val="clear" w:color="auto" w:fill="C6EFCE"/>
            <w:noWrap/>
          </w:tcPr>
          <w:p w14:paraId="73D89A4D" w14:textId="77777777" w:rsidR="00A00259" w:rsidRDefault="00371282">
            <w:pPr>
              <w:pStyle w:val="P68B1DB1-Normal12"/>
              <w:spacing w:after="0" w:line="240" w:lineRule="auto"/>
              <w:rPr>
                <w:rFonts w:eastAsia="Times New Roman"/>
                <w:noProof/>
              </w:rPr>
            </w:pPr>
            <w:r>
              <w:rPr>
                <w:noProof/>
              </w:rPr>
              <w:t>2023</w:t>
            </w:r>
          </w:p>
        </w:tc>
        <w:tc>
          <w:tcPr>
            <w:tcW w:w="4885" w:type="dxa"/>
            <w:tcBorders>
              <w:top w:val="nil"/>
              <w:left w:val="nil"/>
              <w:bottom w:val="single" w:sz="4" w:space="0" w:color="auto"/>
              <w:right w:val="single" w:sz="4" w:space="0" w:color="auto"/>
            </w:tcBorders>
            <w:shd w:val="clear" w:color="auto" w:fill="C6EFCE"/>
            <w:noWrap/>
          </w:tcPr>
          <w:p w14:paraId="57A48384" w14:textId="77777777" w:rsidR="00A00259" w:rsidRDefault="00371282">
            <w:pPr>
              <w:pStyle w:val="P68B1DB1-Normal12"/>
              <w:spacing w:after="0" w:line="240" w:lineRule="auto"/>
              <w:rPr>
                <w:rFonts w:eastAsia="Times New Roman"/>
                <w:noProof/>
              </w:rPr>
            </w:pPr>
            <w:r>
              <w:rPr>
                <w:noProof/>
              </w:rPr>
              <w:t>Réception de preuves officielles, au moyen de documents appropriés (certificats d’achèvement, protocoles d’acceptation qualitative et quantitative et factures émises), de l’exécution due et ponctuelle de tous les engagements contractuels dus à la date de soumission à l’auditeur externe, conformément aux calendriers des projets, couvrant tous les éléments des deux sous-projets (systèmes d’enregistrement judiciaire et mises à niveau des systèmes de justice informatique (OSDDY-PP, Cour des comptes, casier judiciaire national), par des moyens appropriés (tels que rapports d’audit de projet, certificats de livraison qualitative/quantitative et preuves de décaissement).</w:t>
            </w:r>
          </w:p>
        </w:tc>
      </w:tr>
      <w:tr w:rsidR="00A00259" w14:paraId="0FB539E9"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hideMark/>
          </w:tcPr>
          <w:p w14:paraId="5331AE5C" w14:textId="77777777" w:rsidR="00A00259" w:rsidRDefault="00371282">
            <w:pPr>
              <w:pStyle w:val="P68B1DB1-Normal12"/>
              <w:spacing w:after="0" w:line="240" w:lineRule="auto"/>
              <w:rPr>
                <w:rFonts w:eastAsia="Times New Roman"/>
                <w:noProof/>
              </w:rPr>
            </w:pPr>
            <w:r>
              <w:rPr>
                <w:noProof/>
              </w:rPr>
              <w:t>230</w:t>
            </w:r>
          </w:p>
        </w:tc>
        <w:tc>
          <w:tcPr>
            <w:tcW w:w="1976" w:type="dxa"/>
            <w:gridSpan w:val="2"/>
            <w:tcBorders>
              <w:top w:val="nil"/>
              <w:left w:val="nil"/>
              <w:bottom w:val="single" w:sz="4" w:space="0" w:color="auto"/>
              <w:right w:val="single" w:sz="4" w:space="0" w:color="auto"/>
            </w:tcBorders>
            <w:shd w:val="clear" w:color="auto" w:fill="C6EFCE"/>
            <w:noWrap/>
            <w:hideMark/>
          </w:tcPr>
          <w:p w14:paraId="33FAEE3E" w14:textId="136AC446" w:rsidR="00A00259" w:rsidRDefault="00371282">
            <w:pPr>
              <w:pStyle w:val="P68B1DB1-Normal12"/>
              <w:spacing w:after="0" w:line="240" w:lineRule="auto"/>
              <w:rPr>
                <w:rFonts w:eastAsia="Times New Roman"/>
                <w:noProof/>
              </w:rPr>
            </w:pPr>
            <w:r>
              <w:rPr>
                <w:noProof/>
              </w:rPr>
              <w:t>14 - 4.3. Améliorer l'efficacité du système judiciaire - 16575 Accélérer l'administration de la justice</w:t>
            </w:r>
          </w:p>
        </w:tc>
        <w:tc>
          <w:tcPr>
            <w:tcW w:w="1424" w:type="dxa"/>
            <w:tcBorders>
              <w:top w:val="nil"/>
              <w:left w:val="nil"/>
              <w:bottom w:val="single" w:sz="4" w:space="0" w:color="auto"/>
              <w:right w:val="single" w:sz="4" w:space="0" w:color="auto"/>
            </w:tcBorders>
            <w:shd w:val="clear" w:color="auto" w:fill="C6EFCE"/>
            <w:noWrap/>
            <w:hideMark/>
          </w:tcPr>
          <w:p w14:paraId="3C928CCD" w14:textId="77777777" w:rsidR="00A00259" w:rsidRDefault="00371282">
            <w:pPr>
              <w:pStyle w:val="P68B1DB1-Normal12"/>
              <w:spacing w:after="0" w:line="240" w:lineRule="auto"/>
              <w:rPr>
                <w:rFonts w:eastAsia="Times New Roman"/>
                <w:noProof/>
              </w:rPr>
            </w:pPr>
            <w:r>
              <w:rPr>
                <w:noProof/>
              </w:rPr>
              <w:t> Étape</w:t>
            </w:r>
          </w:p>
        </w:tc>
        <w:tc>
          <w:tcPr>
            <w:tcW w:w="1397" w:type="dxa"/>
            <w:tcBorders>
              <w:top w:val="nil"/>
              <w:left w:val="nil"/>
              <w:bottom w:val="single" w:sz="4" w:space="0" w:color="auto"/>
              <w:right w:val="single" w:sz="4" w:space="0" w:color="auto"/>
            </w:tcBorders>
            <w:shd w:val="clear" w:color="auto" w:fill="C6EFCE"/>
            <w:noWrap/>
            <w:hideMark/>
          </w:tcPr>
          <w:p w14:paraId="5D306ADD" w14:textId="77777777" w:rsidR="00A00259" w:rsidRDefault="00371282">
            <w:pPr>
              <w:pStyle w:val="P68B1DB1-Normal12"/>
              <w:spacing w:after="0" w:line="240" w:lineRule="auto"/>
              <w:rPr>
                <w:rFonts w:eastAsia="Times New Roman"/>
                <w:noProof/>
              </w:rPr>
            </w:pPr>
            <w:r>
              <w:rPr>
                <w:noProof/>
              </w:rPr>
              <w:t>Entrée en vigueur – Outil de performance des huissiers de justice</w:t>
            </w:r>
          </w:p>
        </w:tc>
        <w:tc>
          <w:tcPr>
            <w:tcW w:w="1552" w:type="dxa"/>
            <w:tcBorders>
              <w:top w:val="nil"/>
              <w:left w:val="nil"/>
              <w:bottom w:val="single" w:sz="4" w:space="0" w:color="auto"/>
              <w:right w:val="single" w:sz="4" w:space="0" w:color="auto"/>
            </w:tcBorders>
            <w:shd w:val="clear" w:color="auto" w:fill="C6EFCE"/>
            <w:noWrap/>
            <w:hideMark/>
          </w:tcPr>
          <w:p w14:paraId="25808AAF" w14:textId="77777777" w:rsidR="00A00259" w:rsidRDefault="00371282">
            <w:pPr>
              <w:pStyle w:val="P68B1DB1-Normal12"/>
              <w:spacing w:after="0" w:line="240" w:lineRule="auto"/>
              <w:rPr>
                <w:rFonts w:eastAsia="Times New Roman"/>
                <w:noProof/>
              </w:rPr>
            </w:pPr>
            <w:r>
              <w:rPr>
                <w:noProof/>
              </w:rPr>
              <w:t>Entrée en vigueur du droit primaire et du droit dérivé</w:t>
            </w:r>
          </w:p>
        </w:tc>
        <w:tc>
          <w:tcPr>
            <w:tcW w:w="992" w:type="dxa"/>
            <w:tcBorders>
              <w:top w:val="nil"/>
              <w:left w:val="nil"/>
              <w:bottom w:val="single" w:sz="4" w:space="0" w:color="auto"/>
              <w:right w:val="single" w:sz="4" w:space="0" w:color="auto"/>
            </w:tcBorders>
            <w:shd w:val="clear" w:color="auto" w:fill="C6EFCE"/>
            <w:noWrap/>
            <w:hideMark/>
          </w:tcPr>
          <w:p w14:paraId="4F5532B7" w14:textId="77777777" w:rsidR="00A00259" w:rsidRDefault="00371282">
            <w:pPr>
              <w:pStyle w:val="P68B1DB1-Normal12"/>
              <w:spacing w:after="0" w:line="240" w:lineRule="auto"/>
              <w:rPr>
                <w:rFonts w:eastAsia="Times New Roman"/>
                <w:noProof/>
              </w:rPr>
            </w:pPr>
            <w:r>
              <w:rPr>
                <w:noProof/>
              </w:rPr>
              <w:t xml:space="preserve"> </w:t>
            </w:r>
          </w:p>
        </w:tc>
        <w:tc>
          <w:tcPr>
            <w:tcW w:w="857" w:type="dxa"/>
            <w:tcBorders>
              <w:top w:val="nil"/>
              <w:left w:val="nil"/>
              <w:bottom w:val="single" w:sz="4" w:space="0" w:color="auto"/>
              <w:right w:val="single" w:sz="4" w:space="0" w:color="auto"/>
            </w:tcBorders>
            <w:shd w:val="clear" w:color="auto" w:fill="C6EFCE"/>
            <w:noWrap/>
            <w:hideMark/>
          </w:tcPr>
          <w:p w14:paraId="128779D7" w14:textId="77777777" w:rsidR="00A00259" w:rsidRDefault="00371282">
            <w:pPr>
              <w:pStyle w:val="P68B1DB1-Normal12"/>
              <w:spacing w:after="0" w:line="240" w:lineRule="auto"/>
              <w:rPr>
                <w:rFonts w:eastAsia="Times New Roman"/>
                <w:noProof/>
              </w:rPr>
            </w:pPr>
            <w:r>
              <w:rPr>
                <w:noProof/>
              </w:rPr>
              <w:t xml:space="preserve"> </w:t>
            </w:r>
          </w:p>
        </w:tc>
        <w:tc>
          <w:tcPr>
            <w:tcW w:w="587" w:type="dxa"/>
            <w:tcBorders>
              <w:top w:val="nil"/>
              <w:left w:val="nil"/>
              <w:bottom w:val="single" w:sz="4" w:space="0" w:color="auto"/>
              <w:right w:val="single" w:sz="4" w:space="0" w:color="auto"/>
            </w:tcBorders>
            <w:shd w:val="clear" w:color="auto" w:fill="C6EFCE"/>
            <w:noWrap/>
            <w:hideMark/>
          </w:tcPr>
          <w:p w14:paraId="7259DB09" w14:textId="77777777" w:rsidR="00A00259" w:rsidRDefault="00371282">
            <w:pPr>
              <w:pStyle w:val="P68B1DB1-Normal12"/>
              <w:spacing w:after="0" w:line="240" w:lineRule="auto"/>
              <w:rPr>
                <w:rFonts w:eastAsia="Times New Roman"/>
                <w:noProof/>
              </w:rPr>
            </w:pPr>
            <w:r>
              <w:rPr>
                <w:noProof/>
              </w:rPr>
              <w:t xml:space="preserve"> </w:t>
            </w:r>
          </w:p>
        </w:tc>
        <w:tc>
          <w:tcPr>
            <w:tcW w:w="846" w:type="dxa"/>
            <w:tcBorders>
              <w:top w:val="nil"/>
              <w:left w:val="nil"/>
              <w:bottom w:val="single" w:sz="4" w:space="0" w:color="auto"/>
              <w:right w:val="single" w:sz="4" w:space="0" w:color="auto"/>
            </w:tcBorders>
            <w:shd w:val="clear" w:color="auto" w:fill="C6EFCE"/>
            <w:noWrap/>
            <w:hideMark/>
          </w:tcPr>
          <w:p w14:paraId="7C34CF5E" w14:textId="77777777" w:rsidR="00A00259" w:rsidRDefault="00371282">
            <w:pPr>
              <w:pStyle w:val="P68B1DB1-Normal12"/>
              <w:spacing w:after="0" w:line="240" w:lineRule="auto"/>
              <w:rPr>
                <w:rFonts w:eastAsia="Times New Roman"/>
                <w:noProof/>
              </w:rPr>
            </w:pPr>
            <w:r>
              <w:rPr>
                <w:noProof/>
              </w:rPr>
              <w:t>T2</w:t>
            </w:r>
          </w:p>
        </w:tc>
        <w:tc>
          <w:tcPr>
            <w:tcW w:w="622" w:type="dxa"/>
            <w:tcBorders>
              <w:top w:val="nil"/>
              <w:left w:val="nil"/>
              <w:bottom w:val="single" w:sz="4" w:space="0" w:color="auto"/>
              <w:right w:val="single" w:sz="4" w:space="0" w:color="auto"/>
            </w:tcBorders>
            <w:shd w:val="clear" w:color="auto" w:fill="C6EFCE"/>
            <w:noWrap/>
            <w:hideMark/>
          </w:tcPr>
          <w:p w14:paraId="110446F5" w14:textId="77777777" w:rsidR="00A00259" w:rsidRDefault="00371282">
            <w:pPr>
              <w:pStyle w:val="P68B1DB1-Normal12"/>
              <w:spacing w:after="0" w:line="240" w:lineRule="auto"/>
              <w:rPr>
                <w:rFonts w:eastAsia="Times New Roman"/>
                <w:noProof/>
              </w:rPr>
            </w:pPr>
            <w:r>
              <w:rPr>
                <w:noProof/>
              </w:rPr>
              <w:t>2023</w:t>
            </w:r>
          </w:p>
        </w:tc>
        <w:tc>
          <w:tcPr>
            <w:tcW w:w="4885" w:type="dxa"/>
            <w:tcBorders>
              <w:top w:val="nil"/>
              <w:left w:val="nil"/>
              <w:bottom w:val="single" w:sz="4" w:space="0" w:color="auto"/>
              <w:right w:val="single" w:sz="4" w:space="0" w:color="auto"/>
            </w:tcBorders>
            <w:shd w:val="clear" w:color="auto" w:fill="C6EFCE"/>
            <w:noWrap/>
            <w:hideMark/>
          </w:tcPr>
          <w:p w14:paraId="6C22D794" w14:textId="77777777" w:rsidR="00A00259" w:rsidRDefault="00371282">
            <w:pPr>
              <w:pStyle w:val="P68B1DB1-Normal12"/>
              <w:spacing w:after="0" w:line="240" w:lineRule="auto"/>
              <w:rPr>
                <w:rFonts w:eastAsia="Times New Roman"/>
                <w:noProof/>
              </w:rPr>
            </w:pPr>
            <w:r>
              <w:rPr>
                <w:noProof/>
              </w:rPr>
              <w:t>Entrée en vigueur du droit primaire et du droit dérivé visant à mettre en place un système de primes temporaires fondé sur l’élaboration d’un outil de performance des commis judiciaires fixant des objectifs stratégiques et introduisant des indicateurs de performance clés objectifs (tels que le temps nécessaire pour accomplir une tâche, la performance individuelle en termes de temps, de communication et de motivation) par département et/ou catégorie de commis et fournissant des données précises et objectives sur l’attribution des primes; les primes à verser au cours du premier trimestre suivant la fin de l’année concernée, sur la base des résultats de cette année.</w:t>
            </w:r>
          </w:p>
        </w:tc>
      </w:tr>
      <w:tr w:rsidR="00A00259" w14:paraId="3D8846B8"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hideMark/>
          </w:tcPr>
          <w:p w14:paraId="367B5DE9" w14:textId="77777777" w:rsidR="00A00259" w:rsidRDefault="00371282">
            <w:pPr>
              <w:pStyle w:val="P68B1DB1-Normal12"/>
              <w:spacing w:after="0" w:line="240" w:lineRule="auto"/>
              <w:rPr>
                <w:rFonts w:eastAsia="Times New Roman"/>
                <w:noProof/>
              </w:rPr>
            </w:pPr>
            <w:r>
              <w:rPr>
                <w:noProof/>
              </w:rPr>
              <w:t>231</w:t>
            </w:r>
          </w:p>
        </w:tc>
        <w:tc>
          <w:tcPr>
            <w:tcW w:w="1976" w:type="dxa"/>
            <w:gridSpan w:val="2"/>
            <w:tcBorders>
              <w:top w:val="nil"/>
              <w:left w:val="nil"/>
              <w:bottom w:val="single" w:sz="4" w:space="0" w:color="auto"/>
              <w:right w:val="single" w:sz="4" w:space="0" w:color="auto"/>
            </w:tcBorders>
            <w:shd w:val="clear" w:color="auto" w:fill="C6EFCE"/>
            <w:noWrap/>
            <w:hideMark/>
          </w:tcPr>
          <w:p w14:paraId="35CE8B50" w14:textId="01F8729F" w:rsidR="00A00259" w:rsidRDefault="00371282">
            <w:pPr>
              <w:pStyle w:val="P68B1DB1-Normal12"/>
              <w:spacing w:after="0" w:line="240" w:lineRule="auto"/>
              <w:rPr>
                <w:rFonts w:eastAsia="Times New Roman"/>
                <w:noProof/>
              </w:rPr>
            </w:pPr>
            <w:r>
              <w:rPr>
                <w:noProof/>
              </w:rPr>
              <w:t>14 - 4.3. Améliorer l'efficacité du système judiciaire - 16292_Nouveaux bâtiments judiciaires</w:t>
            </w:r>
          </w:p>
        </w:tc>
        <w:tc>
          <w:tcPr>
            <w:tcW w:w="1424" w:type="dxa"/>
            <w:tcBorders>
              <w:top w:val="nil"/>
              <w:left w:val="nil"/>
              <w:bottom w:val="single" w:sz="4" w:space="0" w:color="auto"/>
              <w:right w:val="single" w:sz="4" w:space="0" w:color="auto"/>
            </w:tcBorders>
            <w:shd w:val="clear" w:color="auto" w:fill="C6EFCE"/>
            <w:noWrap/>
            <w:hideMark/>
          </w:tcPr>
          <w:p w14:paraId="4FC34378" w14:textId="77777777" w:rsidR="00A00259" w:rsidRDefault="00371282">
            <w:pPr>
              <w:pStyle w:val="P68B1DB1-Normal12"/>
              <w:spacing w:after="0" w:line="240" w:lineRule="auto"/>
              <w:rPr>
                <w:rFonts w:eastAsia="Times New Roman"/>
                <w:noProof/>
              </w:rPr>
            </w:pPr>
            <w:r>
              <w:rPr>
                <w:noProof/>
              </w:rPr>
              <w:t> Étape</w:t>
            </w:r>
          </w:p>
        </w:tc>
        <w:tc>
          <w:tcPr>
            <w:tcW w:w="1397" w:type="dxa"/>
            <w:tcBorders>
              <w:top w:val="nil"/>
              <w:left w:val="nil"/>
              <w:bottom w:val="single" w:sz="4" w:space="0" w:color="auto"/>
              <w:right w:val="single" w:sz="4" w:space="0" w:color="auto"/>
            </w:tcBorders>
            <w:shd w:val="clear" w:color="auto" w:fill="C6EFCE"/>
            <w:noWrap/>
            <w:hideMark/>
          </w:tcPr>
          <w:p w14:paraId="11003068" w14:textId="77777777" w:rsidR="00A00259" w:rsidRDefault="00371282">
            <w:pPr>
              <w:pStyle w:val="P68B1DB1-Normal12"/>
              <w:spacing w:after="0" w:line="240" w:lineRule="auto"/>
              <w:rPr>
                <w:rFonts w:eastAsia="Times New Roman"/>
                <w:noProof/>
              </w:rPr>
            </w:pPr>
            <w:r>
              <w:rPr>
                <w:noProof/>
              </w:rPr>
              <w:t xml:space="preserve">Contrats </w:t>
            </w:r>
          </w:p>
        </w:tc>
        <w:tc>
          <w:tcPr>
            <w:tcW w:w="1552" w:type="dxa"/>
            <w:tcBorders>
              <w:top w:val="nil"/>
              <w:left w:val="nil"/>
              <w:bottom w:val="single" w:sz="4" w:space="0" w:color="auto"/>
              <w:right w:val="single" w:sz="4" w:space="0" w:color="auto"/>
            </w:tcBorders>
            <w:shd w:val="clear" w:color="auto" w:fill="C6EFCE"/>
            <w:noWrap/>
            <w:hideMark/>
          </w:tcPr>
          <w:p w14:paraId="4F4DC924" w14:textId="77777777" w:rsidR="00A00259" w:rsidRDefault="00371282">
            <w:pPr>
              <w:pStyle w:val="P68B1DB1-Normal12"/>
              <w:spacing w:after="0" w:line="240" w:lineRule="auto"/>
              <w:rPr>
                <w:rFonts w:eastAsia="Times New Roman"/>
                <w:noProof/>
              </w:rPr>
            </w:pPr>
            <w:r>
              <w:rPr>
                <w:noProof/>
              </w:rPr>
              <w:t>Attribution des marchés</w:t>
            </w:r>
          </w:p>
        </w:tc>
        <w:tc>
          <w:tcPr>
            <w:tcW w:w="992" w:type="dxa"/>
            <w:tcBorders>
              <w:top w:val="nil"/>
              <w:left w:val="nil"/>
              <w:bottom w:val="single" w:sz="4" w:space="0" w:color="auto"/>
              <w:right w:val="single" w:sz="4" w:space="0" w:color="auto"/>
            </w:tcBorders>
            <w:shd w:val="clear" w:color="auto" w:fill="C6EFCE"/>
            <w:noWrap/>
            <w:hideMark/>
          </w:tcPr>
          <w:p w14:paraId="762A4F3A" w14:textId="77777777" w:rsidR="00A00259" w:rsidRDefault="00371282">
            <w:pPr>
              <w:pStyle w:val="P68B1DB1-Normal12"/>
              <w:spacing w:after="0" w:line="240" w:lineRule="auto"/>
              <w:rPr>
                <w:rFonts w:eastAsia="Times New Roman"/>
                <w:noProof/>
              </w:rPr>
            </w:pPr>
            <w:r>
              <w:rPr>
                <w:noProof/>
              </w:rPr>
              <w:t xml:space="preserve"> </w:t>
            </w:r>
          </w:p>
        </w:tc>
        <w:tc>
          <w:tcPr>
            <w:tcW w:w="857" w:type="dxa"/>
            <w:tcBorders>
              <w:top w:val="nil"/>
              <w:left w:val="nil"/>
              <w:bottom w:val="single" w:sz="4" w:space="0" w:color="auto"/>
              <w:right w:val="single" w:sz="4" w:space="0" w:color="auto"/>
            </w:tcBorders>
            <w:shd w:val="clear" w:color="auto" w:fill="C6EFCE"/>
            <w:noWrap/>
            <w:hideMark/>
          </w:tcPr>
          <w:p w14:paraId="502E6C84" w14:textId="77777777" w:rsidR="00A00259" w:rsidRDefault="00371282">
            <w:pPr>
              <w:pStyle w:val="P68B1DB1-Normal12"/>
              <w:spacing w:after="0" w:line="240" w:lineRule="auto"/>
              <w:rPr>
                <w:rFonts w:eastAsia="Times New Roman"/>
                <w:noProof/>
              </w:rPr>
            </w:pPr>
            <w:r>
              <w:rPr>
                <w:noProof/>
              </w:rPr>
              <w:t xml:space="preserve"> </w:t>
            </w:r>
          </w:p>
        </w:tc>
        <w:tc>
          <w:tcPr>
            <w:tcW w:w="587" w:type="dxa"/>
            <w:tcBorders>
              <w:top w:val="nil"/>
              <w:left w:val="nil"/>
              <w:bottom w:val="single" w:sz="4" w:space="0" w:color="auto"/>
              <w:right w:val="single" w:sz="4" w:space="0" w:color="auto"/>
            </w:tcBorders>
            <w:shd w:val="clear" w:color="auto" w:fill="C6EFCE"/>
            <w:noWrap/>
            <w:hideMark/>
          </w:tcPr>
          <w:p w14:paraId="2005D4F4" w14:textId="77777777" w:rsidR="00A00259" w:rsidRDefault="00371282">
            <w:pPr>
              <w:pStyle w:val="P68B1DB1-Normal12"/>
              <w:spacing w:after="0" w:line="240" w:lineRule="auto"/>
              <w:rPr>
                <w:rFonts w:eastAsia="Times New Roman"/>
                <w:noProof/>
              </w:rPr>
            </w:pPr>
            <w:r>
              <w:rPr>
                <w:noProof/>
              </w:rPr>
              <w:t xml:space="preserve"> </w:t>
            </w:r>
          </w:p>
        </w:tc>
        <w:tc>
          <w:tcPr>
            <w:tcW w:w="846" w:type="dxa"/>
            <w:tcBorders>
              <w:top w:val="nil"/>
              <w:left w:val="nil"/>
              <w:bottom w:val="single" w:sz="4" w:space="0" w:color="auto"/>
              <w:right w:val="single" w:sz="4" w:space="0" w:color="auto"/>
            </w:tcBorders>
            <w:shd w:val="clear" w:color="auto" w:fill="C6EFCE"/>
            <w:noWrap/>
            <w:hideMark/>
          </w:tcPr>
          <w:p w14:paraId="1AC755AE" w14:textId="77777777" w:rsidR="00A00259" w:rsidRDefault="00371282">
            <w:pPr>
              <w:pStyle w:val="P68B1DB1-Normal12"/>
              <w:spacing w:after="0" w:line="240" w:lineRule="auto"/>
              <w:rPr>
                <w:rFonts w:eastAsia="Times New Roman"/>
                <w:noProof/>
              </w:rPr>
            </w:pPr>
            <w:r>
              <w:rPr>
                <w:noProof/>
              </w:rPr>
              <w:t>T2</w:t>
            </w:r>
          </w:p>
        </w:tc>
        <w:tc>
          <w:tcPr>
            <w:tcW w:w="622" w:type="dxa"/>
            <w:tcBorders>
              <w:top w:val="nil"/>
              <w:left w:val="nil"/>
              <w:bottom w:val="single" w:sz="4" w:space="0" w:color="auto"/>
              <w:right w:val="single" w:sz="4" w:space="0" w:color="auto"/>
            </w:tcBorders>
            <w:shd w:val="clear" w:color="auto" w:fill="C6EFCE"/>
            <w:noWrap/>
            <w:hideMark/>
          </w:tcPr>
          <w:p w14:paraId="6C2EC129" w14:textId="77777777" w:rsidR="00A00259" w:rsidRDefault="00371282">
            <w:pPr>
              <w:pStyle w:val="P68B1DB1-Normal12"/>
              <w:spacing w:after="0" w:line="240" w:lineRule="auto"/>
              <w:rPr>
                <w:rFonts w:eastAsia="Times New Roman"/>
                <w:noProof/>
              </w:rPr>
            </w:pPr>
            <w:r>
              <w:rPr>
                <w:noProof/>
              </w:rPr>
              <w:t>2023</w:t>
            </w:r>
          </w:p>
        </w:tc>
        <w:tc>
          <w:tcPr>
            <w:tcW w:w="4885" w:type="dxa"/>
            <w:tcBorders>
              <w:top w:val="nil"/>
              <w:left w:val="nil"/>
              <w:bottom w:val="single" w:sz="4" w:space="0" w:color="auto"/>
              <w:right w:val="single" w:sz="4" w:space="0" w:color="auto"/>
            </w:tcBorders>
            <w:shd w:val="clear" w:color="auto" w:fill="C6EFCE"/>
            <w:noWrap/>
            <w:hideMark/>
          </w:tcPr>
          <w:p w14:paraId="58B530A3" w14:textId="77777777" w:rsidR="00A00259" w:rsidRDefault="00371282">
            <w:pPr>
              <w:pStyle w:val="P68B1DB1-Normal12"/>
              <w:spacing w:after="0" w:line="240" w:lineRule="auto"/>
              <w:jc w:val="both"/>
              <w:rPr>
                <w:noProof/>
              </w:rPr>
            </w:pPr>
            <w:r>
              <w:rPr>
                <w:noProof/>
              </w:rPr>
              <w:t>Attribution de marchés pour des projets de construction non concernés par la révision de la carte judiciaire.</w:t>
            </w:r>
          </w:p>
          <w:p w14:paraId="3A17C90A" w14:textId="77777777" w:rsidR="00A00259" w:rsidRDefault="00371282">
            <w:pPr>
              <w:pStyle w:val="P68B1DB1-Normal12"/>
              <w:spacing w:after="0" w:line="240" w:lineRule="auto"/>
              <w:rPr>
                <w:rFonts w:eastAsia="Times New Roman"/>
                <w:noProof/>
              </w:rPr>
            </w:pPr>
            <w:r>
              <w:rPr>
                <w:noProof/>
              </w:rPr>
              <w:t>Les conditions d’attribution prévoient que les nouveaux bâtiments à construire atteignent une demande d’énergie primaire (DEP) inférieure d’au moins 20 % à l’exigence relative aux bâtiments dont la consommation d’énergie est quasi nulle (bâtiment dont la consommation d’énergie est quasi nulle, directives nationales).</w:t>
            </w:r>
          </w:p>
        </w:tc>
      </w:tr>
      <w:tr w:rsidR="00A00259" w14:paraId="5677A746"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300DE2A0" w14:textId="77777777" w:rsidR="00A00259" w:rsidRDefault="00371282">
            <w:pPr>
              <w:pStyle w:val="P68B1DB1-Normal12"/>
              <w:spacing w:after="0" w:line="240" w:lineRule="auto"/>
              <w:rPr>
                <w:rFonts w:eastAsia="Times New Roman"/>
                <w:noProof/>
              </w:rPr>
            </w:pPr>
            <w:r>
              <w:rPr>
                <w:noProof/>
              </w:rPr>
              <w:t>232</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1FBBEF8A" w14:textId="77777777" w:rsidR="00A00259" w:rsidRDefault="00371282">
            <w:pPr>
              <w:pStyle w:val="P68B1DB1-Normal12"/>
              <w:spacing w:after="0" w:line="240" w:lineRule="auto"/>
              <w:rPr>
                <w:rFonts w:eastAsia="Times New Roman"/>
                <w:noProof/>
              </w:rPr>
            </w:pPr>
            <w:r>
              <w:rPr>
                <w:noProof/>
              </w:rPr>
              <w:t>14 - 4.3. Améliorer l’efficacité du système judiciaire – 16575 Accélérer l’administration de la justice</w:t>
            </w:r>
          </w:p>
        </w:tc>
        <w:tc>
          <w:tcPr>
            <w:tcW w:w="1424" w:type="dxa"/>
            <w:tcBorders>
              <w:top w:val="single" w:sz="4" w:space="0" w:color="auto"/>
              <w:left w:val="nil"/>
              <w:bottom w:val="single" w:sz="4" w:space="0" w:color="auto"/>
              <w:right w:val="single" w:sz="4" w:space="0" w:color="auto"/>
            </w:tcBorders>
            <w:shd w:val="clear" w:color="auto" w:fill="C6EFCE"/>
            <w:noWrap/>
          </w:tcPr>
          <w:p w14:paraId="07E14BB1" w14:textId="77777777" w:rsidR="00A00259" w:rsidRDefault="00371282">
            <w:pPr>
              <w:pStyle w:val="P68B1DB1-Normal12"/>
              <w:spacing w:after="0" w:line="240" w:lineRule="auto"/>
              <w:rPr>
                <w:rFonts w:eastAsia="Times New Roman"/>
                <w:noProof/>
              </w:rPr>
            </w:pPr>
            <w:r>
              <w:rPr>
                <w:noProof/>
              </w:rPr>
              <w:t>Étape</w:t>
            </w:r>
          </w:p>
        </w:tc>
        <w:tc>
          <w:tcPr>
            <w:tcW w:w="1397" w:type="dxa"/>
            <w:tcBorders>
              <w:top w:val="single" w:sz="4" w:space="0" w:color="auto"/>
              <w:left w:val="nil"/>
              <w:bottom w:val="single" w:sz="4" w:space="0" w:color="auto"/>
              <w:right w:val="single" w:sz="4" w:space="0" w:color="auto"/>
            </w:tcBorders>
            <w:shd w:val="clear" w:color="auto" w:fill="C6EFCE"/>
            <w:noWrap/>
          </w:tcPr>
          <w:p w14:paraId="69216E82" w14:textId="77777777" w:rsidR="00A00259" w:rsidRDefault="00371282">
            <w:pPr>
              <w:pStyle w:val="P68B1DB1-Normal12"/>
              <w:spacing w:after="0" w:line="240" w:lineRule="auto"/>
              <w:rPr>
                <w:rFonts w:eastAsia="Times New Roman"/>
                <w:noProof/>
              </w:rPr>
            </w:pPr>
            <w:r>
              <w:rPr>
                <w:noProof/>
              </w:rPr>
              <w:t>Révision de la carte judiciaire – droit primaire – civil et pénal</w:t>
            </w:r>
          </w:p>
        </w:tc>
        <w:tc>
          <w:tcPr>
            <w:tcW w:w="1552" w:type="dxa"/>
            <w:tcBorders>
              <w:top w:val="single" w:sz="4" w:space="0" w:color="auto"/>
              <w:left w:val="nil"/>
              <w:bottom w:val="single" w:sz="4" w:space="0" w:color="auto"/>
              <w:right w:val="single" w:sz="4" w:space="0" w:color="auto"/>
            </w:tcBorders>
            <w:shd w:val="clear" w:color="auto" w:fill="C6EFCE"/>
            <w:noWrap/>
          </w:tcPr>
          <w:p w14:paraId="42996DAF" w14:textId="77777777" w:rsidR="00A00259" w:rsidRDefault="00371282">
            <w:pPr>
              <w:pStyle w:val="P68B1DB1-Normal12"/>
              <w:spacing w:after="0" w:line="240" w:lineRule="auto"/>
              <w:rPr>
                <w:rFonts w:eastAsia="Times New Roman"/>
                <w:noProof/>
              </w:rPr>
            </w:pPr>
            <w:r>
              <w:rPr>
                <w:noProof/>
              </w:rPr>
              <w:t>Entrée en vigueur de la législation</w:t>
            </w:r>
          </w:p>
        </w:tc>
        <w:tc>
          <w:tcPr>
            <w:tcW w:w="992" w:type="dxa"/>
            <w:tcBorders>
              <w:top w:val="single" w:sz="4" w:space="0" w:color="auto"/>
              <w:left w:val="nil"/>
              <w:bottom w:val="single" w:sz="4" w:space="0" w:color="auto"/>
              <w:right w:val="single" w:sz="4" w:space="0" w:color="auto"/>
            </w:tcBorders>
            <w:shd w:val="clear" w:color="auto" w:fill="C6EFCE"/>
            <w:noWrap/>
          </w:tcPr>
          <w:p w14:paraId="1311A11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265E23B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048CB89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25931B0E" w14:textId="77777777" w:rsidR="00A00259" w:rsidRDefault="00371282">
            <w:pPr>
              <w:pStyle w:val="P68B1DB1-Normal12"/>
              <w:spacing w:after="0" w:line="240" w:lineRule="auto"/>
              <w:rPr>
                <w:rFonts w:eastAsia="Times New Roman"/>
                <w:noProof/>
              </w:rPr>
            </w:pPr>
            <w:r>
              <w:rPr>
                <w:noProof/>
              </w:rPr>
              <w:t>T4</w:t>
            </w:r>
          </w:p>
        </w:tc>
        <w:tc>
          <w:tcPr>
            <w:tcW w:w="622" w:type="dxa"/>
            <w:tcBorders>
              <w:top w:val="single" w:sz="4" w:space="0" w:color="auto"/>
              <w:left w:val="nil"/>
              <w:bottom w:val="single" w:sz="4" w:space="0" w:color="auto"/>
              <w:right w:val="single" w:sz="4" w:space="0" w:color="auto"/>
            </w:tcBorders>
            <w:shd w:val="clear" w:color="auto" w:fill="C6EFCE"/>
            <w:noWrap/>
          </w:tcPr>
          <w:p w14:paraId="1781AE85" w14:textId="77777777" w:rsidR="00A00259" w:rsidRDefault="00371282">
            <w:pPr>
              <w:pStyle w:val="P68B1DB1-Normal12"/>
              <w:spacing w:after="0" w:line="240" w:lineRule="auto"/>
              <w:rPr>
                <w:rFonts w:eastAsia="Times New Roman"/>
                <w:noProof/>
              </w:rPr>
            </w:pPr>
            <w:r>
              <w:rPr>
                <w:noProof/>
              </w:rPr>
              <w:t>2023</w:t>
            </w:r>
          </w:p>
        </w:tc>
        <w:tc>
          <w:tcPr>
            <w:tcW w:w="4885" w:type="dxa"/>
            <w:tcBorders>
              <w:top w:val="single" w:sz="4" w:space="0" w:color="auto"/>
              <w:left w:val="nil"/>
              <w:bottom w:val="single" w:sz="4" w:space="0" w:color="auto"/>
              <w:right w:val="single" w:sz="4" w:space="0" w:color="auto"/>
            </w:tcBorders>
            <w:shd w:val="clear" w:color="auto" w:fill="C6EFCE"/>
            <w:noWrap/>
          </w:tcPr>
          <w:p w14:paraId="6510F443" w14:textId="77777777" w:rsidR="00A00259" w:rsidRDefault="00371282">
            <w:pPr>
              <w:pStyle w:val="P68B1DB1-Normal12"/>
              <w:spacing w:after="0" w:line="240" w:lineRule="auto"/>
              <w:rPr>
                <w:noProof/>
              </w:rPr>
            </w:pPr>
            <w:r>
              <w:rPr>
                <w:noProof/>
              </w:rPr>
              <w:t>Entrée en vigueur de la législation primaire pour la révision de la carte judiciaire de la justice civile et pénale.</w:t>
            </w:r>
          </w:p>
        </w:tc>
      </w:tr>
      <w:tr w:rsidR="00A00259" w14:paraId="2B0749A3"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475908B6" w14:textId="77777777" w:rsidR="00A00259" w:rsidRDefault="00371282">
            <w:pPr>
              <w:pStyle w:val="P68B1DB1-Normal12"/>
              <w:spacing w:after="0" w:line="240" w:lineRule="auto"/>
              <w:rPr>
                <w:rFonts w:eastAsia="Times New Roman"/>
                <w:noProof/>
              </w:rPr>
            </w:pPr>
            <w:r>
              <w:rPr>
                <w:noProof/>
              </w:rPr>
              <w:t>233</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3DB0179E" w14:textId="77777777" w:rsidR="00A00259" w:rsidRDefault="00371282">
            <w:pPr>
              <w:pStyle w:val="P68B1DB1-Normal12"/>
              <w:spacing w:after="0" w:line="240" w:lineRule="auto"/>
              <w:rPr>
                <w:rFonts w:eastAsia="Times New Roman"/>
                <w:noProof/>
              </w:rPr>
            </w:pPr>
            <w:r>
              <w:rPr>
                <w:noProof/>
              </w:rPr>
              <w:t>14 - 4.3. Améliorer l'efficacité du système judiciaire - 16292_Nouveaux bâtiments judiciaires</w:t>
            </w:r>
          </w:p>
        </w:tc>
        <w:tc>
          <w:tcPr>
            <w:tcW w:w="1424" w:type="dxa"/>
            <w:tcBorders>
              <w:top w:val="single" w:sz="4" w:space="0" w:color="auto"/>
              <w:left w:val="nil"/>
              <w:bottom w:val="single" w:sz="4" w:space="0" w:color="auto"/>
              <w:right w:val="single" w:sz="4" w:space="0" w:color="auto"/>
            </w:tcBorders>
            <w:shd w:val="clear" w:color="auto" w:fill="C6EFCE"/>
            <w:noWrap/>
          </w:tcPr>
          <w:p w14:paraId="2786D8A6" w14:textId="77777777" w:rsidR="00A00259" w:rsidRDefault="00371282">
            <w:pPr>
              <w:pStyle w:val="P68B1DB1-Normal12"/>
              <w:spacing w:after="0" w:line="240" w:lineRule="auto"/>
              <w:rPr>
                <w:rFonts w:eastAsia="Times New Roman"/>
                <w:noProof/>
              </w:rPr>
            </w:pPr>
            <w:r>
              <w:rPr>
                <w:noProof/>
              </w:rPr>
              <w:t>Étape</w:t>
            </w:r>
          </w:p>
        </w:tc>
        <w:tc>
          <w:tcPr>
            <w:tcW w:w="1397" w:type="dxa"/>
            <w:tcBorders>
              <w:top w:val="single" w:sz="4" w:space="0" w:color="auto"/>
              <w:left w:val="nil"/>
              <w:bottom w:val="single" w:sz="4" w:space="0" w:color="auto"/>
              <w:right w:val="single" w:sz="4" w:space="0" w:color="auto"/>
            </w:tcBorders>
            <w:shd w:val="clear" w:color="auto" w:fill="C6EFCE"/>
            <w:noWrap/>
          </w:tcPr>
          <w:p w14:paraId="7B322062" w14:textId="77777777" w:rsidR="00A00259" w:rsidRDefault="00371282">
            <w:pPr>
              <w:pStyle w:val="P68B1DB1-Normal12"/>
              <w:spacing w:after="0" w:line="240" w:lineRule="auto"/>
              <w:rPr>
                <w:rFonts w:eastAsia="Times New Roman"/>
                <w:noProof/>
              </w:rPr>
            </w:pPr>
            <w:r>
              <w:rPr>
                <w:noProof/>
              </w:rPr>
              <w:t>Construction et rénovation de bâtiments judiciaires – Lancement d’appels d’offres</w:t>
            </w:r>
          </w:p>
        </w:tc>
        <w:tc>
          <w:tcPr>
            <w:tcW w:w="1552" w:type="dxa"/>
            <w:tcBorders>
              <w:top w:val="single" w:sz="4" w:space="0" w:color="auto"/>
              <w:left w:val="nil"/>
              <w:bottom w:val="single" w:sz="4" w:space="0" w:color="auto"/>
              <w:right w:val="single" w:sz="4" w:space="0" w:color="auto"/>
            </w:tcBorders>
            <w:shd w:val="clear" w:color="auto" w:fill="C6EFCE"/>
            <w:noWrap/>
          </w:tcPr>
          <w:p w14:paraId="4D1145C3" w14:textId="77777777" w:rsidR="00A00259" w:rsidRDefault="00371282">
            <w:pPr>
              <w:pStyle w:val="P68B1DB1-Normal12"/>
              <w:spacing w:after="0" w:line="240" w:lineRule="auto"/>
              <w:rPr>
                <w:rFonts w:eastAsia="Times New Roman"/>
                <w:noProof/>
              </w:rPr>
            </w:pPr>
            <w:r>
              <w:rPr>
                <w:noProof/>
              </w:rPr>
              <w:t>Lancement des appels d'offres</w:t>
            </w:r>
          </w:p>
        </w:tc>
        <w:tc>
          <w:tcPr>
            <w:tcW w:w="992" w:type="dxa"/>
            <w:tcBorders>
              <w:top w:val="single" w:sz="4" w:space="0" w:color="auto"/>
              <w:left w:val="nil"/>
              <w:bottom w:val="single" w:sz="4" w:space="0" w:color="auto"/>
              <w:right w:val="single" w:sz="4" w:space="0" w:color="auto"/>
            </w:tcBorders>
            <w:shd w:val="clear" w:color="auto" w:fill="C6EFCE"/>
            <w:noWrap/>
          </w:tcPr>
          <w:p w14:paraId="2AAE34E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7830BE2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00FB295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3E6DECB6" w14:textId="77777777" w:rsidR="00A00259" w:rsidRDefault="00371282">
            <w:pPr>
              <w:pStyle w:val="P68B1DB1-Normal12"/>
              <w:spacing w:after="0" w:line="240" w:lineRule="auto"/>
              <w:rPr>
                <w:rFonts w:eastAsia="Times New Roman"/>
                <w:noProof/>
              </w:rPr>
            </w:pPr>
            <w:r>
              <w:rPr>
                <w:noProof/>
              </w:rPr>
              <w:t>T4</w:t>
            </w:r>
          </w:p>
        </w:tc>
        <w:tc>
          <w:tcPr>
            <w:tcW w:w="622" w:type="dxa"/>
            <w:tcBorders>
              <w:top w:val="single" w:sz="4" w:space="0" w:color="auto"/>
              <w:left w:val="nil"/>
              <w:bottom w:val="single" w:sz="4" w:space="0" w:color="auto"/>
              <w:right w:val="single" w:sz="4" w:space="0" w:color="auto"/>
            </w:tcBorders>
            <w:shd w:val="clear" w:color="auto" w:fill="C6EFCE"/>
            <w:noWrap/>
          </w:tcPr>
          <w:p w14:paraId="1A1ED07F" w14:textId="77777777" w:rsidR="00A00259" w:rsidRDefault="00371282">
            <w:pPr>
              <w:pStyle w:val="P68B1DB1-Normal12"/>
              <w:spacing w:after="0" w:line="240" w:lineRule="auto"/>
              <w:rPr>
                <w:rFonts w:eastAsia="Times New Roman"/>
                <w:noProof/>
              </w:rPr>
            </w:pPr>
            <w:r>
              <w:rPr>
                <w:noProof/>
              </w:rPr>
              <w:t>2023</w:t>
            </w:r>
          </w:p>
        </w:tc>
        <w:tc>
          <w:tcPr>
            <w:tcW w:w="4885" w:type="dxa"/>
            <w:tcBorders>
              <w:top w:val="single" w:sz="4" w:space="0" w:color="auto"/>
              <w:left w:val="nil"/>
              <w:bottom w:val="single" w:sz="4" w:space="0" w:color="auto"/>
              <w:right w:val="single" w:sz="4" w:space="0" w:color="auto"/>
            </w:tcBorders>
            <w:shd w:val="clear" w:color="auto" w:fill="C6EFCE"/>
            <w:noWrap/>
          </w:tcPr>
          <w:p w14:paraId="2B3156EE" w14:textId="77777777" w:rsidR="00A00259" w:rsidRDefault="00371282">
            <w:pPr>
              <w:pStyle w:val="P68B1DB1-Normal12"/>
              <w:spacing w:after="0" w:line="240" w:lineRule="auto"/>
              <w:rPr>
                <w:noProof/>
              </w:rPr>
            </w:pPr>
            <w:r>
              <w:rPr>
                <w:noProof/>
              </w:rPr>
              <w:t>Ajustement de la liste des projets conformément à la loi sur la révision de la carte judiciaire.</w:t>
            </w:r>
          </w:p>
          <w:p w14:paraId="1EE0A42E" w14:textId="77777777" w:rsidR="00A00259" w:rsidRDefault="00371282">
            <w:pPr>
              <w:pStyle w:val="P68B1DB1-Normal12"/>
              <w:spacing w:after="0" w:line="240" w:lineRule="auto"/>
              <w:rPr>
                <w:noProof/>
              </w:rPr>
            </w:pPr>
            <w:r>
              <w:rPr>
                <w:noProof/>
              </w:rPr>
              <w:t>Lancement de l'appel d'offres pour les projets concernant les palais de justice civils et pénaux inclus dans la liste révisée des rénovations. Les conditions de l’appel d’offres prévoient que les nouveaux bâtiments à construire atteignent une demande d’énergie primaire (DEP) inférieure d’au moins 20 % à l’exigence relative aux bâtiments dont la consommation d’énergie est quasi nulle (bâtiment dont la consommation d’énergie est quasi nulle, directives nationales).</w:t>
            </w:r>
          </w:p>
        </w:tc>
      </w:tr>
      <w:tr w:rsidR="00A00259" w14:paraId="4FF48D02"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51A0AC49" w14:textId="77777777" w:rsidR="00A00259" w:rsidRDefault="00371282">
            <w:pPr>
              <w:pStyle w:val="P68B1DB1-Normal12"/>
              <w:spacing w:after="0" w:line="240" w:lineRule="auto"/>
              <w:rPr>
                <w:rFonts w:eastAsia="Times New Roman"/>
                <w:noProof/>
              </w:rPr>
            </w:pPr>
            <w:r>
              <w:rPr>
                <w:noProof/>
              </w:rPr>
              <w:t>234</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1BFE3D98" w14:textId="77777777" w:rsidR="00A00259" w:rsidRDefault="00371282">
            <w:pPr>
              <w:pStyle w:val="P68B1DB1-Normal12"/>
              <w:spacing w:after="0" w:line="240" w:lineRule="auto"/>
              <w:rPr>
                <w:rFonts w:eastAsia="Times New Roman"/>
                <w:noProof/>
              </w:rPr>
            </w:pPr>
            <w:r>
              <w:rPr>
                <w:noProof/>
              </w:rPr>
              <w:t>14 - 4.3. Améliorer l’efficacité du système judiciaire – 16575 Accélérer l’administration de la justice</w:t>
            </w:r>
          </w:p>
        </w:tc>
        <w:tc>
          <w:tcPr>
            <w:tcW w:w="1424" w:type="dxa"/>
            <w:tcBorders>
              <w:top w:val="single" w:sz="4" w:space="0" w:color="auto"/>
              <w:left w:val="nil"/>
              <w:bottom w:val="single" w:sz="4" w:space="0" w:color="auto"/>
              <w:right w:val="single" w:sz="4" w:space="0" w:color="auto"/>
            </w:tcBorders>
            <w:shd w:val="clear" w:color="auto" w:fill="C6EFCE"/>
            <w:noWrap/>
          </w:tcPr>
          <w:p w14:paraId="038DB83B" w14:textId="77777777" w:rsidR="00A00259" w:rsidRDefault="00371282">
            <w:pPr>
              <w:pStyle w:val="P68B1DB1-Normal12"/>
              <w:spacing w:after="0" w:line="240" w:lineRule="auto"/>
              <w:rPr>
                <w:rFonts w:eastAsia="Times New Roman"/>
                <w:noProof/>
              </w:rPr>
            </w:pPr>
            <w:r>
              <w:rPr>
                <w:noProof/>
              </w:rPr>
              <w:t>Étape</w:t>
            </w:r>
          </w:p>
        </w:tc>
        <w:tc>
          <w:tcPr>
            <w:tcW w:w="1397" w:type="dxa"/>
            <w:tcBorders>
              <w:top w:val="single" w:sz="4" w:space="0" w:color="auto"/>
              <w:left w:val="nil"/>
              <w:bottom w:val="single" w:sz="4" w:space="0" w:color="auto"/>
              <w:right w:val="single" w:sz="4" w:space="0" w:color="auto"/>
            </w:tcBorders>
            <w:shd w:val="clear" w:color="auto" w:fill="C6EFCE"/>
            <w:noWrap/>
          </w:tcPr>
          <w:p w14:paraId="6EE151E6" w14:textId="77777777" w:rsidR="00A00259" w:rsidRDefault="00371282">
            <w:pPr>
              <w:pStyle w:val="P68B1DB1-Normal12"/>
              <w:spacing w:after="0" w:line="240" w:lineRule="auto"/>
              <w:rPr>
                <w:rFonts w:eastAsia="Times New Roman"/>
                <w:noProof/>
              </w:rPr>
            </w:pPr>
            <w:r>
              <w:rPr>
                <w:noProof/>
              </w:rPr>
              <w:t>Justice Police Opérationnelle</w:t>
            </w:r>
          </w:p>
        </w:tc>
        <w:tc>
          <w:tcPr>
            <w:tcW w:w="1552" w:type="dxa"/>
            <w:tcBorders>
              <w:top w:val="single" w:sz="4" w:space="0" w:color="auto"/>
              <w:left w:val="nil"/>
              <w:bottom w:val="single" w:sz="4" w:space="0" w:color="auto"/>
              <w:right w:val="single" w:sz="4" w:space="0" w:color="auto"/>
            </w:tcBorders>
            <w:shd w:val="clear" w:color="auto" w:fill="C6EFCE"/>
            <w:noWrap/>
          </w:tcPr>
          <w:p w14:paraId="550FD3AC" w14:textId="77777777" w:rsidR="00A00259" w:rsidRDefault="00371282">
            <w:pPr>
              <w:pStyle w:val="P68B1DB1-Normal12"/>
              <w:spacing w:after="0" w:line="240" w:lineRule="auto"/>
              <w:rPr>
                <w:rFonts w:eastAsia="Times New Roman"/>
                <w:noProof/>
              </w:rPr>
            </w:pPr>
            <w:r>
              <w:rPr>
                <w:noProof/>
              </w:rPr>
              <w:t>Police judiciaire pleinement opérationnelle et fonctionnelle aux niveaux central et régional</w:t>
            </w:r>
          </w:p>
        </w:tc>
        <w:tc>
          <w:tcPr>
            <w:tcW w:w="992" w:type="dxa"/>
            <w:tcBorders>
              <w:top w:val="single" w:sz="4" w:space="0" w:color="auto"/>
              <w:left w:val="nil"/>
              <w:bottom w:val="single" w:sz="4" w:space="0" w:color="auto"/>
              <w:right w:val="single" w:sz="4" w:space="0" w:color="auto"/>
            </w:tcBorders>
            <w:shd w:val="clear" w:color="auto" w:fill="C6EFCE"/>
            <w:noWrap/>
          </w:tcPr>
          <w:p w14:paraId="5B3855B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1B3CF3F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0C693F0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3CA49F27" w14:textId="77777777" w:rsidR="00A00259" w:rsidRDefault="00371282">
            <w:pPr>
              <w:pStyle w:val="P68B1DB1-Normal12"/>
              <w:spacing w:after="0" w:line="240" w:lineRule="auto"/>
              <w:rPr>
                <w:rFonts w:eastAsia="Times New Roman"/>
                <w:noProof/>
              </w:rPr>
            </w:pPr>
            <w:r>
              <w:rPr>
                <w:noProof/>
              </w:rPr>
              <w:t>T2</w:t>
            </w:r>
          </w:p>
        </w:tc>
        <w:tc>
          <w:tcPr>
            <w:tcW w:w="622" w:type="dxa"/>
            <w:tcBorders>
              <w:top w:val="single" w:sz="4" w:space="0" w:color="auto"/>
              <w:left w:val="nil"/>
              <w:bottom w:val="single" w:sz="4" w:space="0" w:color="auto"/>
              <w:right w:val="single" w:sz="4" w:space="0" w:color="auto"/>
            </w:tcBorders>
            <w:shd w:val="clear" w:color="auto" w:fill="C6EFCE"/>
            <w:noWrap/>
          </w:tcPr>
          <w:p w14:paraId="127A754F" w14:textId="77777777" w:rsidR="00A00259" w:rsidRDefault="00371282">
            <w:pPr>
              <w:pStyle w:val="P68B1DB1-Normal12"/>
              <w:spacing w:after="0" w:line="240" w:lineRule="auto"/>
              <w:rPr>
                <w:rFonts w:eastAsia="Times New Roman"/>
                <w:noProof/>
              </w:rPr>
            </w:pPr>
            <w:r>
              <w:rPr>
                <w:noProof/>
              </w:rPr>
              <w:t>2024</w:t>
            </w:r>
          </w:p>
        </w:tc>
        <w:tc>
          <w:tcPr>
            <w:tcW w:w="4885" w:type="dxa"/>
            <w:tcBorders>
              <w:top w:val="single" w:sz="4" w:space="0" w:color="auto"/>
              <w:left w:val="nil"/>
              <w:bottom w:val="single" w:sz="4" w:space="0" w:color="auto"/>
              <w:right w:val="single" w:sz="4" w:space="0" w:color="auto"/>
            </w:tcBorders>
            <w:shd w:val="clear" w:color="auto" w:fill="C6EFCE"/>
            <w:noWrap/>
          </w:tcPr>
          <w:p w14:paraId="7EF31EE1" w14:textId="77777777" w:rsidR="00A00259" w:rsidRDefault="00371282">
            <w:pPr>
              <w:pStyle w:val="P68B1DB1-Normal12"/>
              <w:spacing w:before="120" w:after="0" w:line="240" w:lineRule="auto"/>
              <w:jc w:val="both"/>
              <w:rPr>
                <w:rFonts w:eastAsia="Times New Roman"/>
                <w:noProof/>
              </w:rPr>
            </w:pPr>
            <w:r>
              <w:rPr>
                <w:noProof/>
              </w:rPr>
              <w:t>Mise en œuvre de la police judiciaire dans toutes ses compétences, tant au niveau de l'administration centrale qu'au niveau régional au sein des tribunaux</w:t>
            </w:r>
          </w:p>
        </w:tc>
      </w:tr>
      <w:tr w:rsidR="00A00259" w14:paraId="27779C2A"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73D25586" w14:textId="77777777" w:rsidR="00A00259" w:rsidRDefault="00371282">
            <w:pPr>
              <w:pStyle w:val="P68B1DB1-Normal12"/>
              <w:spacing w:after="0" w:line="240" w:lineRule="auto"/>
              <w:rPr>
                <w:rFonts w:eastAsia="Times New Roman"/>
                <w:noProof/>
              </w:rPr>
            </w:pPr>
            <w:r>
              <w:rPr>
                <w:noProof/>
              </w:rPr>
              <w:t>235</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6727E0AD" w14:textId="77777777" w:rsidR="00A00259" w:rsidRDefault="00371282">
            <w:pPr>
              <w:pStyle w:val="P68B1DB1-Normal12"/>
              <w:spacing w:after="0" w:line="240" w:lineRule="auto"/>
              <w:rPr>
                <w:rFonts w:eastAsia="Times New Roman"/>
                <w:noProof/>
              </w:rPr>
            </w:pPr>
            <w:r>
              <w:rPr>
                <w:noProof/>
              </w:rPr>
              <w:t>14 - 4.3. «Améliorer l'efficacité du système judiciaire» - 16733_Compétences et compétences numériques des juges et du personnel judiciaire (personnel judiciaire)</w:t>
            </w:r>
          </w:p>
        </w:tc>
        <w:tc>
          <w:tcPr>
            <w:tcW w:w="1424" w:type="dxa"/>
            <w:tcBorders>
              <w:top w:val="single" w:sz="4" w:space="0" w:color="auto"/>
              <w:left w:val="nil"/>
              <w:bottom w:val="single" w:sz="4" w:space="0" w:color="auto"/>
              <w:right w:val="single" w:sz="4" w:space="0" w:color="auto"/>
            </w:tcBorders>
            <w:shd w:val="clear" w:color="auto" w:fill="C6EFCE"/>
            <w:noWrap/>
          </w:tcPr>
          <w:p w14:paraId="7FE3355E" w14:textId="77777777" w:rsidR="00A00259" w:rsidRDefault="00371282">
            <w:pPr>
              <w:pStyle w:val="P68B1DB1-Normal12"/>
              <w:spacing w:after="0" w:line="240" w:lineRule="auto"/>
              <w:rPr>
                <w:rFonts w:eastAsia="Times New Roman"/>
                <w:noProof/>
              </w:rPr>
            </w:pPr>
            <w:r>
              <w:rPr>
                <w:noProof/>
              </w:rPr>
              <w:t>Étape</w:t>
            </w:r>
          </w:p>
        </w:tc>
        <w:tc>
          <w:tcPr>
            <w:tcW w:w="1397" w:type="dxa"/>
            <w:tcBorders>
              <w:top w:val="single" w:sz="4" w:space="0" w:color="auto"/>
              <w:left w:val="nil"/>
              <w:bottom w:val="single" w:sz="4" w:space="0" w:color="auto"/>
              <w:right w:val="single" w:sz="4" w:space="0" w:color="auto"/>
            </w:tcBorders>
            <w:shd w:val="clear" w:color="auto" w:fill="C6EFCE"/>
            <w:noWrap/>
          </w:tcPr>
          <w:p w14:paraId="4A836643" w14:textId="77777777" w:rsidR="00A00259" w:rsidRDefault="00371282">
            <w:pPr>
              <w:pStyle w:val="P68B1DB1-Normal12"/>
              <w:spacing w:after="0" w:line="240" w:lineRule="auto"/>
              <w:rPr>
                <w:rFonts w:eastAsia="Times New Roman"/>
                <w:noProof/>
              </w:rPr>
            </w:pPr>
            <w:r>
              <w:rPr>
                <w:noProof/>
              </w:rPr>
              <w:t>Formation – Juges et greffiers</w:t>
            </w:r>
          </w:p>
        </w:tc>
        <w:tc>
          <w:tcPr>
            <w:tcW w:w="1552" w:type="dxa"/>
            <w:tcBorders>
              <w:top w:val="single" w:sz="4" w:space="0" w:color="auto"/>
              <w:left w:val="nil"/>
              <w:bottom w:val="single" w:sz="4" w:space="0" w:color="auto"/>
              <w:right w:val="single" w:sz="4" w:space="0" w:color="auto"/>
            </w:tcBorders>
            <w:shd w:val="clear" w:color="auto" w:fill="C6EFCE"/>
            <w:noWrap/>
          </w:tcPr>
          <w:p w14:paraId="2DF6EFC8" w14:textId="77777777" w:rsidR="00A00259" w:rsidRDefault="00371282">
            <w:pPr>
              <w:pStyle w:val="P68B1DB1-Normal12"/>
              <w:spacing w:after="0" w:line="240" w:lineRule="auto"/>
              <w:rPr>
                <w:noProof/>
              </w:rPr>
            </w:pPr>
            <w:r>
              <w:rPr>
                <w:noProof/>
              </w:rPr>
              <w:t>Rapport certifiant la mise en œuvre des changements apportés au programme éducatif de l'École nationale de la magistrature et l'inscription des juges et des greffiers à la formation tout au long de la vie</w:t>
            </w:r>
          </w:p>
        </w:tc>
        <w:tc>
          <w:tcPr>
            <w:tcW w:w="992" w:type="dxa"/>
            <w:tcBorders>
              <w:top w:val="single" w:sz="4" w:space="0" w:color="auto"/>
              <w:left w:val="nil"/>
              <w:bottom w:val="single" w:sz="4" w:space="0" w:color="auto"/>
              <w:right w:val="single" w:sz="4" w:space="0" w:color="auto"/>
            </w:tcBorders>
            <w:shd w:val="clear" w:color="auto" w:fill="C6EFCE"/>
            <w:noWrap/>
          </w:tcPr>
          <w:p w14:paraId="7559A48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0B096C7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0393E01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5B087C50" w14:textId="77777777" w:rsidR="00A00259" w:rsidRDefault="00371282">
            <w:pPr>
              <w:pStyle w:val="P68B1DB1-Normal12"/>
              <w:spacing w:after="0" w:line="240" w:lineRule="auto"/>
              <w:rPr>
                <w:rFonts w:eastAsia="Times New Roman"/>
                <w:noProof/>
              </w:rPr>
            </w:pPr>
            <w:r>
              <w:rPr>
                <w:noProof/>
              </w:rPr>
              <w:t>T2</w:t>
            </w:r>
          </w:p>
        </w:tc>
        <w:tc>
          <w:tcPr>
            <w:tcW w:w="622" w:type="dxa"/>
            <w:tcBorders>
              <w:top w:val="single" w:sz="4" w:space="0" w:color="auto"/>
              <w:left w:val="nil"/>
              <w:bottom w:val="single" w:sz="4" w:space="0" w:color="auto"/>
              <w:right w:val="single" w:sz="4" w:space="0" w:color="auto"/>
            </w:tcBorders>
            <w:shd w:val="clear" w:color="auto" w:fill="C6EFCE"/>
            <w:noWrap/>
          </w:tcPr>
          <w:p w14:paraId="6F95FE79" w14:textId="77777777" w:rsidR="00A00259" w:rsidRDefault="00371282">
            <w:pPr>
              <w:pStyle w:val="P68B1DB1-Normal12"/>
              <w:spacing w:after="0" w:line="240" w:lineRule="auto"/>
              <w:rPr>
                <w:rFonts w:eastAsia="Times New Roman"/>
                <w:noProof/>
              </w:rPr>
            </w:pPr>
            <w:r>
              <w:rPr>
                <w:noProof/>
              </w:rPr>
              <w:t>2024</w:t>
            </w:r>
          </w:p>
        </w:tc>
        <w:tc>
          <w:tcPr>
            <w:tcW w:w="4885" w:type="dxa"/>
            <w:tcBorders>
              <w:top w:val="single" w:sz="4" w:space="0" w:color="auto"/>
              <w:left w:val="nil"/>
              <w:bottom w:val="single" w:sz="4" w:space="0" w:color="auto"/>
              <w:right w:val="single" w:sz="4" w:space="0" w:color="auto"/>
            </w:tcBorders>
            <w:shd w:val="clear" w:color="auto" w:fill="C6EFCE"/>
            <w:noWrap/>
          </w:tcPr>
          <w:p w14:paraId="685059FF" w14:textId="77777777" w:rsidR="00A00259" w:rsidRDefault="00371282">
            <w:pPr>
              <w:pStyle w:val="P68B1DB1-Normal12"/>
              <w:spacing w:after="0" w:line="240" w:lineRule="auto"/>
              <w:rPr>
                <w:noProof/>
              </w:rPr>
            </w:pPr>
            <w:r>
              <w:rPr>
                <w:noProof/>
              </w:rPr>
              <w:t>Achèvement des projets inclus dans la réforme sur les compétences et les compétences numériques des juges et du personnel judiciaire, avec: </w:t>
            </w:r>
          </w:p>
          <w:p w14:paraId="6D997728" w14:textId="77777777" w:rsidR="00A00259" w:rsidRDefault="00371282">
            <w:pPr>
              <w:pStyle w:val="P68B1DB1-Normal12"/>
              <w:numPr>
                <w:ilvl w:val="0"/>
                <w:numId w:val="66"/>
              </w:numPr>
              <w:spacing w:before="120" w:after="0" w:line="240" w:lineRule="auto"/>
              <w:jc w:val="both"/>
              <w:rPr>
                <w:noProof/>
              </w:rPr>
            </w:pPr>
            <w:r>
              <w:rPr>
                <w:noProof/>
              </w:rPr>
              <w:t>7 029 juges et greffiers se sont inscrits à une formation tout au long de la vie et ont assisté à au moins une session de formation (séminaire).</w:t>
            </w:r>
          </w:p>
          <w:p w14:paraId="337D2C79" w14:textId="77777777" w:rsidR="00A00259" w:rsidRDefault="00371282">
            <w:pPr>
              <w:pStyle w:val="P68B1DB1-Normal12"/>
              <w:spacing w:before="120" w:after="0" w:line="240" w:lineRule="auto"/>
              <w:ind w:left="360"/>
              <w:jc w:val="both"/>
              <w:rPr>
                <w:noProof/>
              </w:rPr>
            </w:pPr>
            <w:r>
              <w:rPr>
                <w:noProof/>
              </w:rPr>
              <w:t>2. Le programme de formation des greffiers de l ' École nationale de la magistrature en cours d ' exécution</w:t>
            </w:r>
          </w:p>
          <w:p w14:paraId="641FEA02" w14:textId="77777777" w:rsidR="00A00259" w:rsidRDefault="00371282">
            <w:pPr>
              <w:pStyle w:val="P68B1DB1-Normal12"/>
              <w:numPr>
                <w:ilvl w:val="0"/>
                <w:numId w:val="67"/>
              </w:numPr>
              <w:spacing w:before="120" w:after="0" w:line="240" w:lineRule="auto"/>
              <w:jc w:val="both"/>
              <w:rPr>
                <w:noProof/>
              </w:rPr>
            </w:pPr>
            <w:r>
              <w:rPr>
                <w:noProof/>
              </w:rPr>
              <w:t xml:space="preserve">Modification des critères de sélection </w:t>
            </w:r>
            <w:r>
              <w:rPr>
                <w:noProof/>
                <w:u w:val="single"/>
              </w:rPr>
              <w:t>conformément</w:t>
            </w:r>
            <w:r>
              <w:rPr>
                <w:noProof/>
              </w:rPr>
              <w:t xml:space="preserve"> à la loi 4871/2021 et mise en œuvre du programme éducatif</w:t>
            </w:r>
          </w:p>
          <w:p w14:paraId="37613694" w14:textId="77777777" w:rsidR="00A00259" w:rsidRDefault="00371282">
            <w:pPr>
              <w:pStyle w:val="P68B1DB1-Normal16"/>
              <w:spacing w:before="120" w:after="0" w:line="240" w:lineRule="auto"/>
              <w:rPr>
                <w:b/>
                <w:noProof/>
                <w:color w:val="006100"/>
              </w:rPr>
            </w:pPr>
            <w:r>
              <w:rPr>
                <w:noProof/>
                <w:color w:val="006100"/>
              </w:rPr>
              <w:t>Modification du programme éducatif de l'École nationale de la magistrature visant en particulier à améliorer la formation pratique et à offrir des cours conformément à la loi susmentionnée. Formation continue des juges et des auxiliaires de justice dans divers domaines, conformément à la loi susmentionnée; pour les juges, cette formation étant une condition préalable à l'avancement professionnel.</w:t>
            </w:r>
            <w:r>
              <w:rPr>
                <w:noProof/>
              </w:rPr>
              <w:t xml:space="preserve"> </w:t>
            </w:r>
          </w:p>
        </w:tc>
      </w:tr>
      <w:tr w:rsidR="00A00259" w14:paraId="692A2F60"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32AECD47" w14:textId="77777777" w:rsidR="00A00259" w:rsidRDefault="00371282">
            <w:pPr>
              <w:pStyle w:val="P68B1DB1-Normal12"/>
              <w:spacing w:after="0" w:line="240" w:lineRule="auto"/>
              <w:rPr>
                <w:rFonts w:eastAsia="Times New Roman"/>
                <w:noProof/>
              </w:rPr>
            </w:pPr>
            <w:r>
              <w:rPr>
                <w:noProof/>
              </w:rPr>
              <w:t>236</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7705E459" w14:textId="77777777" w:rsidR="00A00259" w:rsidRDefault="00371282">
            <w:pPr>
              <w:pStyle w:val="P68B1DB1-Normal12"/>
              <w:spacing w:after="0" w:line="240" w:lineRule="auto"/>
              <w:rPr>
                <w:rFonts w:eastAsia="Times New Roman"/>
                <w:noProof/>
              </w:rPr>
            </w:pPr>
            <w:r>
              <w:rPr>
                <w:noProof/>
              </w:rPr>
              <w:t>14 - 4.3. Améliorer l’efficacité du système judiciaire – 16575 Accélérer l’administration de la justice</w:t>
            </w:r>
          </w:p>
        </w:tc>
        <w:tc>
          <w:tcPr>
            <w:tcW w:w="1424" w:type="dxa"/>
            <w:tcBorders>
              <w:top w:val="single" w:sz="4" w:space="0" w:color="auto"/>
              <w:left w:val="nil"/>
              <w:bottom w:val="single" w:sz="4" w:space="0" w:color="auto"/>
              <w:right w:val="single" w:sz="4" w:space="0" w:color="auto"/>
            </w:tcBorders>
            <w:shd w:val="clear" w:color="auto" w:fill="C6EFCE"/>
            <w:noWrap/>
          </w:tcPr>
          <w:p w14:paraId="38161614" w14:textId="77777777" w:rsidR="00A00259" w:rsidRDefault="00371282">
            <w:pPr>
              <w:pStyle w:val="P68B1DB1-Normal12"/>
              <w:spacing w:after="0" w:line="240" w:lineRule="auto"/>
              <w:rPr>
                <w:rFonts w:eastAsia="Times New Roman"/>
                <w:noProof/>
              </w:rPr>
            </w:pPr>
            <w:r>
              <w:rPr>
                <w:noProof/>
              </w:rPr>
              <w:t>Étape</w:t>
            </w:r>
          </w:p>
        </w:tc>
        <w:tc>
          <w:tcPr>
            <w:tcW w:w="1397" w:type="dxa"/>
            <w:tcBorders>
              <w:top w:val="single" w:sz="4" w:space="0" w:color="auto"/>
              <w:left w:val="nil"/>
              <w:bottom w:val="single" w:sz="4" w:space="0" w:color="auto"/>
              <w:right w:val="single" w:sz="4" w:space="0" w:color="auto"/>
            </w:tcBorders>
            <w:shd w:val="clear" w:color="auto" w:fill="C6EFCE"/>
            <w:noWrap/>
          </w:tcPr>
          <w:p w14:paraId="4259DEE6" w14:textId="77777777" w:rsidR="00A00259" w:rsidRDefault="00371282">
            <w:pPr>
              <w:pStyle w:val="P68B1DB1-Normal12"/>
              <w:spacing w:after="0" w:line="240" w:lineRule="auto"/>
              <w:rPr>
                <w:rFonts w:eastAsia="Times New Roman"/>
                <w:noProof/>
              </w:rPr>
            </w:pPr>
            <w:r>
              <w:rPr>
                <w:noProof/>
              </w:rPr>
              <w:t>Révision de la carte judiciaire –</w:t>
            </w:r>
          </w:p>
        </w:tc>
        <w:tc>
          <w:tcPr>
            <w:tcW w:w="1552" w:type="dxa"/>
            <w:tcBorders>
              <w:top w:val="single" w:sz="4" w:space="0" w:color="auto"/>
              <w:left w:val="nil"/>
              <w:bottom w:val="single" w:sz="4" w:space="0" w:color="auto"/>
              <w:right w:val="single" w:sz="4" w:space="0" w:color="auto"/>
            </w:tcBorders>
            <w:shd w:val="clear" w:color="auto" w:fill="C6EFCE"/>
            <w:noWrap/>
          </w:tcPr>
          <w:p w14:paraId="0CC8EB09" w14:textId="77777777" w:rsidR="00A00259" w:rsidRDefault="00371282">
            <w:pPr>
              <w:pStyle w:val="P68B1DB1-Normal12"/>
              <w:spacing w:after="0" w:line="240" w:lineRule="auto"/>
              <w:rPr>
                <w:noProof/>
              </w:rPr>
            </w:pPr>
            <w:r>
              <w:rPr>
                <w:noProof/>
              </w:rPr>
              <w:t xml:space="preserve">Certificats confirmant la fonction de toutes les juridictions concernées </w:t>
            </w:r>
          </w:p>
        </w:tc>
        <w:tc>
          <w:tcPr>
            <w:tcW w:w="992" w:type="dxa"/>
            <w:tcBorders>
              <w:top w:val="single" w:sz="4" w:space="0" w:color="auto"/>
              <w:left w:val="nil"/>
              <w:bottom w:val="single" w:sz="4" w:space="0" w:color="auto"/>
              <w:right w:val="single" w:sz="4" w:space="0" w:color="auto"/>
            </w:tcBorders>
            <w:shd w:val="clear" w:color="auto" w:fill="C6EFCE"/>
            <w:noWrap/>
          </w:tcPr>
          <w:p w14:paraId="12ED64B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383D1C3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1B70471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3D651B45" w14:textId="77777777" w:rsidR="00A00259" w:rsidRDefault="00371282">
            <w:pPr>
              <w:pStyle w:val="P68B1DB1-Normal12"/>
              <w:spacing w:after="0" w:line="240" w:lineRule="auto"/>
              <w:rPr>
                <w:rFonts w:eastAsia="Times New Roman"/>
                <w:noProof/>
              </w:rPr>
            </w:pPr>
            <w:r>
              <w:rPr>
                <w:noProof/>
              </w:rPr>
              <w:t>T4</w:t>
            </w:r>
          </w:p>
        </w:tc>
        <w:tc>
          <w:tcPr>
            <w:tcW w:w="622" w:type="dxa"/>
            <w:tcBorders>
              <w:top w:val="single" w:sz="4" w:space="0" w:color="auto"/>
              <w:left w:val="nil"/>
              <w:bottom w:val="single" w:sz="4" w:space="0" w:color="auto"/>
              <w:right w:val="single" w:sz="4" w:space="0" w:color="auto"/>
            </w:tcBorders>
            <w:shd w:val="clear" w:color="auto" w:fill="C6EFCE"/>
            <w:noWrap/>
          </w:tcPr>
          <w:p w14:paraId="6AD409F2" w14:textId="77777777" w:rsidR="00A00259" w:rsidRDefault="00371282">
            <w:pPr>
              <w:pStyle w:val="P68B1DB1-Normal12"/>
              <w:spacing w:after="0" w:line="240" w:lineRule="auto"/>
              <w:rPr>
                <w:rFonts w:eastAsia="Times New Roman"/>
                <w:noProof/>
              </w:rPr>
            </w:pPr>
            <w:r>
              <w:rPr>
                <w:noProof/>
              </w:rPr>
              <w:t>2024</w:t>
            </w:r>
          </w:p>
        </w:tc>
        <w:tc>
          <w:tcPr>
            <w:tcW w:w="4885" w:type="dxa"/>
            <w:tcBorders>
              <w:top w:val="single" w:sz="4" w:space="0" w:color="auto"/>
              <w:left w:val="nil"/>
              <w:bottom w:val="single" w:sz="4" w:space="0" w:color="auto"/>
              <w:right w:val="single" w:sz="4" w:space="0" w:color="auto"/>
            </w:tcBorders>
            <w:shd w:val="clear" w:color="auto" w:fill="C6EFCE"/>
            <w:noWrap/>
          </w:tcPr>
          <w:p w14:paraId="638E679F" w14:textId="77777777" w:rsidR="00A00259" w:rsidRDefault="00371282">
            <w:pPr>
              <w:pStyle w:val="P68B1DB1-Normal12"/>
              <w:rPr>
                <w:noProof/>
              </w:rPr>
            </w:pPr>
            <w:r>
              <w:rPr>
                <w:noProof/>
              </w:rPr>
              <w:t xml:space="preserve">Délivrance de certificats par les administrations des juridictions concernées par la révision des cartes administratives et judiciaires civiles/pénales confirmant leur fonctionnement, conformément à la loi. </w:t>
            </w:r>
          </w:p>
        </w:tc>
      </w:tr>
      <w:tr w:rsidR="00A00259" w14:paraId="06CC0682"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1268764E" w14:textId="77777777" w:rsidR="00A00259" w:rsidRDefault="00371282">
            <w:pPr>
              <w:pStyle w:val="P68B1DB1-Normal12"/>
              <w:spacing w:after="0" w:line="240" w:lineRule="auto"/>
              <w:rPr>
                <w:rFonts w:eastAsia="Times New Roman"/>
                <w:noProof/>
              </w:rPr>
            </w:pPr>
            <w:r>
              <w:rPr>
                <w:noProof/>
              </w:rPr>
              <w:t>237</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4C8F4E8D" w14:textId="2EA3A354" w:rsidR="00A00259" w:rsidRDefault="00371282">
            <w:pPr>
              <w:pStyle w:val="P68B1DB1-Normal12"/>
              <w:spacing w:after="0" w:line="240" w:lineRule="auto"/>
              <w:rPr>
                <w:rFonts w:eastAsia="Times New Roman"/>
                <w:noProof/>
              </w:rPr>
            </w:pPr>
            <w:r>
              <w:rPr>
                <w:noProof/>
              </w:rPr>
              <w:t>14 - 4.3. Améliorer l'efficacité du système judiciaire - 16292_Nouveaux bâtiments judiciaires et rénovations</w:t>
            </w:r>
          </w:p>
        </w:tc>
        <w:tc>
          <w:tcPr>
            <w:tcW w:w="1424" w:type="dxa"/>
            <w:tcBorders>
              <w:top w:val="single" w:sz="4" w:space="0" w:color="auto"/>
              <w:left w:val="nil"/>
              <w:bottom w:val="single" w:sz="4" w:space="0" w:color="auto"/>
              <w:right w:val="single" w:sz="4" w:space="0" w:color="auto"/>
            </w:tcBorders>
            <w:shd w:val="clear" w:color="auto" w:fill="C6EFCE"/>
            <w:noWrap/>
          </w:tcPr>
          <w:p w14:paraId="30C54440" w14:textId="77777777" w:rsidR="00A00259" w:rsidRDefault="00371282">
            <w:pPr>
              <w:pStyle w:val="P68B1DB1-Normal12"/>
              <w:spacing w:after="0" w:line="240" w:lineRule="auto"/>
              <w:rPr>
                <w:rFonts w:eastAsia="Times New Roman"/>
                <w:noProof/>
              </w:rPr>
            </w:pPr>
            <w:r>
              <w:rPr>
                <w:noProof/>
              </w:rPr>
              <w:t>Étape</w:t>
            </w:r>
          </w:p>
        </w:tc>
        <w:tc>
          <w:tcPr>
            <w:tcW w:w="1397" w:type="dxa"/>
            <w:tcBorders>
              <w:top w:val="single" w:sz="4" w:space="0" w:color="auto"/>
              <w:left w:val="nil"/>
              <w:bottom w:val="single" w:sz="4" w:space="0" w:color="auto"/>
              <w:right w:val="single" w:sz="4" w:space="0" w:color="auto"/>
            </w:tcBorders>
            <w:shd w:val="clear" w:color="auto" w:fill="C6EFCE"/>
            <w:noWrap/>
          </w:tcPr>
          <w:p w14:paraId="1AD81A9A" w14:textId="67F920E1" w:rsidR="00A00259" w:rsidRDefault="00371282">
            <w:pPr>
              <w:pStyle w:val="P68B1DB1-Normal12"/>
              <w:spacing w:after="0" w:line="240" w:lineRule="auto"/>
              <w:rPr>
                <w:rFonts w:eastAsia="Times New Roman"/>
                <w:noProof/>
              </w:rPr>
            </w:pPr>
            <w:r>
              <w:rPr>
                <w:noProof/>
              </w:rPr>
              <w:t xml:space="preserve">Travaux de construction et de rénovation terminés – Extraits d’identité électronique délivrés </w:t>
            </w:r>
          </w:p>
        </w:tc>
        <w:tc>
          <w:tcPr>
            <w:tcW w:w="1552" w:type="dxa"/>
            <w:tcBorders>
              <w:top w:val="single" w:sz="4" w:space="0" w:color="auto"/>
              <w:left w:val="nil"/>
              <w:bottom w:val="single" w:sz="4" w:space="0" w:color="auto"/>
              <w:right w:val="single" w:sz="4" w:space="0" w:color="auto"/>
            </w:tcBorders>
            <w:shd w:val="clear" w:color="auto" w:fill="C6EFCE"/>
            <w:noWrap/>
          </w:tcPr>
          <w:p w14:paraId="6F814721" w14:textId="5B6F34BA" w:rsidR="00A00259" w:rsidRDefault="00371282">
            <w:pPr>
              <w:pStyle w:val="P68B1DB1-Normal12"/>
              <w:spacing w:after="0" w:line="240" w:lineRule="auto"/>
              <w:rPr>
                <w:noProof/>
              </w:rPr>
            </w:pPr>
            <w:r>
              <w:rPr>
                <w:noProof/>
              </w:rPr>
              <w:t xml:space="preserve">tous les travaux de construction et de rénovation financés au titre de la FRR sont achevés; délivrance d’extraits d’identité électronique pour les bâtiments judiciaires </w:t>
            </w:r>
          </w:p>
        </w:tc>
        <w:tc>
          <w:tcPr>
            <w:tcW w:w="992" w:type="dxa"/>
            <w:tcBorders>
              <w:top w:val="single" w:sz="4" w:space="0" w:color="auto"/>
              <w:left w:val="nil"/>
              <w:bottom w:val="single" w:sz="4" w:space="0" w:color="auto"/>
              <w:right w:val="single" w:sz="4" w:space="0" w:color="auto"/>
            </w:tcBorders>
            <w:shd w:val="clear" w:color="auto" w:fill="C6EFCE"/>
            <w:noWrap/>
          </w:tcPr>
          <w:p w14:paraId="4D92BE3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119910B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3823EFB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55AF0249" w14:textId="77777777" w:rsidR="00A00259" w:rsidRDefault="00371282">
            <w:pPr>
              <w:pStyle w:val="P68B1DB1-Normal12"/>
              <w:spacing w:after="0" w:line="240" w:lineRule="auto"/>
              <w:rPr>
                <w:rFonts w:eastAsia="Times New Roman"/>
                <w:noProof/>
              </w:rPr>
            </w:pPr>
            <w:r>
              <w:rPr>
                <w:noProof/>
              </w:rPr>
              <w:t>T4</w:t>
            </w:r>
          </w:p>
        </w:tc>
        <w:tc>
          <w:tcPr>
            <w:tcW w:w="622" w:type="dxa"/>
            <w:tcBorders>
              <w:top w:val="single" w:sz="4" w:space="0" w:color="auto"/>
              <w:left w:val="nil"/>
              <w:bottom w:val="single" w:sz="4" w:space="0" w:color="auto"/>
              <w:right w:val="single" w:sz="4" w:space="0" w:color="auto"/>
            </w:tcBorders>
            <w:shd w:val="clear" w:color="auto" w:fill="C6EFCE"/>
            <w:noWrap/>
          </w:tcPr>
          <w:p w14:paraId="35F79212" w14:textId="77777777" w:rsidR="00A00259" w:rsidRDefault="00371282">
            <w:pPr>
              <w:pStyle w:val="P68B1DB1-Normal12"/>
              <w:spacing w:after="0" w:line="240" w:lineRule="auto"/>
              <w:rPr>
                <w:rFonts w:eastAsia="Times New Roman"/>
                <w:noProof/>
              </w:rPr>
            </w:pPr>
            <w:r>
              <w:rPr>
                <w:noProof/>
              </w:rPr>
              <w:t>2025</w:t>
            </w:r>
          </w:p>
        </w:tc>
        <w:tc>
          <w:tcPr>
            <w:tcW w:w="4885" w:type="dxa"/>
            <w:tcBorders>
              <w:top w:val="single" w:sz="4" w:space="0" w:color="auto"/>
              <w:left w:val="nil"/>
              <w:bottom w:val="single" w:sz="4" w:space="0" w:color="auto"/>
              <w:right w:val="single" w:sz="4" w:space="0" w:color="auto"/>
            </w:tcBorders>
            <w:shd w:val="clear" w:color="auto" w:fill="C6EFCE"/>
            <w:noWrap/>
          </w:tcPr>
          <w:p w14:paraId="75AB976D" w14:textId="77777777" w:rsidR="00A00259" w:rsidRDefault="00371282">
            <w:pPr>
              <w:pStyle w:val="P68B1DB1-ListParagraph34"/>
              <w:numPr>
                <w:ilvl w:val="0"/>
                <w:numId w:val="68"/>
              </w:numPr>
              <w:spacing w:before="120" w:after="0" w:line="240" w:lineRule="auto"/>
              <w:ind w:left="273" w:hanging="295"/>
              <w:jc w:val="both"/>
              <w:rPr>
                <w:noProof/>
              </w:rPr>
            </w:pPr>
            <w:r>
              <w:rPr>
                <w:noProof/>
              </w:rPr>
              <w:t>Achèvement des travaux de construction et de rénovation financés au titre de la FRR.</w:t>
            </w:r>
          </w:p>
          <w:p w14:paraId="52DD1719" w14:textId="7480EA71" w:rsidR="00A00259" w:rsidRDefault="00371282">
            <w:pPr>
              <w:pStyle w:val="P68B1DB1-ListParagraph34"/>
              <w:numPr>
                <w:ilvl w:val="0"/>
                <w:numId w:val="68"/>
              </w:numPr>
              <w:spacing w:before="120" w:after="0" w:line="240" w:lineRule="auto"/>
              <w:ind w:left="273" w:hanging="295"/>
              <w:jc w:val="both"/>
              <w:rPr>
                <w:noProof/>
              </w:rPr>
            </w:pPr>
            <w:r>
              <w:rPr>
                <w:noProof/>
              </w:rPr>
              <w:t xml:space="preserve">Délivrance d’extraits d’identité électronique pour 100 bâtiments appartenant au pouvoir judiciaire ou octroyés à celui-ci par l’intermédiaire de la plateforme d’identité électronique. </w:t>
            </w:r>
          </w:p>
        </w:tc>
      </w:tr>
      <w:tr w:rsidR="00A00259" w14:paraId="3684C47E"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5C225655" w14:textId="77777777" w:rsidR="00A00259" w:rsidRDefault="00371282">
            <w:pPr>
              <w:pStyle w:val="P68B1DB1-Normal12"/>
              <w:spacing w:after="0" w:line="240" w:lineRule="auto"/>
              <w:rPr>
                <w:rFonts w:eastAsia="Times New Roman"/>
                <w:noProof/>
              </w:rPr>
            </w:pPr>
            <w:r>
              <w:rPr>
                <w:noProof/>
              </w:rPr>
              <w:t>238</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2C56E20F" w14:textId="77777777" w:rsidR="00A00259" w:rsidRDefault="00371282">
            <w:pPr>
              <w:pStyle w:val="P68B1DB1-Normal12"/>
              <w:spacing w:after="0" w:line="240" w:lineRule="auto"/>
              <w:rPr>
                <w:rFonts w:eastAsia="Times New Roman"/>
                <w:noProof/>
              </w:rPr>
            </w:pPr>
            <w:r>
              <w:rPr>
                <w:noProof/>
              </w:rPr>
              <w:t>14 - 4.3. Améliorer l’efficacité du système judiciaire – 16575 Accélérer l’administration de la justice</w:t>
            </w:r>
          </w:p>
        </w:tc>
        <w:tc>
          <w:tcPr>
            <w:tcW w:w="1424" w:type="dxa"/>
            <w:tcBorders>
              <w:top w:val="single" w:sz="4" w:space="0" w:color="auto"/>
              <w:left w:val="nil"/>
              <w:bottom w:val="single" w:sz="4" w:space="0" w:color="auto"/>
              <w:right w:val="single" w:sz="4" w:space="0" w:color="auto"/>
            </w:tcBorders>
            <w:shd w:val="clear" w:color="auto" w:fill="C6EFCE"/>
            <w:noWrap/>
          </w:tcPr>
          <w:p w14:paraId="1C2B1180" w14:textId="77777777" w:rsidR="00A00259" w:rsidRDefault="00371282">
            <w:pPr>
              <w:pStyle w:val="P68B1DB1-Normal12"/>
              <w:spacing w:after="0" w:line="240" w:lineRule="auto"/>
              <w:rPr>
                <w:rFonts w:eastAsia="Times New Roman"/>
                <w:noProof/>
              </w:rPr>
            </w:pPr>
            <w:r>
              <w:rPr>
                <w:noProof/>
              </w:rPr>
              <w:t>Étape</w:t>
            </w:r>
          </w:p>
        </w:tc>
        <w:tc>
          <w:tcPr>
            <w:tcW w:w="1397" w:type="dxa"/>
            <w:tcBorders>
              <w:top w:val="single" w:sz="4" w:space="0" w:color="auto"/>
              <w:left w:val="nil"/>
              <w:bottom w:val="single" w:sz="4" w:space="0" w:color="auto"/>
              <w:right w:val="single" w:sz="4" w:space="0" w:color="auto"/>
            </w:tcBorders>
            <w:shd w:val="clear" w:color="auto" w:fill="C6EFCE"/>
            <w:noWrap/>
          </w:tcPr>
          <w:p w14:paraId="3B4B09E2" w14:textId="77777777" w:rsidR="00A00259" w:rsidRDefault="00371282">
            <w:pPr>
              <w:pStyle w:val="P68B1DB1-Normal12"/>
              <w:spacing w:after="0" w:line="240" w:lineRule="auto"/>
              <w:rPr>
                <w:rFonts w:eastAsia="Times New Roman"/>
                <w:noProof/>
              </w:rPr>
            </w:pPr>
            <w:r>
              <w:rPr>
                <w:noProof/>
              </w:rPr>
              <w:t xml:space="preserve">Formation sur la médiation et le système numérique unifié pour les centres de médiation </w:t>
            </w:r>
          </w:p>
        </w:tc>
        <w:tc>
          <w:tcPr>
            <w:tcW w:w="1552" w:type="dxa"/>
            <w:tcBorders>
              <w:top w:val="single" w:sz="4" w:space="0" w:color="auto"/>
              <w:left w:val="nil"/>
              <w:bottom w:val="single" w:sz="4" w:space="0" w:color="auto"/>
              <w:right w:val="single" w:sz="4" w:space="0" w:color="auto"/>
            </w:tcBorders>
            <w:shd w:val="clear" w:color="auto" w:fill="C6EFCE"/>
            <w:noWrap/>
          </w:tcPr>
          <w:p w14:paraId="48C6E749" w14:textId="77777777" w:rsidR="00A00259" w:rsidRDefault="00371282">
            <w:pPr>
              <w:pStyle w:val="P68B1DB1-Normal12"/>
              <w:spacing w:after="0" w:line="240" w:lineRule="auto"/>
              <w:rPr>
                <w:noProof/>
              </w:rPr>
            </w:pPr>
            <w:r>
              <w:rPr>
                <w:noProof/>
              </w:rPr>
              <w:t xml:space="preserve">Formation à la médiation; système numérique unifié pour les centres de médiation en ligne et accessible </w:t>
            </w:r>
          </w:p>
        </w:tc>
        <w:tc>
          <w:tcPr>
            <w:tcW w:w="992" w:type="dxa"/>
            <w:tcBorders>
              <w:top w:val="single" w:sz="4" w:space="0" w:color="auto"/>
              <w:left w:val="nil"/>
              <w:bottom w:val="single" w:sz="4" w:space="0" w:color="auto"/>
              <w:right w:val="single" w:sz="4" w:space="0" w:color="auto"/>
            </w:tcBorders>
            <w:shd w:val="clear" w:color="auto" w:fill="C6EFCE"/>
            <w:noWrap/>
          </w:tcPr>
          <w:p w14:paraId="11A3C09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522088B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4528E9B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4D9AA4D0" w14:textId="77777777" w:rsidR="00A00259" w:rsidRDefault="00371282">
            <w:pPr>
              <w:pStyle w:val="P68B1DB1-Normal12"/>
              <w:spacing w:after="0" w:line="240" w:lineRule="auto"/>
              <w:rPr>
                <w:rFonts w:eastAsia="Times New Roman"/>
                <w:noProof/>
              </w:rPr>
            </w:pPr>
            <w:r>
              <w:rPr>
                <w:noProof/>
              </w:rPr>
              <w:t>T4</w:t>
            </w:r>
          </w:p>
        </w:tc>
        <w:tc>
          <w:tcPr>
            <w:tcW w:w="622" w:type="dxa"/>
            <w:tcBorders>
              <w:top w:val="single" w:sz="4" w:space="0" w:color="auto"/>
              <w:left w:val="nil"/>
              <w:bottom w:val="single" w:sz="4" w:space="0" w:color="auto"/>
              <w:right w:val="single" w:sz="4" w:space="0" w:color="auto"/>
            </w:tcBorders>
            <w:shd w:val="clear" w:color="auto" w:fill="C6EFCE"/>
            <w:noWrap/>
          </w:tcPr>
          <w:p w14:paraId="40B19428" w14:textId="77777777" w:rsidR="00A00259" w:rsidRDefault="00371282">
            <w:pPr>
              <w:pStyle w:val="P68B1DB1-Normal12"/>
              <w:spacing w:after="0" w:line="240" w:lineRule="auto"/>
              <w:rPr>
                <w:rFonts w:eastAsia="Times New Roman"/>
                <w:noProof/>
              </w:rPr>
            </w:pPr>
            <w:r>
              <w:rPr>
                <w:noProof/>
              </w:rPr>
              <w:t>2025</w:t>
            </w:r>
          </w:p>
        </w:tc>
        <w:tc>
          <w:tcPr>
            <w:tcW w:w="4885" w:type="dxa"/>
            <w:tcBorders>
              <w:top w:val="single" w:sz="4" w:space="0" w:color="auto"/>
              <w:left w:val="nil"/>
              <w:bottom w:val="single" w:sz="4" w:space="0" w:color="auto"/>
              <w:right w:val="single" w:sz="4" w:space="0" w:color="auto"/>
            </w:tcBorders>
            <w:shd w:val="clear" w:color="auto" w:fill="C6EFCE"/>
            <w:noWrap/>
          </w:tcPr>
          <w:p w14:paraId="778D9F24" w14:textId="27E4E277" w:rsidR="00A00259" w:rsidRDefault="00371282">
            <w:pPr>
              <w:pStyle w:val="P68B1DB1-ListParagraph34"/>
              <w:numPr>
                <w:ilvl w:val="0"/>
                <w:numId w:val="69"/>
              </w:numPr>
              <w:spacing w:after="0" w:line="240" w:lineRule="auto"/>
              <w:ind w:left="262" w:hanging="327"/>
              <w:rPr>
                <w:noProof/>
              </w:rPr>
            </w:pPr>
            <w:r>
              <w:rPr>
                <w:noProof/>
              </w:rPr>
              <w:t xml:space="preserve">Organisation de sessions de formation sur la médiation par des entités accréditées à 9298 professionnels du droit et/ou médiateurs </w:t>
            </w:r>
          </w:p>
          <w:p w14:paraId="0F1F1567" w14:textId="09F3BAEA" w:rsidR="00A00259" w:rsidRDefault="00371282">
            <w:pPr>
              <w:pStyle w:val="P68B1DB1-ListParagraph34"/>
              <w:numPr>
                <w:ilvl w:val="0"/>
                <w:numId w:val="69"/>
              </w:numPr>
              <w:spacing w:after="0" w:line="240" w:lineRule="auto"/>
              <w:ind w:left="262" w:hanging="327"/>
              <w:rPr>
                <w:noProof/>
              </w:rPr>
            </w:pPr>
            <w:r>
              <w:rPr>
                <w:noProof/>
              </w:rPr>
              <w:t>Le système numérique unifié pour les centres de médiation est en ligne et accessible aux utilisateurs finaux.</w:t>
            </w:r>
          </w:p>
        </w:tc>
      </w:tr>
      <w:tr w:rsidR="00A00259" w14:paraId="473E406D"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1E72F8D5" w14:textId="77777777" w:rsidR="00A00259" w:rsidRDefault="00371282">
            <w:pPr>
              <w:pStyle w:val="P68B1DB1-Normal12"/>
              <w:spacing w:after="0" w:line="240" w:lineRule="auto"/>
              <w:rPr>
                <w:rFonts w:eastAsia="Times New Roman"/>
                <w:noProof/>
              </w:rPr>
            </w:pPr>
            <w:r>
              <w:rPr>
                <w:noProof/>
              </w:rPr>
              <w:t>239</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3BC0BBCD" w14:textId="77777777" w:rsidR="00A00259" w:rsidRDefault="00371282">
            <w:pPr>
              <w:pStyle w:val="P68B1DB1-Normal12"/>
              <w:spacing w:after="0" w:line="240" w:lineRule="auto"/>
              <w:rPr>
                <w:rFonts w:eastAsia="Times New Roman"/>
                <w:noProof/>
              </w:rPr>
            </w:pPr>
            <w:r>
              <w:rPr>
                <w:noProof/>
              </w:rPr>
              <w:t>14 - 4.3. «Améliorer l'efficacité du système judiciaire» - 16727_Transformation numérique de la justice (E-Justice)</w:t>
            </w:r>
          </w:p>
        </w:tc>
        <w:tc>
          <w:tcPr>
            <w:tcW w:w="1424" w:type="dxa"/>
            <w:tcBorders>
              <w:top w:val="single" w:sz="4" w:space="0" w:color="auto"/>
              <w:left w:val="nil"/>
              <w:bottom w:val="single" w:sz="4" w:space="0" w:color="auto"/>
              <w:right w:val="single" w:sz="4" w:space="0" w:color="auto"/>
            </w:tcBorders>
            <w:shd w:val="clear" w:color="auto" w:fill="C6EFCE"/>
            <w:noWrap/>
          </w:tcPr>
          <w:p w14:paraId="6BF178B1" w14:textId="77777777" w:rsidR="00A00259" w:rsidRDefault="00371282">
            <w:pPr>
              <w:pStyle w:val="P68B1DB1-Normal12"/>
              <w:spacing w:after="0" w:line="240" w:lineRule="auto"/>
              <w:rPr>
                <w:rFonts w:eastAsia="Times New Roman"/>
                <w:noProof/>
              </w:rPr>
            </w:pPr>
            <w:r>
              <w:rPr>
                <w:noProof/>
              </w:rPr>
              <w:t>Étape</w:t>
            </w:r>
          </w:p>
        </w:tc>
        <w:tc>
          <w:tcPr>
            <w:tcW w:w="1397" w:type="dxa"/>
            <w:tcBorders>
              <w:top w:val="single" w:sz="4" w:space="0" w:color="auto"/>
              <w:left w:val="nil"/>
              <w:bottom w:val="single" w:sz="4" w:space="0" w:color="auto"/>
              <w:right w:val="single" w:sz="4" w:space="0" w:color="auto"/>
            </w:tcBorders>
            <w:shd w:val="clear" w:color="auto" w:fill="C6EFCE"/>
            <w:noWrap/>
          </w:tcPr>
          <w:p w14:paraId="29B01A9C" w14:textId="77777777" w:rsidR="00A00259" w:rsidRDefault="00371282">
            <w:pPr>
              <w:pStyle w:val="P68B1DB1-Normal12"/>
              <w:spacing w:after="0" w:line="240" w:lineRule="auto"/>
              <w:rPr>
                <w:rFonts w:eastAsia="Times New Roman"/>
                <w:noProof/>
              </w:rPr>
            </w:pPr>
            <w:r>
              <w:rPr>
                <w:noProof/>
              </w:rPr>
              <w:t>Tenue de registres et mises à niveau informatiques</w:t>
            </w:r>
          </w:p>
        </w:tc>
        <w:tc>
          <w:tcPr>
            <w:tcW w:w="1552" w:type="dxa"/>
            <w:tcBorders>
              <w:top w:val="single" w:sz="4" w:space="0" w:color="auto"/>
              <w:left w:val="nil"/>
              <w:bottom w:val="single" w:sz="4" w:space="0" w:color="auto"/>
              <w:right w:val="single" w:sz="4" w:space="0" w:color="auto"/>
            </w:tcBorders>
            <w:shd w:val="clear" w:color="auto" w:fill="C6EFCE"/>
            <w:noWrap/>
          </w:tcPr>
          <w:p w14:paraId="63F99355" w14:textId="12D0B8BD" w:rsidR="00A00259" w:rsidRDefault="00371282">
            <w:pPr>
              <w:pStyle w:val="P68B1DB1-Normal12"/>
              <w:spacing w:after="0" w:line="240" w:lineRule="auto"/>
              <w:rPr>
                <w:noProof/>
              </w:rPr>
            </w:pPr>
            <w:r>
              <w:rPr>
                <w:noProof/>
              </w:rPr>
              <w:t>Livraison de la tenue des dossiers des tribunaux et des mises à niveau informatiques, couvrant tous les éléments contractuels financés par la FRR, telle que modifiée</w:t>
            </w:r>
          </w:p>
        </w:tc>
        <w:tc>
          <w:tcPr>
            <w:tcW w:w="992" w:type="dxa"/>
            <w:tcBorders>
              <w:top w:val="single" w:sz="4" w:space="0" w:color="auto"/>
              <w:left w:val="nil"/>
              <w:bottom w:val="single" w:sz="4" w:space="0" w:color="auto"/>
              <w:right w:val="single" w:sz="4" w:space="0" w:color="auto"/>
            </w:tcBorders>
            <w:shd w:val="clear" w:color="auto" w:fill="C6EFCE"/>
            <w:noWrap/>
          </w:tcPr>
          <w:p w14:paraId="78961AB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318BBB7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58A3AE1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1A5B0E8A" w14:textId="6C4BE567" w:rsidR="00A00259" w:rsidRDefault="00371282">
            <w:pPr>
              <w:pStyle w:val="P68B1DB1-Normal12"/>
              <w:spacing w:after="0" w:line="240" w:lineRule="auto"/>
              <w:rPr>
                <w:rFonts w:eastAsia="Times New Roman"/>
                <w:noProof/>
              </w:rPr>
            </w:pPr>
            <w:r>
              <w:rPr>
                <w:noProof/>
              </w:rPr>
              <w:t>T2</w:t>
            </w:r>
          </w:p>
        </w:tc>
        <w:tc>
          <w:tcPr>
            <w:tcW w:w="622" w:type="dxa"/>
            <w:tcBorders>
              <w:top w:val="single" w:sz="4" w:space="0" w:color="auto"/>
              <w:left w:val="nil"/>
              <w:bottom w:val="single" w:sz="4" w:space="0" w:color="auto"/>
              <w:right w:val="single" w:sz="4" w:space="0" w:color="auto"/>
            </w:tcBorders>
            <w:shd w:val="clear" w:color="auto" w:fill="C6EFCE"/>
            <w:noWrap/>
          </w:tcPr>
          <w:p w14:paraId="3249779C" w14:textId="36AC89D8" w:rsidR="00A00259" w:rsidRDefault="00371282">
            <w:pPr>
              <w:pStyle w:val="P68B1DB1-Normal12"/>
              <w:spacing w:after="0" w:line="240" w:lineRule="auto"/>
              <w:rPr>
                <w:rFonts w:eastAsia="Times New Roman"/>
                <w:noProof/>
              </w:rPr>
            </w:pPr>
            <w:r>
              <w:rPr>
                <w:noProof/>
              </w:rPr>
              <w:t>2026</w:t>
            </w:r>
          </w:p>
        </w:tc>
        <w:tc>
          <w:tcPr>
            <w:tcW w:w="4885" w:type="dxa"/>
            <w:tcBorders>
              <w:top w:val="single" w:sz="4" w:space="0" w:color="auto"/>
              <w:left w:val="nil"/>
              <w:bottom w:val="single" w:sz="4" w:space="0" w:color="auto"/>
              <w:right w:val="single" w:sz="4" w:space="0" w:color="auto"/>
            </w:tcBorders>
            <w:shd w:val="clear" w:color="auto" w:fill="C6EFCE"/>
            <w:noWrap/>
          </w:tcPr>
          <w:p w14:paraId="477E6D58" w14:textId="1735FF1C" w:rsidR="00A00259" w:rsidRDefault="00371282">
            <w:pPr>
              <w:pStyle w:val="P68B1DB1-Normal12"/>
              <w:spacing w:after="0" w:line="240" w:lineRule="auto"/>
              <w:rPr>
                <w:noProof/>
              </w:rPr>
            </w:pPr>
            <w:r>
              <w:rPr>
                <w:noProof/>
              </w:rPr>
              <w:t xml:space="preserve">Livraison de tous les éléments contractuels financés par la FRR, telle que modifiée, en ce qui concerne: </w:t>
            </w:r>
          </w:p>
          <w:p w14:paraId="5835A25B" w14:textId="77777777" w:rsidR="00A00259" w:rsidRDefault="00371282">
            <w:pPr>
              <w:pStyle w:val="P68B1DB1-Normal12"/>
              <w:spacing w:before="120" w:after="0" w:line="240" w:lineRule="auto"/>
              <w:ind w:left="360"/>
              <w:jc w:val="both"/>
              <w:rPr>
                <w:noProof/>
              </w:rPr>
            </w:pPr>
            <w:r>
              <w:rPr>
                <w:noProof/>
              </w:rPr>
              <w:t>i) Le système d'archivage des tribunaux</w:t>
            </w:r>
          </w:p>
          <w:p w14:paraId="1EEEB90F" w14:textId="78741DF1" w:rsidR="00A00259" w:rsidRDefault="00371282">
            <w:pPr>
              <w:pStyle w:val="P68B1DB1-Normal12"/>
              <w:spacing w:before="120" w:after="0" w:line="259" w:lineRule="auto"/>
              <w:ind w:left="314"/>
              <w:contextualSpacing/>
              <w:jc w:val="both"/>
              <w:rPr>
                <w:rFonts w:eastAsia="Times New Roman"/>
                <w:noProof/>
              </w:rPr>
            </w:pPr>
            <w:r>
              <w:rPr>
                <w:noProof/>
              </w:rPr>
              <w:t xml:space="preserve">ii) Les systèmes informatiques du secteur de la justice pour les juridictions civiles et pénales, la cour des comptes et le casier judiciaire national. </w:t>
            </w:r>
          </w:p>
        </w:tc>
      </w:tr>
    </w:tbl>
    <w:p w14:paraId="3A3A767B" w14:textId="77777777" w:rsidR="00A00259" w:rsidRDefault="00A00259">
      <w:pPr>
        <w:spacing w:before="120" w:after="120" w:line="240" w:lineRule="auto"/>
        <w:jc w:val="both"/>
        <w:rPr>
          <w:rFonts w:ascii="Times New Roman" w:hAnsi="Times New Roman" w:cs="Times New Roman"/>
          <w:noProof/>
          <w:sz w:val="24"/>
        </w:rPr>
        <w:sectPr w:rsidR="00A00259">
          <w:headerReference w:type="even" r:id="rId300"/>
          <w:headerReference w:type="default" r:id="rId301"/>
          <w:footerReference w:type="even" r:id="rId302"/>
          <w:footerReference w:type="default" r:id="rId303"/>
          <w:headerReference w:type="first" r:id="rId304"/>
          <w:footerReference w:type="first" r:id="rId305"/>
          <w:pgSz w:w="16839" w:h="11907" w:orient="landscape"/>
          <w:pgMar w:top="1134" w:right="1134" w:bottom="1134" w:left="1134" w:header="567" w:footer="567" w:gutter="0"/>
          <w:cols w:space="720"/>
          <w:docGrid w:linePitch="360"/>
        </w:sectPr>
      </w:pPr>
    </w:p>
    <w:p w14:paraId="6FE02133" w14:textId="77777777" w:rsidR="00A00259" w:rsidRDefault="00371282">
      <w:pPr>
        <w:pStyle w:val="P68B1DB1-Normal17"/>
        <w:spacing w:before="120" w:after="120" w:line="240" w:lineRule="auto"/>
        <w:ind w:firstLine="6"/>
        <w:jc w:val="both"/>
        <w:outlineLvl w:val="3"/>
        <w:rPr>
          <w:rFonts w:cs="Times New Roman"/>
          <w:bCs/>
          <w:noProof/>
        </w:rPr>
      </w:pPr>
      <w:r>
        <w:rPr>
          <w:noProof/>
        </w:rPr>
        <w:t>O. Élément 4.4: RENFORCER LE SECTEUR FINANCIER ET LES MARCHÉS DES CAPITAUX</w:t>
      </w:r>
    </w:p>
    <w:p w14:paraId="04669D8A" w14:textId="77777777" w:rsidR="00A00259" w:rsidRDefault="00371282">
      <w:pPr>
        <w:pStyle w:val="P68B1DB1-Normal5"/>
        <w:spacing w:before="120" w:after="120" w:line="240" w:lineRule="auto"/>
        <w:jc w:val="both"/>
        <w:rPr>
          <w:rFonts w:cs="Times New Roman"/>
          <w:noProof/>
        </w:rPr>
      </w:pPr>
      <w:r>
        <w:rPr>
          <w:noProof/>
        </w:rPr>
        <w:t>Ce volet du plan grec pour la reprise et la résilience vise à renforcer la capacité du système financier à soutenir le développement de l’économie, par la fourniture de financements aux entreprises et aux particuliers pour développer de nouvelles activités. Elle soutient la lutte contre les expositions non performantes (ENP) et les prêts non performants (PNP) élevés dans le secteur bancaire grec, tout en améliorant l’accès aux informations concernant les profils de crédit des entreprises et des particuliers sur le marché. </w:t>
      </w:r>
    </w:p>
    <w:p w14:paraId="6FB65BEC" w14:textId="77777777" w:rsidR="00A00259" w:rsidRDefault="00371282">
      <w:pPr>
        <w:pStyle w:val="P68B1DB1-Normal5"/>
        <w:spacing w:before="120" w:after="120" w:line="240" w:lineRule="auto"/>
        <w:jc w:val="both"/>
        <w:rPr>
          <w:rFonts w:cs="Times New Roman"/>
          <w:noProof/>
        </w:rPr>
      </w:pPr>
      <w:r>
        <w:rPr>
          <w:noProof/>
        </w:rPr>
        <w:t>Le volet soutient également la gestion de l'endettement privé et renforce les marchés des capitaux. Les changements structurels dans ces deux domaines contribueront à la croissance et renforceront la résilience économique de la Grèce face aux chocs futurs. </w:t>
      </w:r>
    </w:p>
    <w:p w14:paraId="41F14DB1" w14:textId="77777777" w:rsidR="00A00259" w:rsidRDefault="00371282">
      <w:pPr>
        <w:pStyle w:val="P68B1DB1-Normal5"/>
        <w:spacing w:before="120" w:after="120" w:line="240" w:lineRule="auto"/>
        <w:jc w:val="both"/>
        <w:rPr>
          <w:rFonts w:cs="Times New Roman"/>
          <w:noProof/>
        </w:rPr>
      </w:pPr>
      <w:r>
        <w:rPr>
          <w:noProof/>
        </w:rPr>
        <w:t>Les réformes relevant de ce volet consistent à: </w:t>
      </w:r>
    </w:p>
    <w:p w14:paraId="613E5AF0" w14:textId="77777777" w:rsidR="00A00259" w:rsidRDefault="00371282">
      <w:pPr>
        <w:pStyle w:val="P68B1DB1-Normal5"/>
        <w:numPr>
          <w:ilvl w:val="0"/>
          <w:numId w:val="70"/>
        </w:numPr>
        <w:spacing w:before="120" w:after="120" w:line="240" w:lineRule="auto"/>
        <w:ind w:left="360"/>
        <w:jc w:val="both"/>
        <w:rPr>
          <w:rFonts w:cs="Times New Roman"/>
          <w:noProof/>
        </w:rPr>
      </w:pPr>
      <w:r>
        <w:rPr>
          <w:noProof/>
        </w:rPr>
        <w:t>Amélioration de la surveillance et de la fiabilité des marchés des capitaux </w:t>
      </w:r>
    </w:p>
    <w:p w14:paraId="303388A6" w14:textId="77777777" w:rsidR="00A00259" w:rsidRDefault="00371282">
      <w:pPr>
        <w:pStyle w:val="P68B1DB1-Normal5"/>
        <w:numPr>
          <w:ilvl w:val="0"/>
          <w:numId w:val="70"/>
        </w:numPr>
        <w:spacing w:before="120" w:after="120" w:line="240" w:lineRule="auto"/>
        <w:ind w:left="360"/>
        <w:jc w:val="both"/>
        <w:rPr>
          <w:rFonts w:cs="Times New Roman"/>
          <w:noProof/>
        </w:rPr>
      </w:pPr>
      <w:r>
        <w:rPr>
          <w:noProof/>
        </w:rPr>
        <w:t xml:space="preserve">Renforcer la capacité du système financier à surmonter les défis hérités du passé et à financer l'économie réelle </w:t>
      </w:r>
    </w:p>
    <w:p w14:paraId="440E0B84" w14:textId="77777777" w:rsidR="00A00259" w:rsidRDefault="00371282">
      <w:pPr>
        <w:pStyle w:val="P68B1DB1-Normal7"/>
        <w:numPr>
          <w:ilvl w:val="0"/>
          <w:numId w:val="70"/>
        </w:numPr>
        <w:spacing w:before="120" w:after="120" w:line="240" w:lineRule="auto"/>
        <w:ind w:left="360"/>
        <w:jc w:val="both"/>
        <w:rPr>
          <w:rFonts w:cs="Times New Roman"/>
          <w:noProof/>
        </w:rPr>
      </w:pPr>
      <w:r>
        <w:rPr>
          <w:noProof/>
        </w:rPr>
        <w:t xml:space="preserve">Mise à niveau de l’infrastructure numérique nécessaire à la mise en place du nouveau cadre unifié en matière d’insolvabilité pour la restructuration de la dette et la 2e chance </w:t>
      </w:r>
    </w:p>
    <w:p w14:paraId="69DC9E2B" w14:textId="77777777" w:rsidR="00A00259" w:rsidRDefault="00371282">
      <w:pPr>
        <w:pStyle w:val="P68B1DB1-Normal8"/>
        <w:spacing w:before="120" w:after="120" w:line="240" w:lineRule="auto"/>
        <w:jc w:val="both"/>
        <w:rPr>
          <w:rFonts w:ascii="Times New Roman" w:hAnsi="Times New Roman" w:cs="Times New Roman"/>
          <w:noProof/>
        </w:rPr>
      </w:pPr>
      <w:r>
        <w:rPr>
          <w:rFonts w:ascii="Times New Roman" w:hAnsi="Times New Roman"/>
          <w:noProof/>
        </w:rPr>
        <w:t>Certaines de ces réformes comprennent des mesures visant à combler les lacunes en matière d'information qui entravent la réussite du flux de crédit et l'efficacité de la surveillance des risques. Il s'agit de l'élaboration</w:t>
      </w:r>
      <w:r>
        <w:rPr>
          <w:rFonts w:asciiTheme="minorHAnsi" w:eastAsiaTheme="minorEastAsia" w:hAnsiTheme="minorHAnsi" w:cstheme="minorBidi"/>
          <w:noProof/>
        </w:rPr>
        <w:t xml:space="preserve"> d'un registre de surveillance de la dette privée, </w:t>
      </w:r>
      <w:r>
        <w:rPr>
          <w:rFonts w:ascii="Times New Roman" w:hAnsi="Times New Roman"/>
          <w:noProof/>
        </w:rPr>
        <w:t xml:space="preserve">de la mise au point d'un système public d'information sur la notation de crédit et d'un registre central du crédit. En outre, le registre central du crédit, par la collecte de données pertinentes, contribue également au suivi de l’évolution de l’expansion du crédit par l’observatoire de l’expansion du crédit. Ces actions contribuent également à la transition numérique de l’économie grecque, puisqu’elles reposent sur les technologies de l’information. </w:t>
      </w:r>
    </w:p>
    <w:p w14:paraId="4FACC1F2" w14:textId="77777777" w:rsidR="00A00259" w:rsidRDefault="00371282">
      <w:pPr>
        <w:pStyle w:val="P68B1DB1-Normal5"/>
        <w:spacing w:before="120" w:after="120" w:line="240" w:lineRule="auto"/>
        <w:jc w:val="both"/>
        <w:rPr>
          <w:rFonts w:cs="Times New Roman"/>
          <w:noProof/>
        </w:rPr>
      </w:pPr>
      <w:r>
        <w:rPr>
          <w:noProof/>
        </w:rPr>
        <w:t>Les mesures relevant de ce volet favorisent la résilience économique et institutionnelle, renforcent la préparation aux crises et les capacités institutionnelles et soutiennent donc la mise en œuvre de la recommandation par pays sur les «réformes structurelles visant à améliorer le fonctionnement de l’économie» (recommandation par pays no 1 de 2019 et recommandation par pays no 4 de 2020). 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31993117" w14:textId="77777777" w:rsidR="00A00259" w:rsidRDefault="00371282">
      <w:pPr>
        <w:pStyle w:val="P68B1DB1-Normal6"/>
        <w:spacing w:before="120" w:after="120" w:line="240" w:lineRule="auto"/>
        <w:jc w:val="both"/>
        <w:rPr>
          <w:rFonts w:cs="Times New Roman"/>
          <w:bCs/>
          <w:i/>
          <w:iCs/>
          <w:noProof/>
          <w:color w:val="4F81BD"/>
        </w:rPr>
      </w:pPr>
      <w:r>
        <w:rPr>
          <w:noProof/>
        </w:rPr>
        <w:t>O.1. Description des réformes et des investissements pour le soutien financier non remboursable</w:t>
      </w:r>
    </w:p>
    <w:p w14:paraId="5CFD0077"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Amélioration de la surveillance et de la fiabilité des marchés des capitaux (mesure ID 16581)</w:t>
      </w:r>
    </w:p>
    <w:p w14:paraId="7107CF83" w14:textId="077B227A" w:rsidR="00A00259" w:rsidRDefault="00371282">
      <w:pPr>
        <w:pStyle w:val="P68B1DB1-Normal7"/>
        <w:spacing w:before="120" w:after="120" w:line="240" w:lineRule="auto"/>
        <w:jc w:val="both"/>
        <w:rPr>
          <w:rFonts w:cs="Times New Roman"/>
          <w:noProof/>
        </w:rPr>
      </w:pPr>
      <w:r>
        <w:rPr>
          <w:noProof/>
        </w:rPr>
        <w:t>L'objectif de la mesure est de renforcer la surveillance des marchés des capitaux. La mesure consiste en la mise à niveau des systèmes informatiques et la fourniture de services de cybersécurité à la Commission hellénique des marchés des capitaux (HCMC) et la publication de la codification administrative pour les marchés des capitaux.</w:t>
      </w:r>
    </w:p>
    <w:p w14:paraId="53B0BF36"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Renforcement de la capacité du système financier à relever les défis hérités du passé et à financer l’économie réelle (mesure ID 16957)</w:t>
      </w:r>
    </w:p>
    <w:p w14:paraId="3EA466BD" w14:textId="42FC7F02" w:rsidR="00A00259" w:rsidRDefault="00371282">
      <w:pPr>
        <w:pStyle w:val="P68B1DB1-Normal7"/>
        <w:spacing w:before="120" w:after="120" w:line="240" w:lineRule="auto"/>
        <w:jc w:val="both"/>
        <w:rPr>
          <w:noProof/>
          <w:color w:val="000000" w:themeColor="text1"/>
        </w:rPr>
      </w:pPr>
      <w:r>
        <w:rPr>
          <w:noProof/>
        </w:rPr>
        <w:t>L’objectif de cette réforme est de réduire l’encours de la dette privée en améliorant la procédure d’insolvabilité et en renforçant le marché des prêts non performants. La réforme consiste en la mise à disposition de systèmes informatiques qui contrôlent la solvabilité des débiteurs, de modèles de données pour le filtrage des portefeuilles, de modifications du code de procédure civile (CCP) et de dispositions relatives à la création d’un mécanisme permettant d’obtenir plus tôt des dates d’audience pour les affaires de liquidation en cours.</w:t>
      </w:r>
    </w:p>
    <w:p w14:paraId="44063E9F" w14:textId="0B453139" w:rsidR="00A00259" w:rsidRDefault="00371282">
      <w:pPr>
        <w:pStyle w:val="P68B1DB1-Normal7"/>
        <w:spacing w:before="120" w:after="120" w:line="240" w:lineRule="auto"/>
        <w:jc w:val="both"/>
        <w:rPr>
          <w:rFonts w:cs="Times New Roman"/>
          <w:noProof/>
        </w:rPr>
      </w:pPr>
      <w:r>
        <w:rPr>
          <w:b/>
          <w:noProof/>
        </w:rPr>
        <w:t>Réforme:</w:t>
      </w:r>
      <w:r>
        <w:rPr>
          <w:noProof/>
        </w:rPr>
        <w:t xml:space="preserve"> Mise en place du nouveau cadre unifié en matière d’insolvabilité pour la restructuration de la dette et la seconde chance (mesure ID 16580)</w:t>
      </w:r>
    </w:p>
    <w:p w14:paraId="3E9D2B0F" w14:textId="5964D003" w:rsidR="00A00259" w:rsidRDefault="00371282">
      <w:pPr>
        <w:pStyle w:val="P68B1DB1-Normal7"/>
        <w:spacing w:before="120" w:after="120" w:line="240" w:lineRule="auto"/>
        <w:jc w:val="both"/>
        <w:rPr>
          <w:rFonts w:cs="Times New Roman"/>
          <w:b/>
          <w:bCs/>
          <w:noProof/>
          <w:u w:val="single"/>
        </w:rPr>
      </w:pPr>
      <w:r>
        <w:rPr>
          <w:noProof/>
        </w:rPr>
        <w:t>L'objectif de la réforme est de soutenir les procédures d'alerte rapide et de restructuration préventive de la dette. La réforme consiste en la mise à niveau des systèmes informatiques d’alerte précoce et de restructuration de la dette.</w:t>
      </w:r>
    </w:p>
    <w:p w14:paraId="2E89BB5D" w14:textId="77777777" w:rsidR="00A00259" w:rsidRDefault="00A00259">
      <w:pPr>
        <w:spacing w:before="120" w:after="120" w:line="240" w:lineRule="auto"/>
        <w:ind w:left="709"/>
        <w:jc w:val="both"/>
        <w:rPr>
          <w:rFonts w:ascii="Times New Roman" w:hAnsi="Times New Roman" w:cs="Times New Roman"/>
          <w:noProof/>
          <w:sz w:val="24"/>
        </w:rPr>
        <w:sectPr w:rsidR="00A00259">
          <w:headerReference w:type="even" r:id="rId306"/>
          <w:headerReference w:type="default" r:id="rId307"/>
          <w:footerReference w:type="even" r:id="rId308"/>
          <w:footerReference w:type="default" r:id="rId309"/>
          <w:headerReference w:type="first" r:id="rId310"/>
          <w:footerReference w:type="first" r:id="rId311"/>
          <w:pgSz w:w="11906" w:h="16838"/>
          <w:pgMar w:top="1134" w:right="1134" w:bottom="1134" w:left="1134" w:header="567" w:footer="567" w:gutter="0"/>
          <w:cols w:space="708"/>
          <w:docGrid w:linePitch="360"/>
        </w:sectPr>
      </w:pPr>
    </w:p>
    <w:p w14:paraId="74E59B40" w14:textId="77777777" w:rsidR="00A00259" w:rsidRDefault="00371282">
      <w:pPr>
        <w:pStyle w:val="P68B1DB1-Normal6"/>
        <w:spacing w:before="120" w:after="120" w:line="240" w:lineRule="auto"/>
        <w:jc w:val="both"/>
        <w:rPr>
          <w:rFonts w:cs="Times New Roman"/>
          <w:bCs/>
          <w:noProof/>
        </w:rPr>
      </w:pPr>
      <w:r>
        <w:rPr>
          <w:noProof/>
        </w:rPr>
        <w:t>O.2. Étapes, cibles, indicateurs et calendrier pour le suivi et la mise en œuvre du soutien financier non remboursable</w:t>
      </w:r>
    </w:p>
    <w:p w14:paraId="2781D67F" w14:textId="77777777" w:rsidR="00A00259" w:rsidRDefault="00371282">
      <w:pPr>
        <w:pStyle w:val="P68B1DB1-Normal9"/>
        <w:keepNext/>
        <w:keepLines/>
        <w:spacing w:before="40" w:after="0" w:line="240" w:lineRule="auto"/>
        <w:jc w:val="both"/>
        <w:outlineLvl w:val="4"/>
        <w:rPr>
          <w:rFonts w:eastAsia="Times New Roman"/>
          <w:noProof/>
        </w:rPr>
      </w:pPr>
      <w:r>
        <w:rPr>
          <w:noProof/>
        </w:rPr>
        <w:t>Groupe 22: Renforcer le secteur financier et les marchés des capitaux</w:t>
      </w:r>
    </w:p>
    <w:p w14:paraId="3B0E7D82" w14:textId="77777777" w:rsidR="00A00259" w:rsidRDefault="00371282">
      <w:pPr>
        <w:pStyle w:val="P68B1DB1-Normal5"/>
        <w:numPr>
          <w:ilvl w:val="0"/>
          <w:numId w:val="71"/>
        </w:numPr>
        <w:spacing w:before="120" w:after="0" w:line="240" w:lineRule="auto"/>
        <w:jc w:val="both"/>
        <w:rPr>
          <w:rFonts w:cs="Times New Roman"/>
          <w:noProof/>
        </w:rPr>
      </w:pPr>
      <w:r>
        <w:rPr>
          <w:noProof/>
        </w:rPr>
        <w:t>Renforcement de la surveillance et de la fiabilité des marchés des capitaux (ID: 16581)</w:t>
      </w:r>
    </w:p>
    <w:p w14:paraId="35F1C6FC" w14:textId="77777777" w:rsidR="00A00259" w:rsidRDefault="00371282">
      <w:pPr>
        <w:pStyle w:val="P68B1DB1-Normal5"/>
        <w:numPr>
          <w:ilvl w:val="0"/>
          <w:numId w:val="71"/>
        </w:numPr>
        <w:spacing w:before="120" w:after="0" w:line="240" w:lineRule="auto"/>
        <w:jc w:val="both"/>
        <w:rPr>
          <w:rFonts w:cs="Times New Roman"/>
          <w:noProof/>
        </w:rPr>
      </w:pPr>
      <w:r>
        <w:rPr>
          <w:noProof/>
        </w:rPr>
        <w:t>Renforcer la capacité du système financier à relever les défis hérités du passé et à financer l’économie réelle (ID: 16957)</w:t>
      </w:r>
    </w:p>
    <w:p w14:paraId="176B7476" w14:textId="77777777" w:rsidR="00A00259" w:rsidRDefault="00371282">
      <w:pPr>
        <w:pStyle w:val="P68B1DB1-Normal7"/>
        <w:numPr>
          <w:ilvl w:val="0"/>
          <w:numId w:val="71"/>
        </w:numPr>
        <w:spacing w:before="120" w:after="0" w:line="240" w:lineRule="auto"/>
        <w:jc w:val="both"/>
        <w:rPr>
          <w:rFonts w:cs="Times New Roman"/>
          <w:noProof/>
        </w:rPr>
      </w:pPr>
      <w:r>
        <w:rPr>
          <w:noProof/>
        </w:rPr>
        <w:t>Mise en place du nouveau cadre unifié en matière d’insolvabilité pour la restructuration de la dette et la 2e chance (ID: 16580)</w:t>
      </w:r>
    </w:p>
    <w:tbl>
      <w:tblPr>
        <w:tblW w:w="15936" w:type="dxa"/>
        <w:jc w:val="center"/>
        <w:tblLook w:val="04A0" w:firstRow="1" w:lastRow="0" w:firstColumn="1" w:lastColumn="0" w:noHBand="0" w:noVBand="1"/>
      </w:tblPr>
      <w:tblGrid>
        <w:gridCol w:w="582"/>
        <w:gridCol w:w="2213"/>
        <w:gridCol w:w="1193"/>
        <w:gridCol w:w="1266"/>
        <w:gridCol w:w="1576"/>
        <w:gridCol w:w="968"/>
        <w:gridCol w:w="936"/>
        <w:gridCol w:w="846"/>
        <w:gridCol w:w="986"/>
        <w:gridCol w:w="706"/>
        <w:gridCol w:w="5194"/>
      </w:tblGrid>
      <w:tr w:rsidR="00A00259" w14:paraId="2E2AC28B" w14:textId="77777777">
        <w:trPr>
          <w:trHeight w:val="695"/>
          <w:tblHeader/>
          <w:jc w:val="center"/>
        </w:trPr>
        <w:tc>
          <w:tcPr>
            <w:tcW w:w="5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5F8E37" w14:textId="77777777" w:rsidR="00A00259" w:rsidRDefault="00371282">
            <w:pPr>
              <w:pStyle w:val="P68B1DB1-Normal15"/>
              <w:spacing w:after="0" w:line="240" w:lineRule="auto"/>
              <w:jc w:val="center"/>
              <w:rPr>
                <w:rFonts w:eastAsia="Times New Roman"/>
                <w:bCs/>
                <w:noProof/>
              </w:rPr>
            </w:pPr>
            <w:r>
              <w:rPr>
                <w:noProof/>
              </w:rPr>
              <w:t xml:space="preserve">Seq. </w:t>
            </w:r>
            <w:r>
              <w:rPr>
                <w:noProof/>
              </w:rPr>
              <w:br/>
              <w:t>Non.</w:t>
            </w:r>
          </w:p>
        </w:tc>
        <w:tc>
          <w:tcPr>
            <w:tcW w:w="22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DF8210"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19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58D6E7C"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25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DD4809B"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5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56BA49"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241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63565A7" w14:textId="77777777" w:rsidR="00A00259" w:rsidRDefault="00371282">
            <w:pPr>
              <w:pStyle w:val="P68B1DB1-Normal10"/>
              <w:spacing w:after="0" w:line="240" w:lineRule="auto"/>
              <w:jc w:val="center"/>
              <w:rPr>
                <w:rFonts w:eastAsia="Times New Roman" w:cs="Times New Roman"/>
                <w:bCs/>
                <w:noProof/>
                <w:szCs w:val="18"/>
              </w:rPr>
            </w:pPr>
            <w:r>
              <w:rPr>
                <w:noProof/>
              </w:rPr>
              <w:t>Indicateurs quantitatifs (pour les objectifs)</w:t>
            </w:r>
          </w:p>
        </w:tc>
        <w:tc>
          <w:tcPr>
            <w:tcW w:w="151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989770F"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519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A9478D"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5E6E6CEE" w14:textId="77777777">
        <w:trPr>
          <w:trHeight w:val="610"/>
          <w:tblHeader/>
          <w:jc w:val="center"/>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39760B90" w14:textId="77777777" w:rsidR="00A00259" w:rsidRDefault="00A00259">
            <w:pPr>
              <w:spacing w:after="0" w:line="240" w:lineRule="auto"/>
              <w:rPr>
                <w:rFonts w:ascii="Times New Roman" w:eastAsia="Times New Roman" w:hAnsi="Times New Roman" w:cs="Times New Roman"/>
                <w:b/>
                <w:bCs/>
                <w:noProof/>
                <w:sz w:val="18"/>
                <w:szCs w:val="18"/>
              </w:rPr>
            </w:pPr>
          </w:p>
        </w:tc>
        <w:tc>
          <w:tcPr>
            <w:tcW w:w="2213" w:type="dxa"/>
            <w:vMerge/>
            <w:tcBorders>
              <w:top w:val="single" w:sz="4" w:space="0" w:color="auto"/>
              <w:left w:val="single" w:sz="4" w:space="0" w:color="auto"/>
              <w:bottom w:val="single" w:sz="4" w:space="0" w:color="auto"/>
              <w:right w:val="single" w:sz="4" w:space="0" w:color="auto"/>
            </w:tcBorders>
            <w:vAlign w:val="center"/>
            <w:hideMark/>
          </w:tcPr>
          <w:p w14:paraId="00A66E94" w14:textId="77777777" w:rsidR="00A00259" w:rsidRDefault="00A00259">
            <w:pPr>
              <w:spacing w:after="0" w:line="240" w:lineRule="auto"/>
              <w:rPr>
                <w:rFonts w:ascii="Times New Roman" w:eastAsia="Times New Roman" w:hAnsi="Times New Roman" w:cs="Times New Roman"/>
                <w:b/>
                <w:bCs/>
                <w:noProof/>
                <w:sz w:val="18"/>
                <w:szCs w:val="18"/>
              </w:rPr>
            </w:pPr>
          </w:p>
        </w:tc>
        <w:tc>
          <w:tcPr>
            <w:tcW w:w="1193" w:type="dxa"/>
            <w:vMerge/>
            <w:tcBorders>
              <w:top w:val="single" w:sz="4" w:space="0" w:color="auto"/>
              <w:left w:val="single" w:sz="4" w:space="0" w:color="auto"/>
              <w:bottom w:val="single" w:sz="4" w:space="0" w:color="auto"/>
              <w:right w:val="single" w:sz="4" w:space="0" w:color="auto"/>
            </w:tcBorders>
            <w:vAlign w:val="center"/>
            <w:hideMark/>
          </w:tcPr>
          <w:p w14:paraId="0BECE063" w14:textId="77777777" w:rsidR="00A00259" w:rsidRDefault="00A00259">
            <w:pPr>
              <w:spacing w:after="0" w:line="240" w:lineRule="auto"/>
              <w:rPr>
                <w:rFonts w:ascii="Times New Roman" w:eastAsia="Times New Roman" w:hAnsi="Times New Roman" w:cs="Times New Roman"/>
                <w:b/>
                <w:bCs/>
                <w:noProof/>
                <w:sz w:val="18"/>
                <w:szCs w:val="18"/>
              </w:rPr>
            </w:pPr>
          </w:p>
        </w:tc>
        <w:tc>
          <w:tcPr>
            <w:tcW w:w="1253" w:type="dxa"/>
            <w:vMerge/>
            <w:tcBorders>
              <w:top w:val="single" w:sz="4" w:space="0" w:color="auto"/>
              <w:left w:val="single" w:sz="4" w:space="0" w:color="auto"/>
              <w:bottom w:val="single" w:sz="4" w:space="0" w:color="auto"/>
              <w:right w:val="single" w:sz="4" w:space="0" w:color="auto"/>
            </w:tcBorders>
            <w:vAlign w:val="center"/>
            <w:hideMark/>
          </w:tcPr>
          <w:p w14:paraId="1968E76C" w14:textId="77777777" w:rsidR="00A00259" w:rsidRDefault="00A00259">
            <w:pPr>
              <w:spacing w:after="0" w:line="240" w:lineRule="auto"/>
              <w:rPr>
                <w:rFonts w:ascii="Times New Roman" w:eastAsia="Times New Roman" w:hAnsi="Times New Roman" w:cs="Times New Roman"/>
                <w:b/>
                <w:bCs/>
                <w:noProof/>
                <w:sz w:val="18"/>
                <w:szCs w:val="18"/>
              </w:rPr>
            </w:pPr>
          </w:p>
        </w:tc>
        <w:tc>
          <w:tcPr>
            <w:tcW w:w="1576" w:type="dxa"/>
            <w:vMerge/>
            <w:tcBorders>
              <w:top w:val="single" w:sz="4" w:space="0" w:color="auto"/>
              <w:left w:val="single" w:sz="4" w:space="0" w:color="auto"/>
              <w:bottom w:val="single" w:sz="4" w:space="0" w:color="auto"/>
              <w:right w:val="single" w:sz="4" w:space="0" w:color="auto"/>
            </w:tcBorders>
            <w:vAlign w:val="center"/>
            <w:hideMark/>
          </w:tcPr>
          <w:p w14:paraId="6882D4B7" w14:textId="77777777" w:rsidR="00A00259" w:rsidRDefault="00A00259">
            <w:pPr>
              <w:spacing w:after="0" w:line="240" w:lineRule="auto"/>
              <w:rPr>
                <w:rFonts w:ascii="Times New Roman" w:eastAsia="Times New Roman" w:hAnsi="Times New Roman" w:cs="Times New Roman"/>
                <w:b/>
                <w:bCs/>
                <w:noProof/>
                <w:sz w:val="18"/>
                <w:szCs w:val="18"/>
              </w:rPr>
            </w:pPr>
          </w:p>
        </w:tc>
        <w:tc>
          <w:tcPr>
            <w:tcW w:w="96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2754B2"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8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5E91B83"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5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AD14B55"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84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A43AE14"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67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17A29EE"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5194" w:type="dxa"/>
            <w:vMerge/>
            <w:tcBorders>
              <w:top w:val="single" w:sz="4" w:space="0" w:color="auto"/>
              <w:left w:val="single" w:sz="4" w:space="0" w:color="auto"/>
              <w:bottom w:val="single" w:sz="4" w:space="0" w:color="auto"/>
              <w:right w:val="single" w:sz="4" w:space="0" w:color="auto"/>
            </w:tcBorders>
            <w:vAlign w:val="center"/>
            <w:hideMark/>
          </w:tcPr>
          <w:p w14:paraId="06A76230"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466964D0" w14:textId="77777777">
        <w:trPr>
          <w:trHeight w:val="309"/>
          <w:jc w:val="center"/>
        </w:trPr>
        <w:tc>
          <w:tcPr>
            <w:tcW w:w="576" w:type="dxa"/>
            <w:tcBorders>
              <w:top w:val="single" w:sz="4" w:space="0" w:color="auto"/>
              <w:left w:val="single" w:sz="4" w:space="0" w:color="auto"/>
              <w:bottom w:val="single" w:sz="4" w:space="0" w:color="auto"/>
              <w:right w:val="single" w:sz="4" w:space="0" w:color="auto"/>
            </w:tcBorders>
            <w:shd w:val="clear" w:color="auto" w:fill="C6EFCE"/>
            <w:noWrap/>
          </w:tcPr>
          <w:p w14:paraId="4D55C7B8" w14:textId="77777777" w:rsidR="00A00259" w:rsidRDefault="00371282">
            <w:pPr>
              <w:pStyle w:val="P68B1DB1-Normal12"/>
              <w:spacing w:after="0" w:line="240" w:lineRule="auto"/>
              <w:rPr>
                <w:rFonts w:eastAsia="Times New Roman"/>
                <w:noProof/>
              </w:rPr>
            </w:pPr>
            <w:r>
              <w:rPr>
                <w:noProof/>
              </w:rPr>
              <w:t>240</w:t>
            </w:r>
          </w:p>
        </w:tc>
        <w:tc>
          <w:tcPr>
            <w:tcW w:w="2213" w:type="dxa"/>
            <w:tcBorders>
              <w:top w:val="single" w:sz="4" w:space="0" w:color="auto"/>
              <w:left w:val="single" w:sz="4" w:space="0" w:color="auto"/>
              <w:bottom w:val="single" w:sz="4" w:space="0" w:color="auto"/>
              <w:right w:val="single" w:sz="4" w:space="0" w:color="auto"/>
            </w:tcBorders>
            <w:shd w:val="clear" w:color="auto" w:fill="C6EFCE"/>
            <w:noWrap/>
          </w:tcPr>
          <w:p w14:paraId="6EDBAED7" w14:textId="77777777" w:rsidR="00A00259" w:rsidRDefault="00371282">
            <w:pPr>
              <w:pStyle w:val="P68B1DB1-Normal12"/>
              <w:spacing w:after="0" w:line="240" w:lineRule="auto"/>
              <w:rPr>
                <w:rFonts w:eastAsia="Times New Roman"/>
                <w:noProof/>
              </w:rPr>
            </w:pPr>
            <w:r>
              <w:rPr>
                <w:noProof/>
              </w:rPr>
              <w:t>15 - 4.4. Renforcer le secteur financier et les marchés des capitaux - 16581_Amélioration de la surveillance et de la fiabilité des marchés des capitaux</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7CCF5581" w14:textId="77777777" w:rsidR="00A00259" w:rsidRDefault="00371282">
            <w:pPr>
              <w:pStyle w:val="P68B1DB1-Normal12"/>
              <w:spacing w:after="0" w:line="240" w:lineRule="auto"/>
              <w:rPr>
                <w:rFonts w:eastAsia="Times New Roman"/>
                <w:noProof/>
              </w:rPr>
            </w:pPr>
            <w:r>
              <w:rPr>
                <w:noProof/>
              </w:rPr>
              <w:t>Étape</w:t>
            </w:r>
          </w:p>
        </w:tc>
        <w:tc>
          <w:tcPr>
            <w:tcW w:w="1253" w:type="dxa"/>
            <w:tcBorders>
              <w:top w:val="single" w:sz="4" w:space="0" w:color="auto"/>
              <w:left w:val="single" w:sz="4" w:space="0" w:color="auto"/>
              <w:bottom w:val="single" w:sz="4" w:space="0" w:color="auto"/>
              <w:right w:val="single" w:sz="4" w:space="0" w:color="auto"/>
            </w:tcBorders>
            <w:shd w:val="clear" w:color="auto" w:fill="C6EFCE"/>
            <w:noWrap/>
          </w:tcPr>
          <w:p w14:paraId="3910292E" w14:textId="77777777" w:rsidR="00A00259" w:rsidRDefault="00371282">
            <w:pPr>
              <w:pStyle w:val="P68B1DB1-Normal12"/>
              <w:spacing w:after="0" w:line="240" w:lineRule="auto"/>
              <w:rPr>
                <w:rFonts w:eastAsia="Times New Roman"/>
                <w:noProof/>
              </w:rPr>
            </w:pPr>
            <w:r>
              <w:rPr>
                <w:noProof/>
              </w:rPr>
              <w:t>Marchés des capitaux, surveillance, numérisation des processus de surveillance, union des marchés des capitaux (UMC)</w:t>
            </w:r>
          </w:p>
        </w:tc>
        <w:tc>
          <w:tcPr>
            <w:tcW w:w="1576" w:type="dxa"/>
            <w:tcBorders>
              <w:top w:val="single" w:sz="4" w:space="0" w:color="auto"/>
              <w:left w:val="single" w:sz="4" w:space="0" w:color="auto"/>
              <w:bottom w:val="single" w:sz="4" w:space="0" w:color="auto"/>
              <w:right w:val="single" w:sz="4" w:space="0" w:color="auto"/>
            </w:tcBorders>
            <w:shd w:val="clear" w:color="auto" w:fill="C6EFCE"/>
            <w:noWrap/>
          </w:tcPr>
          <w:p w14:paraId="3C08922B" w14:textId="77777777" w:rsidR="00A00259" w:rsidRDefault="00371282">
            <w:pPr>
              <w:pStyle w:val="P68B1DB1-Normal12"/>
              <w:spacing w:after="0" w:line="240" w:lineRule="auto"/>
              <w:rPr>
                <w:rFonts w:eastAsia="Times New Roman"/>
                <w:noProof/>
              </w:rPr>
            </w:pPr>
            <w:r>
              <w:rPr>
                <w:noProof/>
              </w:rPr>
              <w:t xml:space="preserve">Entrée en vigueur de la législation </w:t>
            </w:r>
          </w:p>
        </w:tc>
        <w:tc>
          <w:tcPr>
            <w:tcW w:w="968" w:type="dxa"/>
            <w:tcBorders>
              <w:top w:val="single" w:sz="4" w:space="0" w:color="auto"/>
              <w:left w:val="single" w:sz="4" w:space="0" w:color="auto"/>
              <w:bottom w:val="single" w:sz="4" w:space="0" w:color="auto"/>
              <w:right w:val="single" w:sz="4" w:space="0" w:color="auto"/>
            </w:tcBorders>
            <w:shd w:val="clear" w:color="auto" w:fill="C6EFCE"/>
            <w:noWrap/>
          </w:tcPr>
          <w:p w14:paraId="2FDC47E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30BF18F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single" w:sz="4" w:space="0" w:color="auto"/>
              <w:bottom w:val="single" w:sz="4" w:space="0" w:color="auto"/>
              <w:right w:val="single" w:sz="4" w:space="0" w:color="auto"/>
            </w:tcBorders>
            <w:shd w:val="clear" w:color="auto" w:fill="C6EFCE"/>
            <w:noWrap/>
          </w:tcPr>
          <w:p w14:paraId="2E2CE65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0B8C6235" w14:textId="77777777" w:rsidR="00A00259" w:rsidRDefault="00371282">
            <w:pPr>
              <w:pStyle w:val="P68B1DB1-Normal12"/>
              <w:spacing w:after="0" w:line="240" w:lineRule="auto"/>
              <w:rPr>
                <w:rFonts w:eastAsia="Times New Roman"/>
                <w:noProof/>
              </w:rPr>
            </w:pPr>
            <w:r>
              <w:rPr>
                <w:noProof/>
              </w:rPr>
              <w:t>T4</w:t>
            </w:r>
          </w:p>
        </w:tc>
        <w:tc>
          <w:tcPr>
            <w:tcW w:w="673" w:type="dxa"/>
            <w:tcBorders>
              <w:top w:val="single" w:sz="4" w:space="0" w:color="auto"/>
              <w:left w:val="single" w:sz="4" w:space="0" w:color="auto"/>
              <w:bottom w:val="single" w:sz="4" w:space="0" w:color="auto"/>
              <w:right w:val="single" w:sz="4" w:space="0" w:color="auto"/>
            </w:tcBorders>
            <w:shd w:val="clear" w:color="auto" w:fill="C6EFCE"/>
            <w:noWrap/>
          </w:tcPr>
          <w:p w14:paraId="23A0483F" w14:textId="77777777" w:rsidR="00A00259" w:rsidRDefault="00371282">
            <w:pPr>
              <w:pStyle w:val="P68B1DB1-Normal12"/>
              <w:spacing w:after="0" w:line="240" w:lineRule="auto"/>
              <w:rPr>
                <w:rFonts w:eastAsia="Times New Roman"/>
                <w:noProof/>
              </w:rPr>
            </w:pPr>
            <w:r>
              <w:rPr>
                <w:noProof/>
              </w:rPr>
              <w:t>2021</w:t>
            </w:r>
          </w:p>
        </w:tc>
        <w:tc>
          <w:tcPr>
            <w:tcW w:w="5194" w:type="dxa"/>
            <w:tcBorders>
              <w:top w:val="single" w:sz="4" w:space="0" w:color="auto"/>
              <w:left w:val="single" w:sz="4" w:space="0" w:color="auto"/>
              <w:bottom w:val="single" w:sz="4" w:space="0" w:color="auto"/>
              <w:right w:val="single" w:sz="4" w:space="0" w:color="auto"/>
            </w:tcBorders>
            <w:shd w:val="clear" w:color="auto" w:fill="C6EFCE"/>
            <w:noWrap/>
          </w:tcPr>
          <w:p w14:paraId="57006D2E" w14:textId="77777777" w:rsidR="00A00259" w:rsidRDefault="00371282">
            <w:pPr>
              <w:pStyle w:val="P68B1DB1-Normal12"/>
              <w:spacing w:after="0" w:line="240" w:lineRule="auto"/>
              <w:rPr>
                <w:noProof/>
              </w:rPr>
            </w:pPr>
            <w:r>
              <w:rPr>
                <w:noProof/>
              </w:rPr>
              <w:t xml:space="preserve">Entrée en vigueur d'une nouvelle loi sur la Commission hellénique des marchés des capitaux, qui modifiera ses processus et son organisation internes. </w:t>
            </w:r>
          </w:p>
        </w:tc>
      </w:tr>
      <w:tr w:rsidR="00A00259" w14:paraId="1CE733FA" w14:textId="77777777">
        <w:trPr>
          <w:trHeight w:val="309"/>
          <w:jc w:val="center"/>
        </w:trPr>
        <w:tc>
          <w:tcPr>
            <w:tcW w:w="576" w:type="dxa"/>
            <w:tcBorders>
              <w:top w:val="single" w:sz="4" w:space="0" w:color="auto"/>
              <w:left w:val="single" w:sz="4" w:space="0" w:color="auto"/>
              <w:bottom w:val="single" w:sz="4" w:space="0" w:color="auto"/>
              <w:right w:val="single" w:sz="4" w:space="0" w:color="auto"/>
            </w:tcBorders>
            <w:shd w:val="clear" w:color="auto" w:fill="C6EFCE"/>
            <w:noWrap/>
          </w:tcPr>
          <w:p w14:paraId="544D5701" w14:textId="77777777" w:rsidR="00A00259" w:rsidRDefault="00371282">
            <w:pPr>
              <w:pStyle w:val="P68B1DB1-Normal12"/>
              <w:spacing w:after="0" w:line="240" w:lineRule="auto"/>
              <w:rPr>
                <w:rFonts w:eastAsia="Times New Roman"/>
                <w:noProof/>
              </w:rPr>
            </w:pPr>
            <w:r>
              <w:rPr>
                <w:noProof/>
              </w:rPr>
              <w:t>241</w:t>
            </w:r>
          </w:p>
        </w:tc>
        <w:tc>
          <w:tcPr>
            <w:tcW w:w="2213" w:type="dxa"/>
            <w:tcBorders>
              <w:top w:val="single" w:sz="4" w:space="0" w:color="auto"/>
              <w:left w:val="nil"/>
              <w:bottom w:val="single" w:sz="4" w:space="0" w:color="auto"/>
              <w:right w:val="single" w:sz="4" w:space="0" w:color="auto"/>
            </w:tcBorders>
            <w:shd w:val="clear" w:color="auto" w:fill="C6EFCE"/>
            <w:noWrap/>
          </w:tcPr>
          <w:p w14:paraId="360F9A3B" w14:textId="77777777" w:rsidR="00A00259" w:rsidRDefault="00371282">
            <w:pPr>
              <w:pStyle w:val="P68B1DB1-Normal12"/>
              <w:spacing w:after="0" w:line="240" w:lineRule="auto"/>
              <w:rPr>
                <w:rFonts w:eastAsia="Times New Roman"/>
                <w:noProof/>
              </w:rPr>
            </w:pPr>
            <w:r>
              <w:rPr>
                <w:noProof/>
              </w:rPr>
              <w:t>15 - 4.4. Renforcer le secteur financier et les marchés des capitaux - 16580_Livraison du nouveau cadre unifié en matière d'insolvabilité pour la restructuration de la dette et la 2e chance</w:t>
            </w:r>
          </w:p>
        </w:tc>
        <w:tc>
          <w:tcPr>
            <w:tcW w:w="1193" w:type="dxa"/>
            <w:tcBorders>
              <w:top w:val="single" w:sz="4" w:space="0" w:color="auto"/>
              <w:left w:val="nil"/>
              <w:bottom w:val="single" w:sz="4" w:space="0" w:color="auto"/>
              <w:right w:val="single" w:sz="4" w:space="0" w:color="auto"/>
            </w:tcBorders>
            <w:shd w:val="clear" w:color="auto" w:fill="C6EFCE"/>
            <w:noWrap/>
          </w:tcPr>
          <w:p w14:paraId="0F9C8D3F" w14:textId="77777777" w:rsidR="00A00259" w:rsidRDefault="00371282">
            <w:pPr>
              <w:pStyle w:val="P68B1DB1-Normal12"/>
              <w:spacing w:after="0" w:line="240" w:lineRule="auto"/>
              <w:rPr>
                <w:rFonts w:eastAsia="Times New Roman"/>
                <w:noProof/>
              </w:rPr>
            </w:pPr>
            <w:r>
              <w:rPr>
                <w:noProof/>
              </w:rPr>
              <w:t>Étape</w:t>
            </w:r>
          </w:p>
        </w:tc>
        <w:tc>
          <w:tcPr>
            <w:tcW w:w="1253" w:type="dxa"/>
            <w:tcBorders>
              <w:top w:val="single" w:sz="4" w:space="0" w:color="auto"/>
              <w:left w:val="nil"/>
              <w:bottom w:val="single" w:sz="4" w:space="0" w:color="auto"/>
              <w:right w:val="single" w:sz="4" w:space="0" w:color="auto"/>
            </w:tcBorders>
            <w:shd w:val="clear" w:color="auto" w:fill="C6EFCE"/>
            <w:noWrap/>
          </w:tcPr>
          <w:p w14:paraId="03E36C21" w14:textId="77777777" w:rsidR="00A00259" w:rsidRDefault="00371282">
            <w:pPr>
              <w:pStyle w:val="P68B1DB1-Normal27"/>
              <w:spacing w:after="0" w:line="240" w:lineRule="auto"/>
              <w:rPr>
                <w:noProof/>
              </w:rPr>
            </w:pPr>
            <w:r>
              <w:rPr>
                <w:noProof/>
              </w:rPr>
              <w:t>Mise à niveau des systèmes informatiques d’alerte précoce et de restructuration de la dette</w:t>
            </w:r>
          </w:p>
        </w:tc>
        <w:tc>
          <w:tcPr>
            <w:tcW w:w="1576" w:type="dxa"/>
            <w:tcBorders>
              <w:top w:val="single" w:sz="4" w:space="0" w:color="auto"/>
              <w:left w:val="nil"/>
              <w:bottom w:val="single" w:sz="4" w:space="0" w:color="auto"/>
              <w:right w:val="single" w:sz="4" w:space="0" w:color="auto"/>
            </w:tcBorders>
            <w:shd w:val="clear" w:color="auto" w:fill="C6EFCE"/>
            <w:noWrap/>
          </w:tcPr>
          <w:p w14:paraId="46B7D0FB" w14:textId="3AA1D2FB" w:rsidR="00A00259" w:rsidRDefault="00371282">
            <w:pPr>
              <w:pStyle w:val="P68B1DB1-Normal12"/>
              <w:spacing w:after="0" w:line="240" w:lineRule="auto"/>
              <w:rPr>
                <w:rFonts w:eastAsiaTheme="minorEastAsia"/>
                <w:noProof/>
              </w:rPr>
            </w:pPr>
            <w:r>
              <w:rPr>
                <w:noProof/>
              </w:rPr>
              <w:t>Les systèmes informatiques d’alerte précoce et de restructuration de la dette sont mis à niveau</w:t>
            </w:r>
          </w:p>
        </w:tc>
        <w:tc>
          <w:tcPr>
            <w:tcW w:w="968" w:type="dxa"/>
            <w:tcBorders>
              <w:top w:val="single" w:sz="4" w:space="0" w:color="auto"/>
              <w:left w:val="nil"/>
              <w:bottom w:val="single" w:sz="4" w:space="0" w:color="auto"/>
              <w:right w:val="single" w:sz="4" w:space="0" w:color="auto"/>
            </w:tcBorders>
            <w:shd w:val="clear" w:color="auto" w:fill="C6EFCE"/>
            <w:noWrap/>
          </w:tcPr>
          <w:p w14:paraId="14D9005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63EF6E5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7369AE5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38512CAC" w14:textId="77777777" w:rsidR="00A00259" w:rsidRDefault="00371282">
            <w:pPr>
              <w:pStyle w:val="P68B1DB1-Normal12"/>
              <w:spacing w:after="0" w:line="240" w:lineRule="auto"/>
              <w:rPr>
                <w:rFonts w:eastAsia="Times New Roman"/>
                <w:noProof/>
              </w:rPr>
            </w:pPr>
            <w:r>
              <w:rPr>
                <w:noProof/>
              </w:rPr>
              <w:t>T4</w:t>
            </w:r>
          </w:p>
        </w:tc>
        <w:tc>
          <w:tcPr>
            <w:tcW w:w="673" w:type="dxa"/>
            <w:tcBorders>
              <w:top w:val="single" w:sz="4" w:space="0" w:color="auto"/>
              <w:left w:val="nil"/>
              <w:bottom w:val="single" w:sz="4" w:space="0" w:color="auto"/>
              <w:right w:val="single" w:sz="4" w:space="0" w:color="auto"/>
            </w:tcBorders>
            <w:shd w:val="clear" w:color="auto" w:fill="C6EFCE"/>
            <w:noWrap/>
          </w:tcPr>
          <w:p w14:paraId="1D2B94D5" w14:textId="77777777" w:rsidR="00A00259" w:rsidRDefault="00371282">
            <w:pPr>
              <w:pStyle w:val="P68B1DB1-Normal12"/>
              <w:spacing w:after="0" w:line="240" w:lineRule="auto"/>
              <w:rPr>
                <w:rFonts w:eastAsia="Times New Roman"/>
                <w:noProof/>
              </w:rPr>
            </w:pPr>
            <w:r>
              <w:rPr>
                <w:noProof/>
              </w:rPr>
              <w:t>2025</w:t>
            </w:r>
          </w:p>
        </w:tc>
        <w:tc>
          <w:tcPr>
            <w:tcW w:w="5194" w:type="dxa"/>
            <w:tcBorders>
              <w:top w:val="single" w:sz="4" w:space="0" w:color="auto"/>
              <w:left w:val="nil"/>
              <w:bottom w:val="single" w:sz="4" w:space="0" w:color="auto"/>
              <w:right w:val="single" w:sz="4" w:space="0" w:color="auto"/>
            </w:tcBorders>
            <w:shd w:val="clear" w:color="auto" w:fill="C6EFCE"/>
            <w:noWrap/>
          </w:tcPr>
          <w:p w14:paraId="2BF97AC2" w14:textId="28363F96" w:rsidR="00A00259" w:rsidRDefault="00371282">
            <w:pPr>
              <w:pStyle w:val="P68B1DB1-Normal12"/>
              <w:spacing w:after="0" w:line="240" w:lineRule="auto"/>
              <w:rPr>
                <w:rFonts w:eastAsia="Times New Roman"/>
                <w:noProof/>
              </w:rPr>
            </w:pPr>
            <w:r>
              <w:rPr>
                <w:noProof/>
              </w:rPr>
              <w:t>Mise à niveau des systèmes informatiques d’alerte précoce et de restructuration de la dette</w:t>
            </w:r>
          </w:p>
        </w:tc>
      </w:tr>
      <w:tr w:rsidR="00A00259" w14:paraId="20FF585F" w14:textId="77777777">
        <w:trPr>
          <w:trHeight w:val="309"/>
          <w:jc w:val="center"/>
        </w:trPr>
        <w:tc>
          <w:tcPr>
            <w:tcW w:w="576" w:type="dxa"/>
            <w:tcBorders>
              <w:top w:val="single" w:sz="4" w:space="0" w:color="auto"/>
              <w:left w:val="single" w:sz="4" w:space="0" w:color="auto"/>
              <w:bottom w:val="single" w:sz="4" w:space="0" w:color="auto"/>
              <w:right w:val="single" w:sz="4" w:space="0" w:color="auto"/>
            </w:tcBorders>
            <w:shd w:val="clear" w:color="auto" w:fill="C6EFCE"/>
            <w:noWrap/>
          </w:tcPr>
          <w:p w14:paraId="6CC1CCF1" w14:textId="77777777" w:rsidR="00A00259" w:rsidRDefault="00371282">
            <w:pPr>
              <w:pStyle w:val="P68B1DB1-Normal12"/>
              <w:spacing w:after="0" w:line="240" w:lineRule="auto"/>
              <w:rPr>
                <w:rFonts w:eastAsia="Times New Roman"/>
                <w:noProof/>
              </w:rPr>
            </w:pPr>
            <w:r>
              <w:rPr>
                <w:noProof/>
              </w:rPr>
              <w:t>243</w:t>
            </w:r>
          </w:p>
        </w:tc>
        <w:tc>
          <w:tcPr>
            <w:tcW w:w="2213" w:type="dxa"/>
            <w:tcBorders>
              <w:top w:val="single" w:sz="4" w:space="0" w:color="auto"/>
              <w:left w:val="nil"/>
              <w:bottom w:val="single" w:sz="4" w:space="0" w:color="auto"/>
              <w:right w:val="single" w:sz="4" w:space="0" w:color="auto"/>
            </w:tcBorders>
            <w:shd w:val="clear" w:color="auto" w:fill="C6EFCE"/>
            <w:noWrap/>
          </w:tcPr>
          <w:p w14:paraId="61E0328F" w14:textId="77777777" w:rsidR="00A00259" w:rsidRDefault="00371282">
            <w:pPr>
              <w:pStyle w:val="P68B1DB1-Normal12"/>
              <w:spacing w:after="0" w:line="240" w:lineRule="auto"/>
              <w:rPr>
                <w:rFonts w:eastAsia="Times New Roman"/>
                <w:noProof/>
              </w:rPr>
            </w:pPr>
            <w:r>
              <w:rPr>
                <w:noProof/>
              </w:rPr>
              <w:t>15 - 4.4. Renforcer le secteur financier et les marchés des capitaux - 16581_Amélioration de la surveillance et de la fiabilité des marchés des capitaux</w:t>
            </w:r>
          </w:p>
        </w:tc>
        <w:tc>
          <w:tcPr>
            <w:tcW w:w="1193" w:type="dxa"/>
            <w:tcBorders>
              <w:top w:val="single" w:sz="4" w:space="0" w:color="auto"/>
              <w:left w:val="nil"/>
              <w:bottom w:val="single" w:sz="4" w:space="0" w:color="auto"/>
              <w:right w:val="single" w:sz="4" w:space="0" w:color="auto"/>
            </w:tcBorders>
            <w:shd w:val="clear" w:color="auto" w:fill="C6EFCE"/>
            <w:noWrap/>
          </w:tcPr>
          <w:p w14:paraId="71007F46" w14:textId="77777777" w:rsidR="00A00259" w:rsidRDefault="00371282">
            <w:pPr>
              <w:pStyle w:val="P68B1DB1-Normal12"/>
              <w:spacing w:after="0" w:line="240" w:lineRule="auto"/>
              <w:rPr>
                <w:rFonts w:eastAsia="Times New Roman"/>
                <w:noProof/>
              </w:rPr>
            </w:pPr>
            <w:r>
              <w:rPr>
                <w:noProof/>
              </w:rPr>
              <w:t>Étape</w:t>
            </w:r>
          </w:p>
        </w:tc>
        <w:tc>
          <w:tcPr>
            <w:tcW w:w="1253" w:type="dxa"/>
            <w:tcBorders>
              <w:top w:val="single" w:sz="4" w:space="0" w:color="auto"/>
              <w:left w:val="nil"/>
              <w:bottom w:val="single" w:sz="4" w:space="0" w:color="auto"/>
              <w:right w:val="single" w:sz="4" w:space="0" w:color="auto"/>
            </w:tcBorders>
            <w:shd w:val="clear" w:color="auto" w:fill="C6EFCE"/>
            <w:noWrap/>
          </w:tcPr>
          <w:p w14:paraId="3B1F8CC7" w14:textId="77777777" w:rsidR="00A00259" w:rsidRDefault="00371282">
            <w:pPr>
              <w:pStyle w:val="P68B1DB1-Normal12"/>
              <w:spacing w:after="0" w:line="240" w:lineRule="auto"/>
              <w:rPr>
                <w:rFonts w:eastAsia="Times New Roman"/>
                <w:noProof/>
              </w:rPr>
            </w:pPr>
            <w:r>
              <w:rPr>
                <w:noProof/>
              </w:rPr>
              <w:t>Numérisation du processus de surveillance de la Commission grecque des marchés des capitaux</w:t>
            </w:r>
          </w:p>
        </w:tc>
        <w:tc>
          <w:tcPr>
            <w:tcW w:w="1576" w:type="dxa"/>
            <w:tcBorders>
              <w:top w:val="single" w:sz="4" w:space="0" w:color="auto"/>
              <w:left w:val="nil"/>
              <w:bottom w:val="single" w:sz="4" w:space="0" w:color="auto"/>
              <w:right w:val="single" w:sz="4" w:space="0" w:color="auto"/>
            </w:tcBorders>
            <w:shd w:val="clear" w:color="auto" w:fill="C6EFCE"/>
            <w:noWrap/>
          </w:tcPr>
          <w:p w14:paraId="44687AF2" w14:textId="275C5BA3" w:rsidR="00A00259" w:rsidRDefault="00371282">
            <w:pPr>
              <w:pStyle w:val="P68B1DB1-Normal12"/>
              <w:spacing w:after="0" w:line="240" w:lineRule="auto"/>
              <w:rPr>
                <w:noProof/>
              </w:rPr>
            </w:pPr>
            <w:r>
              <w:rPr>
                <w:noProof/>
              </w:rPr>
              <w:t>Mise à niveau des systèmes d’information et fourniture de services de cybersécurité à la Commission hellénique des marchés des capitaux, publication de la codification administrative du cadre réglementaire et législatif pour la surveillance des marchés des capitaux</w:t>
            </w:r>
          </w:p>
        </w:tc>
        <w:tc>
          <w:tcPr>
            <w:tcW w:w="968" w:type="dxa"/>
            <w:tcBorders>
              <w:top w:val="single" w:sz="4" w:space="0" w:color="auto"/>
              <w:left w:val="nil"/>
              <w:bottom w:val="single" w:sz="4" w:space="0" w:color="auto"/>
              <w:right w:val="single" w:sz="4" w:space="0" w:color="auto"/>
            </w:tcBorders>
            <w:shd w:val="clear" w:color="auto" w:fill="C6EFCE"/>
            <w:noWrap/>
          </w:tcPr>
          <w:p w14:paraId="774168C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235DBCD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5E2150A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3F1FEF62" w14:textId="77777777" w:rsidR="00A00259" w:rsidRDefault="00371282">
            <w:pPr>
              <w:pStyle w:val="P68B1DB1-Normal12"/>
              <w:spacing w:after="0" w:line="240" w:lineRule="auto"/>
              <w:rPr>
                <w:rFonts w:eastAsia="Times New Roman"/>
                <w:noProof/>
              </w:rPr>
            </w:pPr>
            <w:r>
              <w:rPr>
                <w:noProof/>
              </w:rPr>
              <w:t>T4</w:t>
            </w:r>
          </w:p>
        </w:tc>
        <w:tc>
          <w:tcPr>
            <w:tcW w:w="673" w:type="dxa"/>
            <w:tcBorders>
              <w:top w:val="single" w:sz="4" w:space="0" w:color="auto"/>
              <w:left w:val="nil"/>
              <w:bottom w:val="single" w:sz="4" w:space="0" w:color="auto"/>
              <w:right w:val="single" w:sz="4" w:space="0" w:color="auto"/>
            </w:tcBorders>
            <w:shd w:val="clear" w:color="auto" w:fill="C6EFCE"/>
            <w:noWrap/>
          </w:tcPr>
          <w:p w14:paraId="472F5ED7" w14:textId="77777777" w:rsidR="00A00259" w:rsidRDefault="00371282">
            <w:pPr>
              <w:pStyle w:val="P68B1DB1-Normal12"/>
              <w:spacing w:after="0" w:line="240" w:lineRule="auto"/>
              <w:rPr>
                <w:rFonts w:eastAsia="Times New Roman"/>
                <w:noProof/>
              </w:rPr>
            </w:pPr>
            <w:r>
              <w:rPr>
                <w:noProof/>
              </w:rPr>
              <w:t>2025</w:t>
            </w:r>
          </w:p>
        </w:tc>
        <w:tc>
          <w:tcPr>
            <w:tcW w:w="5194" w:type="dxa"/>
            <w:tcBorders>
              <w:top w:val="single" w:sz="4" w:space="0" w:color="auto"/>
              <w:left w:val="nil"/>
              <w:bottom w:val="single" w:sz="4" w:space="0" w:color="auto"/>
              <w:right w:val="single" w:sz="4" w:space="0" w:color="auto"/>
            </w:tcBorders>
            <w:shd w:val="clear" w:color="auto" w:fill="C6EFCE"/>
            <w:noWrap/>
          </w:tcPr>
          <w:p w14:paraId="7F562895" w14:textId="4DF4E440" w:rsidR="00A00259" w:rsidRDefault="00371282">
            <w:pPr>
              <w:pStyle w:val="P68B1DB1-Normal49"/>
              <w:spacing w:after="0" w:line="240" w:lineRule="auto"/>
              <w:rPr>
                <w:rFonts w:ascii="Times New Roman" w:hAnsi="Times New Roman" w:cs="Times New Roman"/>
                <w:noProof/>
                <w:color w:val="006100"/>
              </w:rPr>
            </w:pPr>
            <w:r>
              <w:rPr>
                <w:rFonts w:ascii="Times New Roman" w:hAnsi="Times New Roman" w:cs="Times New Roman"/>
                <w:noProof/>
                <w:color w:val="006100"/>
              </w:rPr>
              <w:t>1. Mise à niveau des systèmes d’information (système d’information sur la surveillance du marché &amp; système d’information pour la collecte, le traitement, l’analyse et le suivi des données) de la Commission hellénique des marchés des capitaux (phase A) et fourniture de services de cybersécurité à la Commission hellénique des marchés des capitaux.</w:t>
            </w:r>
          </w:p>
          <w:p w14:paraId="275FCB19" w14:textId="77777777" w:rsidR="00A00259" w:rsidRDefault="00371282">
            <w:pPr>
              <w:pStyle w:val="P68B1DB1-Normal12"/>
              <w:spacing w:after="0" w:line="240" w:lineRule="auto"/>
              <w:rPr>
                <w:noProof/>
              </w:rPr>
            </w:pPr>
            <w:r>
              <w:rPr>
                <w:noProof/>
              </w:rPr>
              <w:t>2. Publication de la codification administrative du cadre réglementaire et législatif pour la surveillance des marchés des capitaux.</w:t>
            </w:r>
          </w:p>
        </w:tc>
      </w:tr>
      <w:tr w:rsidR="00A00259" w14:paraId="1939CFB6" w14:textId="77777777">
        <w:trPr>
          <w:trHeight w:val="309"/>
          <w:jc w:val="center"/>
        </w:trPr>
        <w:tc>
          <w:tcPr>
            <w:tcW w:w="576" w:type="dxa"/>
            <w:tcBorders>
              <w:top w:val="single" w:sz="4" w:space="0" w:color="auto"/>
              <w:left w:val="single" w:sz="4" w:space="0" w:color="auto"/>
              <w:bottom w:val="single" w:sz="4" w:space="0" w:color="auto"/>
              <w:right w:val="single" w:sz="4" w:space="0" w:color="auto"/>
            </w:tcBorders>
            <w:shd w:val="clear" w:color="auto" w:fill="C6EFCE"/>
            <w:noWrap/>
          </w:tcPr>
          <w:p w14:paraId="7EEE09A0" w14:textId="77777777" w:rsidR="00A00259" w:rsidRDefault="00371282">
            <w:pPr>
              <w:pStyle w:val="P68B1DB1-Normal12"/>
              <w:spacing w:after="0" w:line="240" w:lineRule="auto"/>
              <w:rPr>
                <w:noProof/>
              </w:rPr>
            </w:pPr>
            <w:r>
              <w:rPr>
                <w:noProof/>
              </w:rPr>
              <w:t>244a</w:t>
            </w:r>
          </w:p>
        </w:tc>
        <w:tc>
          <w:tcPr>
            <w:tcW w:w="2213" w:type="dxa"/>
            <w:tcBorders>
              <w:top w:val="single" w:sz="4" w:space="0" w:color="auto"/>
              <w:left w:val="nil"/>
              <w:bottom w:val="single" w:sz="4" w:space="0" w:color="auto"/>
              <w:right w:val="single" w:sz="4" w:space="0" w:color="auto"/>
            </w:tcBorders>
            <w:shd w:val="clear" w:color="auto" w:fill="C6EFCE"/>
            <w:noWrap/>
          </w:tcPr>
          <w:p w14:paraId="0CF44C85" w14:textId="77777777" w:rsidR="00A00259" w:rsidRDefault="00371282">
            <w:pPr>
              <w:pStyle w:val="P68B1DB1-Normal12"/>
              <w:spacing w:after="0" w:line="240" w:lineRule="auto"/>
              <w:rPr>
                <w:noProof/>
              </w:rPr>
            </w:pPr>
            <w:r>
              <w:rPr>
                <w:noProof/>
              </w:rPr>
              <w:t>15 - 4.4. 16957_Renforcer la capacité du système financier à relever les défis hérités du passé et à financer l'économie réelle</w:t>
            </w:r>
          </w:p>
        </w:tc>
        <w:tc>
          <w:tcPr>
            <w:tcW w:w="1193" w:type="dxa"/>
            <w:tcBorders>
              <w:top w:val="single" w:sz="4" w:space="0" w:color="auto"/>
              <w:left w:val="nil"/>
              <w:bottom w:val="single" w:sz="4" w:space="0" w:color="auto"/>
              <w:right w:val="single" w:sz="4" w:space="0" w:color="auto"/>
            </w:tcBorders>
            <w:shd w:val="clear" w:color="auto" w:fill="C6EFCE"/>
            <w:noWrap/>
          </w:tcPr>
          <w:p w14:paraId="13283481" w14:textId="77777777" w:rsidR="00A00259" w:rsidRDefault="00371282">
            <w:pPr>
              <w:pStyle w:val="P68B1DB1-Normal12"/>
              <w:spacing w:after="0" w:line="240" w:lineRule="auto"/>
              <w:rPr>
                <w:noProof/>
              </w:rPr>
            </w:pPr>
            <w:r>
              <w:rPr>
                <w:noProof/>
              </w:rPr>
              <w:t>Étape</w:t>
            </w:r>
          </w:p>
        </w:tc>
        <w:tc>
          <w:tcPr>
            <w:tcW w:w="1253" w:type="dxa"/>
            <w:tcBorders>
              <w:top w:val="single" w:sz="4" w:space="0" w:color="auto"/>
              <w:left w:val="nil"/>
              <w:bottom w:val="single" w:sz="4" w:space="0" w:color="auto"/>
              <w:right w:val="single" w:sz="4" w:space="0" w:color="auto"/>
            </w:tcBorders>
            <w:shd w:val="clear" w:color="auto" w:fill="C6EFCE"/>
            <w:noWrap/>
          </w:tcPr>
          <w:p w14:paraId="0872F675" w14:textId="77777777" w:rsidR="00A00259" w:rsidRDefault="00371282">
            <w:pPr>
              <w:pStyle w:val="P68B1DB1-Normal12"/>
              <w:spacing w:after="0" w:line="240" w:lineRule="auto"/>
              <w:rPr>
                <w:noProof/>
              </w:rPr>
            </w:pPr>
            <w:r>
              <w:rPr>
                <w:noProof/>
              </w:rPr>
              <w:t>Enchères électroniques pour le recouvrement de créances</w:t>
            </w:r>
          </w:p>
        </w:tc>
        <w:tc>
          <w:tcPr>
            <w:tcW w:w="1576" w:type="dxa"/>
            <w:tcBorders>
              <w:top w:val="single" w:sz="4" w:space="0" w:color="auto"/>
              <w:left w:val="nil"/>
              <w:bottom w:val="single" w:sz="4" w:space="0" w:color="auto"/>
              <w:right w:val="single" w:sz="4" w:space="0" w:color="auto"/>
            </w:tcBorders>
            <w:shd w:val="clear" w:color="auto" w:fill="C6EFCE"/>
            <w:noWrap/>
          </w:tcPr>
          <w:p w14:paraId="3D65A5D2" w14:textId="77777777" w:rsidR="00A00259" w:rsidRDefault="00371282">
            <w:pPr>
              <w:pStyle w:val="P68B1DB1-Normal12"/>
              <w:spacing w:after="0" w:line="240" w:lineRule="auto"/>
              <w:rPr>
                <w:noProof/>
              </w:rPr>
            </w:pPr>
            <w:r>
              <w:rPr>
                <w:noProof/>
              </w:rPr>
              <w:t xml:space="preserve">Entrée en vigueur de la législation </w:t>
            </w:r>
          </w:p>
        </w:tc>
        <w:tc>
          <w:tcPr>
            <w:tcW w:w="968" w:type="dxa"/>
            <w:tcBorders>
              <w:top w:val="single" w:sz="4" w:space="0" w:color="auto"/>
              <w:left w:val="nil"/>
              <w:bottom w:val="single" w:sz="4" w:space="0" w:color="auto"/>
              <w:right w:val="single" w:sz="4" w:space="0" w:color="auto"/>
            </w:tcBorders>
            <w:shd w:val="clear" w:color="auto" w:fill="C6EFCE"/>
            <w:noWrap/>
          </w:tcPr>
          <w:p w14:paraId="7F972F6B" w14:textId="77777777" w:rsidR="00A00259" w:rsidRDefault="00A00259">
            <w:pPr>
              <w:spacing w:after="0" w:line="240" w:lineRule="auto"/>
              <w:rPr>
                <w:rFonts w:ascii="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66031CAC" w14:textId="77777777" w:rsidR="00A00259" w:rsidRDefault="00A00259">
            <w:pPr>
              <w:spacing w:after="0" w:line="240" w:lineRule="auto"/>
              <w:rPr>
                <w:rFonts w:ascii="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206FD59E" w14:textId="77777777" w:rsidR="00A00259" w:rsidRDefault="00A00259">
            <w:pPr>
              <w:spacing w:after="0" w:line="240" w:lineRule="auto"/>
              <w:rPr>
                <w:rFonts w:ascii="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7D62CDC9" w14:textId="77777777" w:rsidR="00A00259" w:rsidRDefault="00371282">
            <w:pPr>
              <w:pStyle w:val="P68B1DB1-Normal12"/>
              <w:spacing w:after="0" w:line="240" w:lineRule="auto"/>
              <w:rPr>
                <w:noProof/>
              </w:rPr>
            </w:pPr>
            <w:r>
              <w:rPr>
                <w:noProof/>
              </w:rPr>
              <w:t>T2</w:t>
            </w:r>
          </w:p>
        </w:tc>
        <w:tc>
          <w:tcPr>
            <w:tcW w:w="673" w:type="dxa"/>
            <w:tcBorders>
              <w:top w:val="single" w:sz="4" w:space="0" w:color="auto"/>
              <w:left w:val="nil"/>
              <w:bottom w:val="single" w:sz="4" w:space="0" w:color="auto"/>
              <w:right w:val="single" w:sz="4" w:space="0" w:color="auto"/>
            </w:tcBorders>
            <w:shd w:val="clear" w:color="auto" w:fill="C6EFCE"/>
            <w:noWrap/>
          </w:tcPr>
          <w:p w14:paraId="527D8B7C" w14:textId="77777777" w:rsidR="00A00259" w:rsidRDefault="00371282">
            <w:pPr>
              <w:pStyle w:val="P68B1DB1-Normal12"/>
              <w:spacing w:after="0" w:line="240" w:lineRule="auto"/>
              <w:rPr>
                <w:noProof/>
              </w:rPr>
            </w:pPr>
            <w:r>
              <w:rPr>
                <w:noProof/>
              </w:rPr>
              <w:t>2024</w:t>
            </w:r>
          </w:p>
        </w:tc>
        <w:tc>
          <w:tcPr>
            <w:tcW w:w="5194" w:type="dxa"/>
            <w:tcBorders>
              <w:top w:val="single" w:sz="4" w:space="0" w:color="auto"/>
              <w:left w:val="nil"/>
              <w:bottom w:val="single" w:sz="4" w:space="0" w:color="auto"/>
              <w:right w:val="single" w:sz="4" w:space="0" w:color="auto"/>
            </w:tcBorders>
            <w:shd w:val="clear" w:color="auto" w:fill="C6EFCE"/>
            <w:noWrap/>
          </w:tcPr>
          <w:p w14:paraId="355CEA71" w14:textId="77777777" w:rsidR="00A00259" w:rsidRDefault="00371282">
            <w:pPr>
              <w:pStyle w:val="P68B1DB1-Normal12"/>
              <w:spacing w:after="0" w:line="240" w:lineRule="auto"/>
              <w:rPr>
                <w:noProof/>
              </w:rPr>
            </w:pPr>
            <w:r>
              <w:rPr>
                <w:noProof/>
              </w:rPr>
              <w:t>Adoption et entrée en vigueur d'une législation visant à:</w:t>
            </w:r>
          </w:p>
          <w:p w14:paraId="489AB516" w14:textId="77777777" w:rsidR="00A00259" w:rsidRDefault="00371282">
            <w:pPr>
              <w:pStyle w:val="P68B1DB1-ListParagraph34"/>
              <w:numPr>
                <w:ilvl w:val="0"/>
                <w:numId w:val="72"/>
              </w:numPr>
              <w:spacing w:after="0" w:line="240" w:lineRule="auto"/>
              <w:ind w:left="670" w:hanging="310"/>
              <w:rPr>
                <w:noProof/>
              </w:rPr>
            </w:pPr>
            <w:r>
              <w:rPr>
                <w:noProof/>
              </w:rPr>
              <w:t>développer les informations disponibles sur les actifs mis aux enchères sur la plateforme d’enchères électroniques, y compris les informations pertinentes disponibles dans les archives publiques des notaires;</w:t>
            </w:r>
          </w:p>
          <w:p w14:paraId="7221E422" w14:textId="77777777" w:rsidR="00A00259" w:rsidRDefault="00371282">
            <w:pPr>
              <w:pStyle w:val="P68B1DB1-ListParagraph34"/>
              <w:numPr>
                <w:ilvl w:val="0"/>
                <w:numId w:val="72"/>
              </w:numPr>
              <w:spacing w:after="0" w:line="240" w:lineRule="auto"/>
              <w:ind w:left="670" w:hanging="310"/>
              <w:rPr>
                <w:noProof/>
              </w:rPr>
            </w:pPr>
            <w:r>
              <w:rPr>
                <w:noProof/>
              </w:rPr>
              <w:t>Élimination des facteurs de dissuasion occasionnés par les dettes impayées liées à la propriété (par exemple, les factures de services publics).</w:t>
            </w:r>
          </w:p>
        </w:tc>
      </w:tr>
      <w:tr w:rsidR="00A00259" w14:paraId="1BB9879B" w14:textId="77777777">
        <w:trPr>
          <w:trHeight w:val="309"/>
          <w:jc w:val="center"/>
        </w:trPr>
        <w:tc>
          <w:tcPr>
            <w:tcW w:w="576" w:type="dxa"/>
            <w:tcBorders>
              <w:top w:val="single" w:sz="4" w:space="0" w:color="auto"/>
              <w:left w:val="single" w:sz="4" w:space="0" w:color="auto"/>
              <w:bottom w:val="single" w:sz="4" w:space="0" w:color="auto"/>
              <w:right w:val="single" w:sz="4" w:space="0" w:color="auto"/>
            </w:tcBorders>
            <w:shd w:val="clear" w:color="auto" w:fill="C6EFCE"/>
            <w:noWrap/>
          </w:tcPr>
          <w:p w14:paraId="59E22732" w14:textId="77777777" w:rsidR="00A00259" w:rsidRDefault="00371282">
            <w:pPr>
              <w:pStyle w:val="P68B1DB1-Normal12"/>
              <w:spacing w:after="0" w:line="240" w:lineRule="auto"/>
              <w:rPr>
                <w:noProof/>
              </w:rPr>
            </w:pPr>
            <w:r>
              <w:rPr>
                <w:noProof/>
              </w:rPr>
              <w:t>244b</w:t>
            </w:r>
          </w:p>
        </w:tc>
        <w:tc>
          <w:tcPr>
            <w:tcW w:w="2213" w:type="dxa"/>
            <w:tcBorders>
              <w:top w:val="single" w:sz="4" w:space="0" w:color="auto"/>
              <w:left w:val="nil"/>
              <w:bottom w:val="single" w:sz="4" w:space="0" w:color="auto"/>
              <w:right w:val="single" w:sz="4" w:space="0" w:color="auto"/>
            </w:tcBorders>
            <w:shd w:val="clear" w:color="auto" w:fill="C6EFCE"/>
            <w:noWrap/>
          </w:tcPr>
          <w:p w14:paraId="54069E33" w14:textId="77777777" w:rsidR="00A00259" w:rsidRDefault="00371282">
            <w:pPr>
              <w:pStyle w:val="P68B1DB1-Normal12"/>
              <w:spacing w:after="0" w:line="240" w:lineRule="auto"/>
              <w:rPr>
                <w:noProof/>
              </w:rPr>
            </w:pPr>
            <w:r>
              <w:rPr>
                <w:noProof/>
              </w:rPr>
              <w:t>15 - 4.4. 16957_Renforcer la capacité du système financier à relever les défis hérités du passé et à financer l'économie réelle</w:t>
            </w:r>
          </w:p>
        </w:tc>
        <w:tc>
          <w:tcPr>
            <w:tcW w:w="1193" w:type="dxa"/>
            <w:tcBorders>
              <w:top w:val="single" w:sz="4" w:space="0" w:color="auto"/>
              <w:left w:val="nil"/>
              <w:bottom w:val="single" w:sz="4" w:space="0" w:color="auto"/>
              <w:right w:val="single" w:sz="4" w:space="0" w:color="auto"/>
            </w:tcBorders>
            <w:shd w:val="clear" w:color="auto" w:fill="C6EFCE"/>
            <w:noWrap/>
          </w:tcPr>
          <w:p w14:paraId="1CF00018" w14:textId="77777777" w:rsidR="00A00259" w:rsidRDefault="00371282">
            <w:pPr>
              <w:pStyle w:val="P68B1DB1-Normal12"/>
              <w:spacing w:after="0" w:line="240" w:lineRule="auto"/>
              <w:rPr>
                <w:noProof/>
              </w:rPr>
            </w:pPr>
            <w:r>
              <w:rPr>
                <w:noProof/>
              </w:rPr>
              <w:t>Étape</w:t>
            </w:r>
          </w:p>
        </w:tc>
        <w:tc>
          <w:tcPr>
            <w:tcW w:w="1253" w:type="dxa"/>
            <w:tcBorders>
              <w:top w:val="single" w:sz="4" w:space="0" w:color="auto"/>
              <w:left w:val="nil"/>
              <w:bottom w:val="single" w:sz="4" w:space="0" w:color="auto"/>
              <w:right w:val="single" w:sz="4" w:space="0" w:color="auto"/>
            </w:tcBorders>
            <w:shd w:val="clear" w:color="auto" w:fill="C6EFCE"/>
            <w:noWrap/>
          </w:tcPr>
          <w:p w14:paraId="3E404BF8" w14:textId="77777777" w:rsidR="00A00259" w:rsidRDefault="00371282">
            <w:pPr>
              <w:pStyle w:val="P68B1DB1-Normal12"/>
              <w:spacing w:after="0" w:line="240" w:lineRule="auto"/>
              <w:rPr>
                <w:noProof/>
              </w:rPr>
            </w:pPr>
            <w:r>
              <w:rPr>
                <w:noProof/>
              </w:rPr>
              <w:t xml:space="preserve">Attribution de marchés pour des mesures dans le secteur financier </w:t>
            </w:r>
          </w:p>
        </w:tc>
        <w:tc>
          <w:tcPr>
            <w:tcW w:w="1576" w:type="dxa"/>
            <w:tcBorders>
              <w:top w:val="single" w:sz="4" w:space="0" w:color="auto"/>
              <w:left w:val="nil"/>
              <w:bottom w:val="single" w:sz="4" w:space="0" w:color="auto"/>
              <w:right w:val="single" w:sz="4" w:space="0" w:color="auto"/>
            </w:tcBorders>
            <w:shd w:val="clear" w:color="auto" w:fill="C6EFCE"/>
            <w:noWrap/>
          </w:tcPr>
          <w:p w14:paraId="43AF4C39" w14:textId="77777777" w:rsidR="00A00259" w:rsidRDefault="00371282">
            <w:pPr>
              <w:pStyle w:val="P68B1DB1-Normal12"/>
              <w:spacing w:after="0" w:line="240" w:lineRule="auto"/>
              <w:rPr>
                <w:noProof/>
              </w:rPr>
            </w:pPr>
            <w:r>
              <w:rPr>
                <w:noProof/>
              </w:rPr>
              <w:t>Notification de l'attribution des marchés</w:t>
            </w:r>
          </w:p>
        </w:tc>
        <w:tc>
          <w:tcPr>
            <w:tcW w:w="968" w:type="dxa"/>
            <w:tcBorders>
              <w:top w:val="single" w:sz="4" w:space="0" w:color="auto"/>
              <w:left w:val="nil"/>
              <w:bottom w:val="single" w:sz="4" w:space="0" w:color="auto"/>
              <w:right w:val="single" w:sz="4" w:space="0" w:color="auto"/>
            </w:tcBorders>
            <w:shd w:val="clear" w:color="auto" w:fill="C6EFCE"/>
            <w:noWrap/>
          </w:tcPr>
          <w:p w14:paraId="370C0C76" w14:textId="77777777" w:rsidR="00A00259" w:rsidRDefault="00A00259">
            <w:pPr>
              <w:spacing w:after="0" w:line="240" w:lineRule="auto"/>
              <w:rPr>
                <w:rFonts w:ascii="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6446D7F7" w14:textId="77777777" w:rsidR="00A00259" w:rsidRDefault="00A00259">
            <w:pPr>
              <w:spacing w:after="0" w:line="240" w:lineRule="auto"/>
              <w:rPr>
                <w:rFonts w:ascii="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0CD81B6A" w14:textId="77777777" w:rsidR="00A00259" w:rsidRDefault="00A00259">
            <w:pPr>
              <w:spacing w:after="0" w:line="240" w:lineRule="auto"/>
              <w:rPr>
                <w:rFonts w:ascii="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59A06E93" w14:textId="77777777" w:rsidR="00A00259" w:rsidRDefault="00371282">
            <w:pPr>
              <w:pStyle w:val="P68B1DB1-Normal12"/>
              <w:spacing w:after="0" w:line="240" w:lineRule="auto"/>
              <w:rPr>
                <w:noProof/>
              </w:rPr>
            </w:pPr>
            <w:r>
              <w:rPr>
                <w:noProof/>
              </w:rPr>
              <w:t>T2</w:t>
            </w:r>
          </w:p>
        </w:tc>
        <w:tc>
          <w:tcPr>
            <w:tcW w:w="673" w:type="dxa"/>
            <w:tcBorders>
              <w:top w:val="single" w:sz="4" w:space="0" w:color="auto"/>
              <w:left w:val="nil"/>
              <w:bottom w:val="single" w:sz="4" w:space="0" w:color="auto"/>
              <w:right w:val="single" w:sz="4" w:space="0" w:color="auto"/>
            </w:tcBorders>
            <w:shd w:val="clear" w:color="auto" w:fill="C6EFCE"/>
            <w:noWrap/>
          </w:tcPr>
          <w:p w14:paraId="7ABED8A9" w14:textId="77777777" w:rsidR="00A00259" w:rsidRDefault="00371282">
            <w:pPr>
              <w:pStyle w:val="P68B1DB1-Normal12"/>
              <w:spacing w:after="0" w:line="240" w:lineRule="auto"/>
              <w:rPr>
                <w:noProof/>
              </w:rPr>
            </w:pPr>
            <w:r>
              <w:rPr>
                <w:noProof/>
              </w:rPr>
              <w:t>2024</w:t>
            </w:r>
          </w:p>
        </w:tc>
        <w:tc>
          <w:tcPr>
            <w:tcW w:w="5194" w:type="dxa"/>
            <w:tcBorders>
              <w:top w:val="single" w:sz="4" w:space="0" w:color="auto"/>
              <w:left w:val="nil"/>
              <w:bottom w:val="single" w:sz="4" w:space="0" w:color="auto"/>
              <w:right w:val="single" w:sz="4" w:space="0" w:color="auto"/>
            </w:tcBorders>
            <w:shd w:val="clear" w:color="auto" w:fill="C6EFCE"/>
            <w:noWrap/>
          </w:tcPr>
          <w:p w14:paraId="068AD4BE" w14:textId="77777777" w:rsidR="00A00259" w:rsidRDefault="00371282">
            <w:pPr>
              <w:pStyle w:val="P68B1DB1-Normal12"/>
              <w:spacing w:after="0" w:line="240" w:lineRule="auto"/>
              <w:rPr>
                <w:noProof/>
              </w:rPr>
            </w:pPr>
            <w:r>
              <w:rPr>
                <w:noProof/>
              </w:rPr>
              <w:t>Attribution du marché pour:</w:t>
            </w:r>
          </w:p>
          <w:p w14:paraId="17102E8E" w14:textId="77777777" w:rsidR="00A00259" w:rsidRDefault="00371282">
            <w:pPr>
              <w:pStyle w:val="P68B1DB1-ListParagraph34"/>
              <w:numPr>
                <w:ilvl w:val="0"/>
                <w:numId w:val="73"/>
              </w:numPr>
              <w:spacing w:after="0" w:line="240" w:lineRule="auto"/>
              <w:rPr>
                <w:rFonts w:eastAsiaTheme="minorEastAsia"/>
                <w:noProof/>
              </w:rPr>
            </w:pPr>
            <w:r>
              <w:rPr>
                <w:noProof/>
              </w:rPr>
              <w:t>Développement du système public d'information sur les notations de crédit;</w:t>
            </w:r>
          </w:p>
          <w:p w14:paraId="62D6B388" w14:textId="77777777" w:rsidR="00A00259" w:rsidRDefault="00371282">
            <w:pPr>
              <w:pStyle w:val="P68B1DB1-ListParagraph34"/>
              <w:numPr>
                <w:ilvl w:val="0"/>
                <w:numId w:val="73"/>
              </w:numPr>
              <w:spacing w:after="0" w:line="240" w:lineRule="auto"/>
              <w:rPr>
                <w:noProof/>
              </w:rPr>
            </w:pPr>
            <w:r>
              <w:rPr>
                <w:noProof/>
              </w:rPr>
              <w:t>Mise en place du registre de suivi de la dette privée;</w:t>
            </w:r>
          </w:p>
          <w:p w14:paraId="132208D5" w14:textId="2FC91AE8" w:rsidR="00A00259" w:rsidRDefault="00371282">
            <w:pPr>
              <w:pStyle w:val="P68B1DB1-ListParagraph34"/>
              <w:numPr>
                <w:ilvl w:val="0"/>
                <w:numId w:val="73"/>
              </w:numPr>
              <w:spacing w:after="0" w:line="240" w:lineRule="auto"/>
              <w:rPr>
                <w:noProof/>
              </w:rPr>
            </w:pPr>
            <w:r>
              <w:rPr>
                <w:noProof/>
              </w:rPr>
              <w:t>Développement du registre central du crédit.</w:t>
            </w:r>
          </w:p>
        </w:tc>
      </w:tr>
      <w:tr w:rsidR="00A00259" w14:paraId="6DDF2CFE" w14:textId="77777777">
        <w:trPr>
          <w:trHeight w:val="309"/>
          <w:jc w:val="center"/>
        </w:trPr>
        <w:tc>
          <w:tcPr>
            <w:tcW w:w="576" w:type="dxa"/>
            <w:tcBorders>
              <w:top w:val="single" w:sz="4" w:space="0" w:color="auto"/>
              <w:left w:val="single" w:sz="4" w:space="0" w:color="auto"/>
              <w:bottom w:val="single" w:sz="4" w:space="0" w:color="auto"/>
              <w:right w:val="single" w:sz="4" w:space="0" w:color="auto"/>
            </w:tcBorders>
            <w:shd w:val="clear" w:color="auto" w:fill="C6EFCE"/>
            <w:noWrap/>
          </w:tcPr>
          <w:p w14:paraId="37940FF0" w14:textId="77777777" w:rsidR="00A00259" w:rsidRDefault="00371282">
            <w:pPr>
              <w:pStyle w:val="P68B1DB1-Normal12"/>
              <w:spacing w:after="0" w:line="240" w:lineRule="auto"/>
              <w:rPr>
                <w:noProof/>
              </w:rPr>
            </w:pPr>
            <w:r>
              <w:rPr>
                <w:noProof/>
              </w:rPr>
              <w:t>244c</w:t>
            </w:r>
          </w:p>
        </w:tc>
        <w:tc>
          <w:tcPr>
            <w:tcW w:w="2213" w:type="dxa"/>
            <w:tcBorders>
              <w:top w:val="single" w:sz="4" w:space="0" w:color="auto"/>
              <w:left w:val="single" w:sz="4" w:space="0" w:color="auto"/>
              <w:bottom w:val="single" w:sz="4" w:space="0" w:color="auto"/>
              <w:right w:val="single" w:sz="4" w:space="0" w:color="auto"/>
            </w:tcBorders>
            <w:shd w:val="clear" w:color="auto" w:fill="C6EFCE"/>
            <w:noWrap/>
          </w:tcPr>
          <w:p w14:paraId="463440BB" w14:textId="77777777" w:rsidR="00A00259" w:rsidRDefault="00371282">
            <w:pPr>
              <w:pStyle w:val="P68B1DB1-Normal12"/>
              <w:spacing w:after="0" w:line="240" w:lineRule="auto"/>
              <w:rPr>
                <w:noProof/>
              </w:rPr>
            </w:pPr>
            <w:r>
              <w:rPr>
                <w:noProof/>
              </w:rPr>
              <w:t>15 - 4.4. 16957_Renforcer la capacité du système financier à relever les défis hérités du passé et à financer l'économie réelle</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5DA417E7" w14:textId="77777777" w:rsidR="00A00259" w:rsidRDefault="00371282">
            <w:pPr>
              <w:pStyle w:val="P68B1DB1-Normal12"/>
              <w:spacing w:after="0" w:line="240" w:lineRule="auto"/>
              <w:rPr>
                <w:noProof/>
              </w:rPr>
            </w:pPr>
            <w:r>
              <w:rPr>
                <w:noProof/>
              </w:rPr>
              <w:t>Étape</w:t>
            </w:r>
          </w:p>
        </w:tc>
        <w:tc>
          <w:tcPr>
            <w:tcW w:w="1253" w:type="dxa"/>
            <w:tcBorders>
              <w:top w:val="single" w:sz="4" w:space="0" w:color="auto"/>
              <w:left w:val="single" w:sz="4" w:space="0" w:color="auto"/>
              <w:bottom w:val="single" w:sz="4" w:space="0" w:color="auto"/>
              <w:right w:val="single" w:sz="4" w:space="0" w:color="auto"/>
            </w:tcBorders>
            <w:shd w:val="clear" w:color="auto" w:fill="C6EFCE"/>
            <w:noWrap/>
          </w:tcPr>
          <w:p w14:paraId="7B35EE2D" w14:textId="57572894" w:rsidR="00A00259" w:rsidRDefault="00371282">
            <w:pPr>
              <w:pStyle w:val="P68B1DB1-Normal12"/>
              <w:spacing w:after="0" w:line="240" w:lineRule="auto"/>
              <w:rPr>
                <w:noProof/>
              </w:rPr>
            </w:pPr>
            <w:r>
              <w:rPr>
                <w:noProof/>
              </w:rPr>
              <w:t>Mise à disposition de systèmes informatiques et de modèles de données, entrée en vigueur d’actes juridiques sur le traitement des affaires et réduction de l’arriéré dans les procédures d’exécution</w:t>
            </w:r>
          </w:p>
        </w:tc>
        <w:tc>
          <w:tcPr>
            <w:tcW w:w="1576" w:type="dxa"/>
            <w:tcBorders>
              <w:top w:val="single" w:sz="4" w:space="0" w:color="auto"/>
              <w:left w:val="single" w:sz="4" w:space="0" w:color="auto"/>
              <w:bottom w:val="single" w:sz="4" w:space="0" w:color="auto"/>
              <w:right w:val="single" w:sz="4" w:space="0" w:color="auto"/>
            </w:tcBorders>
            <w:shd w:val="clear" w:color="auto" w:fill="C6EFCE"/>
            <w:noWrap/>
          </w:tcPr>
          <w:p w14:paraId="5EFF3ED0" w14:textId="04718963" w:rsidR="00A00259" w:rsidRDefault="00371282">
            <w:pPr>
              <w:pStyle w:val="P68B1DB1-Normal12"/>
              <w:spacing w:after="0" w:line="240" w:lineRule="auto"/>
              <w:rPr>
                <w:noProof/>
              </w:rPr>
            </w:pPr>
            <w:r>
              <w:rPr>
                <w:noProof/>
              </w:rPr>
              <w:t xml:space="preserve">Les systèmes informatiques et les modèles de données sont fournis, entrée en vigueur des actes juridiques, le cas échéant </w:t>
            </w:r>
          </w:p>
        </w:tc>
        <w:tc>
          <w:tcPr>
            <w:tcW w:w="968" w:type="dxa"/>
            <w:tcBorders>
              <w:top w:val="single" w:sz="4" w:space="0" w:color="auto"/>
              <w:left w:val="single" w:sz="4" w:space="0" w:color="auto"/>
              <w:bottom w:val="single" w:sz="4" w:space="0" w:color="auto"/>
              <w:right w:val="single" w:sz="4" w:space="0" w:color="auto"/>
            </w:tcBorders>
            <w:shd w:val="clear" w:color="auto" w:fill="C6EFCE"/>
            <w:noWrap/>
          </w:tcPr>
          <w:p w14:paraId="0119A52E" w14:textId="77777777" w:rsidR="00A00259" w:rsidRDefault="00A00259">
            <w:pPr>
              <w:spacing w:after="0" w:line="240" w:lineRule="auto"/>
              <w:rPr>
                <w:rFonts w:ascii="Times New Roman" w:hAnsi="Times New Roman" w:cs="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4FE2939A" w14:textId="77777777" w:rsidR="00A00259" w:rsidRDefault="00A00259">
            <w:pPr>
              <w:spacing w:after="0" w:line="240" w:lineRule="auto"/>
              <w:rPr>
                <w:rFonts w:ascii="Times New Roman" w:hAnsi="Times New Roman" w:cs="Times New Roman"/>
                <w:noProof/>
                <w:color w:val="006100"/>
                <w:sz w:val="18"/>
                <w:szCs w:val="18"/>
              </w:rPr>
            </w:pPr>
          </w:p>
        </w:tc>
        <w:tc>
          <w:tcPr>
            <w:tcW w:w="587" w:type="dxa"/>
            <w:tcBorders>
              <w:top w:val="single" w:sz="4" w:space="0" w:color="auto"/>
              <w:left w:val="single" w:sz="4" w:space="0" w:color="auto"/>
              <w:bottom w:val="single" w:sz="4" w:space="0" w:color="auto"/>
              <w:right w:val="single" w:sz="4" w:space="0" w:color="auto"/>
            </w:tcBorders>
            <w:shd w:val="clear" w:color="auto" w:fill="C6EFCE"/>
            <w:noWrap/>
          </w:tcPr>
          <w:p w14:paraId="42455622" w14:textId="77777777" w:rsidR="00A00259" w:rsidRDefault="00A00259">
            <w:pPr>
              <w:spacing w:after="0" w:line="240" w:lineRule="auto"/>
              <w:rPr>
                <w:rFonts w:ascii="Times New Roman" w:hAnsi="Times New Roman" w:cs="Times New Roman"/>
                <w:noProof/>
                <w:color w:val="006100"/>
                <w:sz w:val="18"/>
                <w:szCs w:val="18"/>
              </w:rPr>
            </w:pPr>
          </w:p>
        </w:tc>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9063DD3" w14:textId="77777777" w:rsidR="00A00259" w:rsidRDefault="00371282">
            <w:pPr>
              <w:pStyle w:val="P68B1DB1-Normal12"/>
              <w:spacing w:after="0" w:line="240" w:lineRule="auto"/>
              <w:rPr>
                <w:noProof/>
              </w:rPr>
            </w:pPr>
            <w:r>
              <w:rPr>
                <w:noProof/>
              </w:rPr>
              <w:t>T4</w:t>
            </w:r>
          </w:p>
        </w:tc>
        <w:tc>
          <w:tcPr>
            <w:tcW w:w="673" w:type="dxa"/>
            <w:tcBorders>
              <w:top w:val="single" w:sz="4" w:space="0" w:color="auto"/>
              <w:left w:val="single" w:sz="4" w:space="0" w:color="auto"/>
              <w:bottom w:val="single" w:sz="4" w:space="0" w:color="auto"/>
              <w:right w:val="single" w:sz="4" w:space="0" w:color="auto"/>
            </w:tcBorders>
            <w:shd w:val="clear" w:color="auto" w:fill="C6EFCE"/>
            <w:noWrap/>
          </w:tcPr>
          <w:p w14:paraId="7F7EC1EF" w14:textId="77777777" w:rsidR="00A00259" w:rsidRDefault="00371282">
            <w:pPr>
              <w:pStyle w:val="P68B1DB1-Normal12"/>
              <w:spacing w:after="0" w:line="240" w:lineRule="auto"/>
              <w:rPr>
                <w:noProof/>
              </w:rPr>
            </w:pPr>
            <w:r>
              <w:rPr>
                <w:noProof/>
              </w:rPr>
              <w:t>2025</w:t>
            </w:r>
          </w:p>
        </w:tc>
        <w:tc>
          <w:tcPr>
            <w:tcW w:w="5194" w:type="dxa"/>
            <w:tcBorders>
              <w:top w:val="single" w:sz="4" w:space="0" w:color="auto"/>
              <w:left w:val="single" w:sz="4" w:space="0" w:color="auto"/>
              <w:bottom w:val="single" w:sz="4" w:space="0" w:color="auto"/>
              <w:right w:val="single" w:sz="4" w:space="0" w:color="auto"/>
            </w:tcBorders>
            <w:shd w:val="clear" w:color="auto" w:fill="C6EFCE"/>
            <w:noWrap/>
          </w:tcPr>
          <w:p w14:paraId="3CE2D873" w14:textId="257E8631" w:rsidR="00A00259" w:rsidRDefault="00371282">
            <w:pPr>
              <w:pStyle w:val="P68B1DB1-ListParagraph34"/>
              <w:spacing w:after="0" w:line="240" w:lineRule="auto"/>
              <w:ind w:left="-29"/>
              <w:rPr>
                <w:noProof/>
              </w:rPr>
            </w:pPr>
            <w:r>
              <w:rPr>
                <w:noProof/>
              </w:rPr>
              <w:t xml:space="preserve">1. Livraison des éléments suivants: </w:t>
            </w:r>
          </w:p>
          <w:p w14:paraId="65967989" w14:textId="458C3E04" w:rsidR="00A00259" w:rsidRDefault="00371282">
            <w:pPr>
              <w:pStyle w:val="P68B1DB1-ListParagraph34"/>
              <w:spacing w:after="0" w:line="240" w:lineRule="auto"/>
              <w:ind w:left="-29"/>
              <w:rPr>
                <w:noProof/>
              </w:rPr>
            </w:pPr>
            <w:r>
              <w:rPr>
                <w:noProof/>
              </w:rPr>
              <w:t>a. Système public d’information sur les notations de crédit (PCRIS)</w:t>
            </w:r>
          </w:p>
          <w:p w14:paraId="58C15ABA" w14:textId="77777777" w:rsidR="00A00259" w:rsidRDefault="00371282">
            <w:pPr>
              <w:pStyle w:val="P68B1DB1-ListParagraph34"/>
              <w:spacing w:after="0" w:line="240" w:lineRule="auto"/>
              <w:ind w:left="-29"/>
              <w:rPr>
                <w:noProof/>
              </w:rPr>
            </w:pPr>
            <w:r>
              <w:rPr>
                <w:noProof/>
              </w:rPr>
              <w:t xml:space="preserve">b. système informatique du registre de suivi de la dette privée. </w:t>
            </w:r>
          </w:p>
          <w:p w14:paraId="0CC2893C" w14:textId="77777777" w:rsidR="00A00259" w:rsidRDefault="00371282">
            <w:pPr>
              <w:pStyle w:val="P68B1DB1-ListParagraph34"/>
              <w:spacing w:after="0" w:line="240" w:lineRule="auto"/>
              <w:ind w:left="-29"/>
              <w:rPr>
                <w:noProof/>
              </w:rPr>
            </w:pPr>
            <w:r>
              <w:rPr>
                <w:noProof/>
              </w:rPr>
              <w:t xml:space="preserve">c. Actions relatives aux opérations de prêts non performants: </w:t>
            </w:r>
          </w:p>
          <w:p w14:paraId="1E177959" w14:textId="77777777" w:rsidR="00A00259" w:rsidRDefault="00371282">
            <w:pPr>
              <w:pStyle w:val="P68B1DB1-ListParagraph34"/>
              <w:numPr>
                <w:ilvl w:val="0"/>
                <w:numId w:val="74"/>
              </w:numPr>
              <w:spacing w:after="0" w:line="240" w:lineRule="auto"/>
              <w:ind w:left="851" w:hanging="567"/>
              <w:rPr>
                <w:noProof/>
              </w:rPr>
            </w:pPr>
            <w:r>
              <w:rPr>
                <w:noProof/>
              </w:rPr>
              <w:t>un modèle de données commun pour les transactions relatives aux PNP;</w:t>
            </w:r>
          </w:p>
          <w:p w14:paraId="059707CE" w14:textId="77777777" w:rsidR="00A00259" w:rsidRDefault="00371282">
            <w:pPr>
              <w:pStyle w:val="P68B1DB1-ListParagraph34"/>
              <w:numPr>
                <w:ilvl w:val="0"/>
                <w:numId w:val="74"/>
              </w:numPr>
              <w:spacing w:after="0" w:line="240" w:lineRule="auto"/>
              <w:ind w:left="851" w:hanging="567"/>
              <w:rPr>
                <w:noProof/>
              </w:rPr>
            </w:pPr>
            <w:r>
              <w:rPr>
                <w:noProof/>
              </w:rPr>
              <w:t>un modèle commun pour l'examen et l'évaluation des portefeuilles;</w:t>
            </w:r>
          </w:p>
          <w:p w14:paraId="0E130D5B" w14:textId="124AC4E1" w:rsidR="00A00259" w:rsidRDefault="00371282">
            <w:pPr>
              <w:pStyle w:val="P68B1DB1-ListParagraph34"/>
              <w:numPr>
                <w:ilvl w:val="0"/>
                <w:numId w:val="74"/>
              </w:numPr>
              <w:spacing w:after="0" w:line="240" w:lineRule="auto"/>
              <w:ind w:left="851" w:hanging="567"/>
              <w:rPr>
                <w:noProof/>
              </w:rPr>
            </w:pPr>
            <w:r>
              <w:rPr>
                <w:noProof/>
              </w:rPr>
              <w:t xml:space="preserve"> un système informatique de transaction pour les portefeuilles de PNP destinés aux vendeurs et aux acheteurs.</w:t>
            </w:r>
          </w:p>
          <w:p w14:paraId="0BF41349" w14:textId="0966CBFA" w:rsidR="00A00259" w:rsidRDefault="00371282">
            <w:pPr>
              <w:pStyle w:val="P68B1DB1-ListParagraph34"/>
              <w:spacing w:after="0" w:line="240" w:lineRule="auto"/>
              <w:ind w:left="-29"/>
              <w:rPr>
                <w:noProof/>
              </w:rPr>
            </w:pPr>
            <w:r>
              <w:rPr>
                <w:noProof/>
              </w:rPr>
              <w:t xml:space="preserve">2. Mise à disposition du système informatique du registre central des crédits (CCR) </w:t>
            </w:r>
          </w:p>
          <w:p w14:paraId="2D9485FA" w14:textId="77777777" w:rsidR="00A00259" w:rsidRDefault="00A00259">
            <w:pPr>
              <w:pStyle w:val="ListParagraph"/>
              <w:spacing w:after="0" w:line="240" w:lineRule="auto"/>
              <w:ind w:left="113" w:hanging="142"/>
              <w:rPr>
                <w:rFonts w:ascii="Times New Roman" w:hAnsi="Times New Roman" w:cs="Times New Roman"/>
                <w:noProof/>
                <w:color w:val="006100"/>
                <w:sz w:val="18"/>
                <w:szCs w:val="18"/>
              </w:rPr>
            </w:pPr>
          </w:p>
          <w:p w14:paraId="1CE73B6B" w14:textId="511A0627" w:rsidR="00A00259" w:rsidRDefault="00371282">
            <w:pPr>
              <w:pStyle w:val="P68B1DB1-ListParagraph34"/>
              <w:spacing w:after="0" w:line="240" w:lineRule="auto"/>
              <w:ind w:left="-29"/>
              <w:rPr>
                <w:noProof/>
              </w:rPr>
            </w:pPr>
            <w:r>
              <w:rPr>
                <w:noProof/>
              </w:rPr>
              <w:t xml:space="preserve">3. Entrée en vigueur des actes juridiques relatifs au traitement des affaires et à la réduction de l’arriéré dans les procédures d’exécution, grâce à des modifications du code de procédure civile: a) l’adaptation des règles relatives aux mesures provisoires aux procédures d’exécution, b) la séparation des oppositions matérielles préalables à l’enchère et des oppositions procédurales, c) la modification de la compétence territoriale des tribunaux en supprimant la prorogation de compétence du tribunal de première instance d’Athènes et des dispositions créant un mécanisme visant à reprogrammer les dates d’audience pour les oppositions «pré-enchères» et «post-enchères» dans un délai plus court. </w:t>
            </w:r>
          </w:p>
        </w:tc>
      </w:tr>
    </w:tbl>
    <w:p w14:paraId="25CE0429" w14:textId="77777777" w:rsidR="00A00259" w:rsidRDefault="00A00259">
      <w:pPr>
        <w:spacing w:before="120" w:after="120" w:line="240" w:lineRule="auto"/>
        <w:ind w:left="709"/>
        <w:jc w:val="both"/>
        <w:rPr>
          <w:rFonts w:ascii="Times New Roman" w:hAnsi="Times New Roman" w:cs="Times New Roman"/>
          <w:noProof/>
          <w:sz w:val="24"/>
          <w:szCs w:val="24"/>
        </w:rPr>
      </w:pPr>
    </w:p>
    <w:p w14:paraId="6B826458" w14:textId="77777777" w:rsidR="00A00259" w:rsidRDefault="00A00259">
      <w:pPr>
        <w:spacing w:before="120" w:after="120" w:line="240" w:lineRule="auto"/>
        <w:ind w:left="709"/>
        <w:jc w:val="both"/>
        <w:rPr>
          <w:rFonts w:ascii="Times New Roman" w:hAnsi="Times New Roman" w:cs="Times New Roman"/>
          <w:noProof/>
          <w:sz w:val="24"/>
          <w:szCs w:val="24"/>
        </w:rPr>
      </w:pPr>
    </w:p>
    <w:p w14:paraId="045080CE" w14:textId="77777777" w:rsidR="00A00259" w:rsidRDefault="00A00259">
      <w:pPr>
        <w:spacing w:before="120" w:after="120" w:line="240" w:lineRule="auto"/>
        <w:ind w:left="709"/>
        <w:jc w:val="both"/>
        <w:rPr>
          <w:rFonts w:ascii="Times New Roman" w:hAnsi="Times New Roman" w:cs="Times New Roman"/>
          <w:noProof/>
          <w:sz w:val="24"/>
        </w:rPr>
        <w:sectPr w:rsidR="00A00259">
          <w:headerReference w:type="even" r:id="rId312"/>
          <w:headerReference w:type="default" r:id="rId313"/>
          <w:footerReference w:type="even" r:id="rId314"/>
          <w:footerReference w:type="default" r:id="rId315"/>
          <w:headerReference w:type="first" r:id="rId316"/>
          <w:footerReference w:type="first" r:id="rId317"/>
          <w:pgSz w:w="16839" w:h="11907" w:orient="landscape"/>
          <w:pgMar w:top="1134" w:right="1134" w:bottom="1134" w:left="1134" w:header="567" w:footer="567" w:gutter="0"/>
          <w:cols w:space="720"/>
          <w:docGrid w:linePitch="360"/>
        </w:sectPr>
      </w:pPr>
    </w:p>
    <w:p w14:paraId="1F6A03A1" w14:textId="77777777" w:rsidR="00A00259" w:rsidRDefault="00371282">
      <w:pPr>
        <w:pStyle w:val="P68B1DB1-Normal17"/>
        <w:spacing w:before="120" w:after="120" w:line="240" w:lineRule="auto"/>
        <w:ind w:firstLine="6"/>
        <w:jc w:val="both"/>
        <w:outlineLvl w:val="3"/>
        <w:rPr>
          <w:rFonts w:cs="Times New Roman"/>
          <w:bCs/>
          <w:noProof/>
        </w:rPr>
      </w:pPr>
      <w:r>
        <w:rPr>
          <w:noProof/>
        </w:rPr>
        <w:t>P. Élément 4.5: PROMOUVOIR LA RECHERCHE ET L'INNOVATION</w:t>
      </w:r>
    </w:p>
    <w:p w14:paraId="4119F215" w14:textId="07925230" w:rsidR="00A00259" w:rsidRDefault="00371282">
      <w:pPr>
        <w:pStyle w:val="P68B1DB1-Normal5"/>
        <w:spacing w:before="120" w:after="120" w:line="240" w:lineRule="auto"/>
        <w:jc w:val="both"/>
        <w:rPr>
          <w:rFonts w:cs="Times New Roman"/>
          <w:noProof/>
        </w:rPr>
      </w:pPr>
      <w:r>
        <w:rPr>
          <w:noProof/>
        </w:rPr>
        <w:t>Les principaux objectifs de ce volet du plan grec pour la reprise et la résilience sont d’accroître les investissements publics et privés dans la recherche et le développement (R&amp;D), de renforcer les liens entre la science et les entreprises et de développer une infrastructure de R&amp;D pionnière, en vue d’améliorer les performances de la Grèce en matière de recherche et d’innovation. Cet objectif devrait être atteint au moyen de réformes et d’investissements ciblés visant à accroître les dépenses publiques et privées de R&amp;D, à moderniser les infrastructures de recherche du pays, à promouvoir le financement de la recherche et à développer les collaborations en matière de recherche. Le volet comprend également le développement d’un système d’information pour la protection civile, qui informe en temps réel les autorités compétentes des phénomènes physiques et des catastrophes naturelles, tout en soutenant leur coopération. Cet investissement facilite également la transformation numérique, par le développement de technologies numériques avancées et la numérisation des méthodes de protection civile, ainsi que pour favoriser la transition écologique, en atténuant l’incidence des changements climatiques afin de garantir la protection civile. Le volet soutient la mise en œuvre des recommandations par pays sur les investissements publics et privés (recommandation par pays no 2 de 2019 et recommandation par pays no 3 de 2020). 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1B68EB1E" w14:textId="77777777" w:rsidR="00A00259" w:rsidRDefault="00371282">
      <w:pPr>
        <w:pStyle w:val="P68B1DB1-Normal6"/>
        <w:spacing w:before="120" w:after="120" w:line="240" w:lineRule="auto"/>
        <w:jc w:val="both"/>
        <w:rPr>
          <w:rFonts w:cs="Times New Roman"/>
          <w:i/>
          <w:noProof/>
          <w:color w:val="4F81BD"/>
        </w:rPr>
      </w:pPr>
      <w:r>
        <w:rPr>
          <w:noProof/>
        </w:rPr>
        <w:t>P.1. Description des réformes et des investissements pour le soutien financier non remboursable</w:t>
      </w:r>
    </w:p>
    <w:p w14:paraId="2310AF6C"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Création - Agrandissement - Mise à niveau des infrastructures des centres de recherche supervisés par le Secrétariat général à la recherche et à l'innovation (GSRI) (mesure ID 16624)</w:t>
      </w:r>
    </w:p>
    <w:p w14:paraId="52268DB0" w14:textId="5B25B02D" w:rsidR="00A00259" w:rsidRDefault="00371282">
      <w:pPr>
        <w:pStyle w:val="P68B1DB1-Normal7"/>
        <w:spacing w:before="120" w:after="120" w:line="240" w:lineRule="auto"/>
        <w:jc w:val="both"/>
        <w:rPr>
          <w:rFonts w:cs="Times New Roman"/>
          <w:noProof/>
        </w:rPr>
      </w:pPr>
      <w:r>
        <w:rPr>
          <w:noProof/>
        </w:rPr>
        <w:t xml:space="preserve">L'objectif de cet investissement est de renforcer la capacité des centres de recherche. L'investissement consiste en des projets concernant 11 centres de recherche. </w:t>
      </w:r>
    </w:p>
    <w:p w14:paraId="2C166F68"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Recherche appliquée &amp; de base (mesure ID 16618)</w:t>
      </w:r>
    </w:p>
    <w:p w14:paraId="73BCB3C8" w14:textId="77777777" w:rsidR="00A00259" w:rsidRDefault="00371282">
      <w:pPr>
        <w:pStyle w:val="P68B1DB1-Normal7"/>
        <w:spacing w:before="120" w:after="120" w:line="240" w:lineRule="auto"/>
        <w:jc w:val="both"/>
        <w:rPr>
          <w:rFonts w:cs="Times New Roman"/>
          <w:noProof/>
        </w:rPr>
      </w:pPr>
      <w:r>
        <w:rPr>
          <w:noProof/>
        </w:rPr>
        <w:t>L'objectif de cet investissement est de faciliter la recherche fondamentale et appliquée en Grèce. L'investissement consiste en des projets de recherche fondamentale et appliquée.</w:t>
      </w:r>
    </w:p>
    <w:p w14:paraId="2949F90B"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TH</w:t>
      </w:r>
      <w:r>
        <w:rPr>
          <w:noProof/>
          <w:vertAlign w:val="superscript"/>
        </w:rPr>
        <w:t xml:space="preserve"> 2</w:t>
      </w:r>
      <w:r>
        <w:rPr>
          <w:noProof/>
        </w:rPr>
        <w:t>ORAX: Trellis Holistic &amp; Système eXemplary autonome robuste et opérationnel hybride (mesure ID 16654)</w:t>
      </w:r>
    </w:p>
    <w:p w14:paraId="15E3D85E" w14:textId="38E2BC28" w:rsidR="00A00259" w:rsidRDefault="00371282">
      <w:pPr>
        <w:pStyle w:val="P68B1DB1-Normal7"/>
        <w:spacing w:before="120" w:after="120" w:line="240" w:lineRule="auto"/>
        <w:jc w:val="both"/>
        <w:rPr>
          <w:rFonts w:cs="Times New Roman"/>
          <w:noProof/>
        </w:rPr>
      </w:pPr>
      <w:r>
        <w:rPr>
          <w:noProof/>
          <w:color w:val="000000" w:themeColor="text1"/>
        </w:rPr>
        <w:t xml:space="preserve">L’objectif de cet investissement est un système d’information de «nouvelle génération» combinant différentes infrastructures collaboratives afin d’améliorer la prise de décision des établissements en temps réel. L’investissement consiste </w:t>
      </w:r>
      <w:r>
        <w:rPr>
          <w:noProof/>
        </w:rPr>
        <w:t>en</w:t>
      </w:r>
      <w:r>
        <w:rPr>
          <w:noProof/>
          <w:color w:val="000000" w:themeColor="text1"/>
        </w:rPr>
        <w:t xml:space="preserve"> un système composé de technologies, par exemple l’intelligence artificielle.</w:t>
      </w:r>
      <w:r>
        <w:rPr>
          <w:noProof/>
        </w:rPr>
        <w:t xml:space="preserve"> </w:t>
      </w:r>
    </w:p>
    <w:p w14:paraId="60F0388E"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Recherche - Créer - Innover (mesure ID 16971)</w:t>
      </w:r>
    </w:p>
    <w:p w14:paraId="7AB69871" w14:textId="77777777" w:rsidR="00A00259" w:rsidRDefault="00371282">
      <w:pPr>
        <w:pStyle w:val="P68B1DB1-Normal7"/>
        <w:spacing w:before="120" w:after="120" w:line="240" w:lineRule="auto"/>
        <w:jc w:val="both"/>
        <w:rPr>
          <w:rFonts w:cs="Times New Roman"/>
          <w:noProof/>
        </w:rPr>
      </w:pPr>
      <w:r>
        <w:rPr>
          <w:noProof/>
        </w:rPr>
        <w:t xml:space="preserve">L'objectif de cet investissement est d'attirer des cofinancements du secteur privé pour la recherche. L'investissement consiste en des projets dans des secteurs de la stratégie nationale de recherche et d'innovation pour une spécialisation intelligente 2014-2020 (RIS3). </w:t>
      </w:r>
    </w:p>
    <w:p w14:paraId="4A0326BA" w14:textId="64AB1699" w:rsidR="00A00259" w:rsidRDefault="00371282">
      <w:pPr>
        <w:pStyle w:val="P68B1DB1-Normal5"/>
        <w:spacing w:before="120" w:after="120" w:line="240" w:lineRule="auto"/>
        <w:jc w:val="both"/>
        <w:rPr>
          <w:rFonts w:cs="Times New Roman"/>
          <w:noProof/>
        </w:rPr>
      </w:pPr>
      <w:r>
        <w:rPr>
          <w:b/>
          <w:noProof/>
        </w:rPr>
        <w:t>Investissement:</w:t>
      </w:r>
      <w:r>
        <w:rPr>
          <w:noProof/>
        </w:rPr>
        <w:t xml:space="preserve"> HORIZON 2020 «label d’excellence»: sociétés de financement (mesure ID 16622)</w:t>
      </w:r>
    </w:p>
    <w:p w14:paraId="75F19B30" w14:textId="6DA42D62" w:rsidR="00A00259" w:rsidRDefault="00371282">
      <w:pPr>
        <w:pStyle w:val="P68B1DB1-Normal5"/>
        <w:spacing w:before="120" w:after="120" w:line="240" w:lineRule="auto"/>
        <w:jc w:val="both"/>
        <w:rPr>
          <w:rFonts w:cs="Times New Roman"/>
          <w:noProof/>
        </w:rPr>
      </w:pPr>
      <w:r>
        <w:rPr>
          <w:noProof/>
        </w:rPr>
        <w:t xml:space="preserve">L'objectif de cet investissement est de soutenir les petites et moyennes entreprises. L'investissement consiste en des projets mis en œuvre. </w:t>
      </w:r>
    </w:p>
    <w:p w14:paraId="50DB76AC" w14:textId="77777777" w:rsidR="00A00259" w:rsidRDefault="00A00259">
      <w:pPr>
        <w:spacing w:before="120" w:after="120" w:line="240" w:lineRule="auto"/>
        <w:ind w:left="709"/>
        <w:jc w:val="both"/>
        <w:rPr>
          <w:rFonts w:ascii="Times New Roman" w:hAnsi="Times New Roman" w:cs="Times New Roman"/>
          <w:noProof/>
          <w:sz w:val="24"/>
        </w:rPr>
        <w:sectPr w:rsidR="00A00259">
          <w:headerReference w:type="even" r:id="rId318"/>
          <w:headerReference w:type="default" r:id="rId319"/>
          <w:footerReference w:type="even" r:id="rId320"/>
          <w:footerReference w:type="default" r:id="rId321"/>
          <w:headerReference w:type="first" r:id="rId322"/>
          <w:footerReference w:type="first" r:id="rId323"/>
          <w:pgSz w:w="11906" w:h="16838"/>
          <w:pgMar w:top="1134" w:right="1134" w:bottom="1134" w:left="1134" w:header="567" w:footer="567" w:gutter="0"/>
          <w:cols w:space="708"/>
          <w:docGrid w:linePitch="360"/>
        </w:sectPr>
      </w:pPr>
    </w:p>
    <w:p w14:paraId="0E64969A" w14:textId="77777777" w:rsidR="00A00259" w:rsidRDefault="00371282">
      <w:pPr>
        <w:pStyle w:val="P68B1DB1-Normal6"/>
        <w:spacing w:before="120" w:after="120" w:line="240" w:lineRule="auto"/>
        <w:jc w:val="both"/>
        <w:rPr>
          <w:rFonts w:cs="Times New Roman"/>
          <w:bCs/>
          <w:noProof/>
        </w:rPr>
      </w:pPr>
      <w:r>
        <w:rPr>
          <w:noProof/>
        </w:rPr>
        <w:t>P.2. Étapes, cibles, indicateurs et calendrier pour le suivi et la mise en œuvre du soutien financier non remboursable</w:t>
      </w:r>
    </w:p>
    <w:p w14:paraId="43F25DEC" w14:textId="77777777" w:rsidR="00A00259" w:rsidRDefault="00371282">
      <w:pPr>
        <w:pStyle w:val="P68B1DB1-Normal9"/>
        <w:keepNext/>
        <w:keepLines/>
        <w:spacing w:before="40" w:after="0" w:line="240" w:lineRule="auto"/>
        <w:jc w:val="both"/>
        <w:outlineLvl w:val="4"/>
        <w:rPr>
          <w:rFonts w:eastAsia="Times New Roman"/>
          <w:noProof/>
        </w:rPr>
      </w:pPr>
      <w:r>
        <w:rPr>
          <w:noProof/>
        </w:rPr>
        <w:t>Groupe 23: Promouvoir la recherche et l'innovation</w:t>
      </w:r>
    </w:p>
    <w:p w14:paraId="440A079E" w14:textId="61FEDF22" w:rsidR="00A00259" w:rsidRDefault="00371282">
      <w:pPr>
        <w:pStyle w:val="P68B1DB1-Normal5"/>
        <w:numPr>
          <w:ilvl w:val="0"/>
          <w:numId w:val="75"/>
        </w:numPr>
        <w:spacing w:before="120" w:after="0" w:line="240" w:lineRule="auto"/>
        <w:jc w:val="both"/>
        <w:rPr>
          <w:rFonts w:cs="Times New Roman"/>
          <w:noProof/>
        </w:rPr>
      </w:pPr>
      <w:r>
        <w:rPr>
          <w:noProof/>
        </w:rPr>
        <w:t>Création - Expansion - Mise à niveau des infrastructures des centres de recherche supervisés par le Secrétariat général à la recherche et à l’innovation (GSRT) (ID: 16624)</w:t>
      </w:r>
    </w:p>
    <w:p w14:paraId="4FD30CEB" w14:textId="77777777" w:rsidR="00A00259" w:rsidRDefault="00371282">
      <w:pPr>
        <w:pStyle w:val="P68B1DB1-Normal5"/>
        <w:numPr>
          <w:ilvl w:val="0"/>
          <w:numId w:val="75"/>
        </w:numPr>
        <w:spacing w:before="120" w:after="0" w:line="240" w:lineRule="auto"/>
        <w:jc w:val="both"/>
        <w:rPr>
          <w:rFonts w:cs="Times New Roman"/>
          <w:noProof/>
        </w:rPr>
      </w:pPr>
      <w:r>
        <w:rPr>
          <w:noProof/>
        </w:rPr>
        <w:t>Recherche appliquée &amp; de base (ID: 16618)</w:t>
      </w:r>
    </w:p>
    <w:p w14:paraId="6EA36903" w14:textId="77777777" w:rsidR="00A00259" w:rsidRDefault="00371282">
      <w:pPr>
        <w:pStyle w:val="P68B1DB1-Normal5"/>
        <w:numPr>
          <w:ilvl w:val="0"/>
          <w:numId w:val="75"/>
        </w:numPr>
        <w:spacing w:before="120" w:after="0" w:line="240" w:lineRule="auto"/>
        <w:jc w:val="both"/>
        <w:rPr>
          <w:rFonts w:cs="Times New Roman"/>
          <w:noProof/>
        </w:rPr>
      </w:pPr>
      <w:r>
        <w:rPr>
          <w:noProof/>
        </w:rPr>
        <w:t>TH 2 ORAX: Trellis Holistic &amp; Système eXemplaire autonome robuste et opérationnel hybride (ID: 16654)</w:t>
      </w:r>
    </w:p>
    <w:p w14:paraId="0E008989" w14:textId="77777777" w:rsidR="00A00259" w:rsidRDefault="00371282">
      <w:pPr>
        <w:pStyle w:val="P68B1DB1-Normal5"/>
        <w:numPr>
          <w:ilvl w:val="0"/>
          <w:numId w:val="75"/>
        </w:numPr>
        <w:spacing w:before="120" w:after="0" w:line="240" w:lineRule="auto"/>
        <w:jc w:val="both"/>
        <w:rPr>
          <w:rFonts w:cs="Times New Roman"/>
          <w:noProof/>
        </w:rPr>
      </w:pPr>
      <w:r>
        <w:rPr>
          <w:noProof/>
        </w:rPr>
        <w:t>Recherche - Créer - Innover (ID: 16971)</w:t>
      </w:r>
    </w:p>
    <w:p w14:paraId="45A9008C" w14:textId="3425EEBB" w:rsidR="00A00259" w:rsidRDefault="00371282">
      <w:pPr>
        <w:pStyle w:val="P68B1DB1-Normal5"/>
        <w:numPr>
          <w:ilvl w:val="0"/>
          <w:numId w:val="75"/>
        </w:numPr>
        <w:spacing w:before="120" w:after="0" w:line="240" w:lineRule="auto"/>
        <w:jc w:val="both"/>
        <w:rPr>
          <w:rFonts w:cs="Times New Roman"/>
          <w:noProof/>
        </w:rPr>
      </w:pPr>
      <w:r>
        <w:rPr>
          <w:noProof/>
        </w:rPr>
        <w:t>HORIZON 2020 «label d’excellence»: les sociétés de financement (ID: 16622)</w:t>
      </w:r>
    </w:p>
    <w:tbl>
      <w:tblPr>
        <w:tblW w:w="16018" w:type="dxa"/>
        <w:jc w:val="center"/>
        <w:tblLayout w:type="fixed"/>
        <w:tblLook w:val="04A0" w:firstRow="1" w:lastRow="0" w:firstColumn="1" w:lastColumn="0" w:noHBand="0" w:noVBand="1"/>
      </w:tblPr>
      <w:tblGrid>
        <w:gridCol w:w="594"/>
        <w:gridCol w:w="2571"/>
        <w:gridCol w:w="1094"/>
        <w:gridCol w:w="1794"/>
        <w:gridCol w:w="1774"/>
        <w:gridCol w:w="960"/>
        <w:gridCol w:w="960"/>
        <w:gridCol w:w="900"/>
        <w:gridCol w:w="992"/>
        <w:gridCol w:w="709"/>
        <w:gridCol w:w="3670"/>
      </w:tblGrid>
      <w:tr w:rsidR="00A00259" w14:paraId="1C4BC7A4" w14:textId="77777777" w:rsidTr="00096954">
        <w:trPr>
          <w:trHeight w:val="740"/>
          <w:tblHeader/>
          <w:jc w:val="center"/>
        </w:trPr>
        <w:tc>
          <w:tcPr>
            <w:tcW w:w="59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7F86C20A" w14:textId="77777777" w:rsidR="00A00259" w:rsidRDefault="00371282">
            <w:pPr>
              <w:pStyle w:val="P68B1DB1-Normal15"/>
              <w:spacing w:after="0" w:line="240" w:lineRule="auto"/>
              <w:jc w:val="center"/>
              <w:rPr>
                <w:rFonts w:eastAsia="Times New Roman"/>
                <w:bCs/>
                <w:noProof/>
              </w:rPr>
            </w:pPr>
            <w:r>
              <w:rPr>
                <w:noProof/>
              </w:rPr>
              <w:t xml:space="preserve">Seq. </w:t>
            </w:r>
            <w:r>
              <w:rPr>
                <w:noProof/>
              </w:rPr>
              <w:br/>
              <w:t>Non.</w:t>
            </w:r>
          </w:p>
        </w:tc>
        <w:tc>
          <w:tcPr>
            <w:tcW w:w="2571"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6FCEE8E6"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09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6FC9B5B7"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79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84D188E"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77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30B3C8CB"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2820" w:type="dxa"/>
            <w:gridSpan w:val="3"/>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7C2AD8FA" w14:textId="77777777" w:rsidR="00A00259" w:rsidRDefault="00371282">
            <w:pPr>
              <w:pStyle w:val="P68B1DB1-Normal10"/>
              <w:spacing w:after="0" w:line="240" w:lineRule="auto"/>
              <w:jc w:val="center"/>
              <w:rPr>
                <w:rFonts w:eastAsia="Times New Roman" w:cs="Times New Roman"/>
                <w:bCs/>
                <w:noProof/>
                <w:szCs w:val="18"/>
              </w:rPr>
            </w:pPr>
            <w:r>
              <w:rPr>
                <w:noProof/>
              </w:rPr>
              <w:t>Indicateurs quantitatifs (pour les objectifs)</w:t>
            </w:r>
          </w:p>
        </w:tc>
        <w:tc>
          <w:tcPr>
            <w:tcW w:w="1701" w:type="dxa"/>
            <w:gridSpan w:val="2"/>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12D2E8BB"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3670"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403715CA" w14:textId="77777777" w:rsidR="00A00259" w:rsidRDefault="00371282">
            <w:pPr>
              <w:pStyle w:val="P68B1DB1-Normal10"/>
              <w:spacing w:after="0" w:line="240" w:lineRule="auto"/>
              <w:jc w:val="center"/>
              <w:rPr>
                <w:rFonts w:eastAsia="Times New Roman" w:cs="Times New Roman"/>
                <w:noProof/>
                <w:szCs w:val="18"/>
              </w:rPr>
            </w:pPr>
            <w:r>
              <w:rPr>
                <w:noProof/>
              </w:rPr>
              <w:t>Description de chaque jalon et cible</w:t>
            </w:r>
          </w:p>
        </w:tc>
      </w:tr>
      <w:tr w:rsidR="00A00259" w14:paraId="39F1313A" w14:textId="77777777" w:rsidTr="00096954">
        <w:trPr>
          <w:trHeight w:val="526"/>
          <w:tblHeader/>
          <w:jc w:val="center"/>
        </w:trPr>
        <w:tc>
          <w:tcPr>
            <w:tcW w:w="594" w:type="dxa"/>
            <w:vMerge/>
            <w:tcBorders>
              <w:top w:val="single" w:sz="2" w:space="0" w:color="000000"/>
              <w:left w:val="single" w:sz="2" w:space="0" w:color="000000"/>
              <w:bottom w:val="single" w:sz="2" w:space="0" w:color="000000"/>
              <w:right w:val="single" w:sz="2" w:space="0" w:color="000000"/>
            </w:tcBorders>
            <w:vAlign w:val="center"/>
            <w:hideMark/>
          </w:tcPr>
          <w:p w14:paraId="2236AF94" w14:textId="77777777" w:rsidR="00A00259" w:rsidRDefault="00A00259">
            <w:pPr>
              <w:spacing w:after="0" w:line="240" w:lineRule="auto"/>
              <w:rPr>
                <w:rFonts w:ascii="Times New Roman" w:eastAsia="Times New Roman" w:hAnsi="Times New Roman" w:cs="Times New Roman"/>
                <w:b/>
                <w:bCs/>
                <w:noProof/>
                <w:sz w:val="18"/>
                <w:szCs w:val="18"/>
              </w:rPr>
            </w:pPr>
          </w:p>
        </w:tc>
        <w:tc>
          <w:tcPr>
            <w:tcW w:w="2571" w:type="dxa"/>
            <w:vMerge/>
            <w:tcBorders>
              <w:top w:val="single" w:sz="2" w:space="0" w:color="000000"/>
              <w:left w:val="single" w:sz="2" w:space="0" w:color="000000"/>
              <w:bottom w:val="single" w:sz="2" w:space="0" w:color="000000"/>
              <w:right w:val="single" w:sz="2" w:space="0" w:color="000000"/>
            </w:tcBorders>
            <w:vAlign w:val="center"/>
            <w:hideMark/>
          </w:tcPr>
          <w:p w14:paraId="26FA81CE" w14:textId="77777777" w:rsidR="00A00259" w:rsidRDefault="00A00259">
            <w:pPr>
              <w:spacing w:after="0" w:line="240" w:lineRule="auto"/>
              <w:rPr>
                <w:rFonts w:ascii="Times New Roman" w:eastAsia="Times New Roman" w:hAnsi="Times New Roman" w:cs="Times New Roman"/>
                <w:b/>
                <w:bCs/>
                <w:noProof/>
                <w:sz w:val="18"/>
                <w:szCs w:val="18"/>
              </w:rPr>
            </w:pPr>
          </w:p>
        </w:tc>
        <w:tc>
          <w:tcPr>
            <w:tcW w:w="1094" w:type="dxa"/>
            <w:vMerge/>
            <w:tcBorders>
              <w:top w:val="single" w:sz="2" w:space="0" w:color="000000"/>
              <w:left w:val="single" w:sz="2" w:space="0" w:color="000000"/>
              <w:bottom w:val="single" w:sz="2" w:space="0" w:color="000000"/>
              <w:right w:val="single" w:sz="2" w:space="0" w:color="000000"/>
            </w:tcBorders>
            <w:vAlign w:val="center"/>
            <w:hideMark/>
          </w:tcPr>
          <w:p w14:paraId="735288C9" w14:textId="77777777" w:rsidR="00A00259" w:rsidRDefault="00A00259">
            <w:pPr>
              <w:spacing w:after="0" w:line="240" w:lineRule="auto"/>
              <w:rPr>
                <w:rFonts w:ascii="Times New Roman" w:eastAsia="Times New Roman" w:hAnsi="Times New Roman" w:cs="Times New Roman"/>
                <w:b/>
                <w:bCs/>
                <w:noProof/>
                <w:sz w:val="18"/>
                <w:szCs w:val="18"/>
              </w:rPr>
            </w:pPr>
          </w:p>
        </w:tc>
        <w:tc>
          <w:tcPr>
            <w:tcW w:w="1794" w:type="dxa"/>
            <w:vMerge/>
            <w:tcBorders>
              <w:top w:val="single" w:sz="2" w:space="0" w:color="000000"/>
              <w:left w:val="single" w:sz="2" w:space="0" w:color="000000"/>
              <w:bottom w:val="single" w:sz="2" w:space="0" w:color="000000"/>
              <w:right w:val="single" w:sz="2" w:space="0" w:color="000000"/>
            </w:tcBorders>
            <w:vAlign w:val="center"/>
            <w:hideMark/>
          </w:tcPr>
          <w:p w14:paraId="405675C4" w14:textId="77777777" w:rsidR="00A00259" w:rsidRDefault="00A00259">
            <w:pPr>
              <w:spacing w:after="0" w:line="240" w:lineRule="auto"/>
              <w:rPr>
                <w:rFonts w:ascii="Times New Roman" w:eastAsia="Times New Roman" w:hAnsi="Times New Roman" w:cs="Times New Roman"/>
                <w:b/>
                <w:bCs/>
                <w:noProof/>
                <w:sz w:val="18"/>
                <w:szCs w:val="18"/>
              </w:rPr>
            </w:pPr>
          </w:p>
        </w:tc>
        <w:tc>
          <w:tcPr>
            <w:tcW w:w="1774" w:type="dxa"/>
            <w:vMerge/>
            <w:tcBorders>
              <w:top w:val="single" w:sz="2" w:space="0" w:color="000000"/>
              <w:left w:val="single" w:sz="2" w:space="0" w:color="000000"/>
              <w:bottom w:val="single" w:sz="2" w:space="0" w:color="000000"/>
              <w:right w:val="single" w:sz="2" w:space="0" w:color="000000"/>
            </w:tcBorders>
            <w:vAlign w:val="center"/>
            <w:hideMark/>
          </w:tcPr>
          <w:p w14:paraId="4FF0A5A9" w14:textId="77777777" w:rsidR="00A00259" w:rsidRDefault="00A00259">
            <w:pPr>
              <w:spacing w:after="0" w:line="240" w:lineRule="auto"/>
              <w:rPr>
                <w:rFonts w:ascii="Times New Roman" w:eastAsia="Times New Roman" w:hAnsi="Times New Roman" w:cs="Times New Roman"/>
                <w:b/>
                <w:bCs/>
                <w:noProof/>
                <w:sz w:val="18"/>
                <w:szCs w:val="18"/>
              </w:rPr>
            </w:pPr>
          </w:p>
        </w:tc>
        <w:tc>
          <w:tcPr>
            <w:tcW w:w="960"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5E102CD8" w14:textId="77777777" w:rsidR="00A00259" w:rsidRDefault="00371282">
            <w:pPr>
              <w:pStyle w:val="P68B1DB1-Normal10"/>
              <w:spacing w:after="0" w:line="240" w:lineRule="auto"/>
              <w:jc w:val="center"/>
              <w:rPr>
                <w:rFonts w:eastAsia="Times New Roman" w:cs="Times New Roman"/>
                <w:noProof/>
                <w:szCs w:val="18"/>
              </w:rPr>
            </w:pPr>
            <w:r>
              <w:rPr>
                <w:noProof/>
              </w:rPr>
              <w:t>Unité de mesure</w:t>
            </w:r>
          </w:p>
        </w:tc>
        <w:tc>
          <w:tcPr>
            <w:tcW w:w="960"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D953C40" w14:textId="77777777" w:rsidR="00A00259" w:rsidRDefault="00371282">
            <w:pPr>
              <w:pStyle w:val="P68B1DB1-Normal10"/>
              <w:spacing w:after="0" w:line="240" w:lineRule="auto"/>
              <w:jc w:val="center"/>
              <w:rPr>
                <w:rFonts w:eastAsia="Times New Roman" w:cs="Times New Roman"/>
                <w:noProof/>
                <w:szCs w:val="18"/>
              </w:rPr>
            </w:pPr>
            <w:r>
              <w:rPr>
                <w:noProof/>
              </w:rPr>
              <w:t xml:space="preserve">Données de référence </w:t>
            </w:r>
          </w:p>
        </w:tc>
        <w:tc>
          <w:tcPr>
            <w:tcW w:w="900"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51353EA9" w14:textId="77777777" w:rsidR="00A00259" w:rsidRDefault="00371282">
            <w:pPr>
              <w:pStyle w:val="P68B1DB1-Normal10"/>
              <w:spacing w:after="0" w:line="240" w:lineRule="auto"/>
              <w:jc w:val="center"/>
              <w:rPr>
                <w:rFonts w:eastAsia="Times New Roman" w:cs="Times New Roman"/>
                <w:noProof/>
                <w:szCs w:val="18"/>
              </w:rPr>
            </w:pPr>
            <w:r>
              <w:rPr>
                <w:noProof/>
              </w:rPr>
              <w:t xml:space="preserve">Objectif </w:t>
            </w:r>
          </w:p>
        </w:tc>
        <w:tc>
          <w:tcPr>
            <w:tcW w:w="992"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02B1CA51" w14:textId="77777777" w:rsidR="00A00259" w:rsidRDefault="00371282">
            <w:pPr>
              <w:pStyle w:val="P68B1DB1-Normal10"/>
              <w:spacing w:after="0" w:line="240" w:lineRule="auto"/>
              <w:jc w:val="center"/>
              <w:rPr>
                <w:rFonts w:eastAsia="Times New Roman" w:cs="Times New Roman"/>
                <w:noProof/>
                <w:szCs w:val="18"/>
              </w:rPr>
            </w:pPr>
            <w:r>
              <w:rPr>
                <w:noProof/>
              </w:rPr>
              <w:t>Trimestre</w:t>
            </w:r>
          </w:p>
        </w:tc>
        <w:tc>
          <w:tcPr>
            <w:tcW w:w="709"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79AB2EA2" w14:textId="77777777" w:rsidR="00A00259" w:rsidRDefault="00371282">
            <w:pPr>
              <w:pStyle w:val="P68B1DB1-Normal10"/>
              <w:spacing w:after="0" w:line="240" w:lineRule="auto"/>
              <w:jc w:val="center"/>
              <w:rPr>
                <w:rFonts w:eastAsia="Times New Roman" w:cs="Times New Roman"/>
                <w:noProof/>
                <w:szCs w:val="18"/>
              </w:rPr>
            </w:pPr>
            <w:r>
              <w:rPr>
                <w:noProof/>
              </w:rPr>
              <w:t>Année</w:t>
            </w:r>
          </w:p>
        </w:tc>
        <w:tc>
          <w:tcPr>
            <w:tcW w:w="3670" w:type="dxa"/>
            <w:vMerge/>
            <w:tcBorders>
              <w:top w:val="single" w:sz="2" w:space="0" w:color="000000"/>
              <w:left w:val="single" w:sz="2" w:space="0" w:color="000000"/>
              <w:bottom w:val="single" w:sz="2" w:space="0" w:color="000000"/>
              <w:right w:val="single" w:sz="2" w:space="0" w:color="000000"/>
            </w:tcBorders>
            <w:vAlign w:val="center"/>
            <w:hideMark/>
          </w:tcPr>
          <w:p w14:paraId="3728F950"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004BE5A2" w14:textId="77777777" w:rsidTr="00096954">
        <w:trPr>
          <w:trHeight w:val="309"/>
          <w:jc w:val="center"/>
        </w:trPr>
        <w:tc>
          <w:tcPr>
            <w:tcW w:w="594" w:type="dxa"/>
            <w:tcBorders>
              <w:top w:val="single" w:sz="2" w:space="0" w:color="000000"/>
              <w:left w:val="single" w:sz="2" w:space="0" w:color="000000"/>
              <w:bottom w:val="single" w:sz="2" w:space="0" w:color="000000"/>
              <w:right w:val="single" w:sz="2" w:space="0" w:color="000000"/>
            </w:tcBorders>
            <w:shd w:val="clear" w:color="auto" w:fill="C6EFCE"/>
            <w:noWrap/>
          </w:tcPr>
          <w:p w14:paraId="74FA5CA0" w14:textId="77777777" w:rsidR="00A00259" w:rsidRDefault="00371282">
            <w:pPr>
              <w:pStyle w:val="P68B1DB1-Normal12"/>
              <w:spacing w:after="0" w:line="240" w:lineRule="auto"/>
              <w:rPr>
                <w:rFonts w:eastAsia="Times New Roman"/>
                <w:noProof/>
              </w:rPr>
            </w:pPr>
            <w:r>
              <w:rPr>
                <w:noProof/>
              </w:rPr>
              <w:t>245</w:t>
            </w:r>
          </w:p>
        </w:tc>
        <w:tc>
          <w:tcPr>
            <w:tcW w:w="2571" w:type="dxa"/>
            <w:tcBorders>
              <w:top w:val="single" w:sz="2" w:space="0" w:color="000000"/>
              <w:left w:val="single" w:sz="2" w:space="0" w:color="000000"/>
              <w:bottom w:val="single" w:sz="2" w:space="0" w:color="000000"/>
              <w:right w:val="single" w:sz="2" w:space="0" w:color="000000"/>
            </w:tcBorders>
            <w:shd w:val="clear" w:color="auto" w:fill="C6EFCE"/>
            <w:noWrap/>
          </w:tcPr>
          <w:p w14:paraId="43C06F2B" w14:textId="77777777" w:rsidR="00A00259" w:rsidRDefault="00371282">
            <w:pPr>
              <w:pStyle w:val="P68B1DB1-Normal12"/>
              <w:spacing w:after="0" w:line="240" w:lineRule="auto"/>
              <w:rPr>
                <w:rFonts w:eastAsia="Times New Roman"/>
                <w:noProof/>
              </w:rPr>
            </w:pPr>
            <w:r>
              <w:rPr>
                <w:noProof/>
              </w:rPr>
              <w:t>16 - 4.5. Promouvoir la recherche et l'innovation - 16618_Basic &amp; Recherche appliquée</w:t>
            </w:r>
          </w:p>
        </w:tc>
        <w:tc>
          <w:tcPr>
            <w:tcW w:w="1094" w:type="dxa"/>
            <w:tcBorders>
              <w:top w:val="single" w:sz="2" w:space="0" w:color="000000"/>
              <w:left w:val="single" w:sz="2" w:space="0" w:color="000000"/>
              <w:bottom w:val="single" w:sz="2" w:space="0" w:color="000000"/>
              <w:right w:val="single" w:sz="2" w:space="0" w:color="000000"/>
            </w:tcBorders>
            <w:shd w:val="clear" w:color="auto" w:fill="C6EFCE"/>
            <w:noWrap/>
          </w:tcPr>
          <w:p w14:paraId="4875A700" w14:textId="77777777" w:rsidR="00A00259" w:rsidRDefault="00371282">
            <w:pPr>
              <w:pStyle w:val="P68B1DB1-Normal12"/>
              <w:spacing w:after="0" w:line="240" w:lineRule="auto"/>
              <w:rPr>
                <w:rFonts w:eastAsia="Times New Roman"/>
                <w:noProof/>
              </w:rPr>
            </w:pPr>
            <w:r>
              <w:rPr>
                <w:noProof/>
              </w:rPr>
              <w:t>Étape</w:t>
            </w:r>
          </w:p>
        </w:tc>
        <w:tc>
          <w:tcPr>
            <w:tcW w:w="1794" w:type="dxa"/>
            <w:tcBorders>
              <w:top w:val="single" w:sz="2" w:space="0" w:color="000000"/>
              <w:left w:val="single" w:sz="2" w:space="0" w:color="000000"/>
              <w:bottom w:val="single" w:sz="2" w:space="0" w:color="000000"/>
              <w:right w:val="single" w:sz="2" w:space="0" w:color="000000"/>
            </w:tcBorders>
            <w:shd w:val="clear" w:color="auto" w:fill="C6EFCE"/>
            <w:noWrap/>
          </w:tcPr>
          <w:p w14:paraId="649497CB" w14:textId="77777777" w:rsidR="00A00259" w:rsidRDefault="00371282">
            <w:pPr>
              <w:pStyle w:val="P68B1DB1-Normal12"/>
              <w:spacing w:after="0" w:line="240" w:lineRule="auto"/>
              <w:rPr>
                <w:rFonts w:eastAsia="Times New Roman"/>
                <w:noProof/>
              </w:rPr>
            </w:pPr>
            <w:r>
              <w:rPr>
                <w:noProof/>
              </w:rPr>
              <w:t>Législation sur la recherche fondamentale &amp; appliquée</w:t>
            </w:r>
          </w:p>
        </w:tc>
        <w:tc>
          <w:tcPr>
            <w:tcW w:w="1774" w:type="dxa"/>
            <w:tcBorders>
              <w:top w:val="single" w:sz="2" w:space="0" w:color="000000"/>
              <w:left w:val="single" w:sz="2" w:space="0" w:color="000000"/>
              <w:bottom w:val="single" w:sz="2" w:space="0" w:color="000000"/>
              <w:right w:val="single" w:sz="2" w:space="0" w:color="000000"/>
            </w:tcBorders>
            <w:shd w:val="clear" w:color="auto" w:fill="C6EFCE"/>
            <w:noWrap/>
          </w:tcPr>
          <w:p w14:paraId="33903D0F" w14:textId="77777777" w:rsidR="00A00259" w:rsidRDefault="00371282">
            <w:pPr>
              <w:pStyle w:val="P68B1DB1-Normal12"/>
              <w:spacing w:after="0" w:line="240" w:lineRule="auto"/>
              <w:rPr>
                <w:rFonts w:eastAsia="Times New Roman"/>
                <w:noProof/>
              </w:rPr>
            </w:pPr>
            <w:r>
              <w:rPr>
                <w:noProof/>
              </w:rPr>
              <w:t>Entrée en vigueur de la législation (actes primaires et secondaires établissant les entités juridiques)</w:t>
            </w:r>
          </w:p>
        </w:tc>
        <w:tc>
          <w:tcPr>
            <w:tcW w:w="960" w:type="dxa"/>
            <w:tcBorders>
              <w:top w:val="single" w:sz="2" w:space="0" w:color="000000"/>
              <w:left w:val="single" w:sz="2" w:space="0" w:color="000000"/>
              <w:bottom w:val="single" w:sz="2" w:space="0" w:color="000000"/>
              <w:right w:val="single" w:sz="2" w:space="0" w:color="000000"/>
            </w:tcBorders>
            <w:shd w:val="clear" w:color="auto" w:fill="C6EFCE"/>
            <w:noWrap/>
          </w:tcPr>
          <w:p w14:paraId="3F833B0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0" w:type="dxa"/>
            <w:tcBorders>
              <w:top w:val="single" w:sz="2" w:space="0" w:color="000000"/>
              <w:left w:val="single" w:sz="2" w:space="0" w:color="000000"/>
              <w:bottom w:val="single" w:sz="2" w:space="0" w:color="000000"/>
              <w:right w:val="single" w:sz="2" w:space="0" w:color="000000"/>
            </w:tcBorders>
            <w:shd w:val="clear" w:color="auto" w:fill="C6EFCE"/>
            <w:noWrap/>
          </w:tcPr>
          <w:p w14:paraId="287C0F1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00" w:type="dxa"/>
            <w:tcBorders>
              <w:top w:val="single" w:sz="2" w:space="0" w:color="000000"/>
              <w:left w:val="single" w:sz="2" w:space="0" w:color="000000"/>
              <w:bottom w:val="single" w:sz="2" w:space="0" w:color="000000"/>
              <w:right w:val="single" w:sz="2" w:space="0" w:color="000000"/>
            </w:tcBorders>
            <w:shd w:val="clear" w:color="auto" w:fill="C6EFCE"/>
            <w:noWrap/>
          </w:tcPr>
          <w:p w14:paraId="3A5C1B9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tcBorders>
              <w:top w:val="single" w:sz="2" w:space="0" w:color="000000"/>
              <w:left w:val="single" w:sz="2" w:space="0" w:color="000000"/>
              <w:bottom w:val="single" w:sz="2" w:space="0" w:color="000000"/>
              <w:right w:val="single" w:sz="2" w:space="0" w:color="000000"/>
            </w:tcBorders>
            <w:shd w:val="clear" w:color="auto" w:fill="C6EFCE"/>
            <w:noWrap/>
          </w:tcPr>
          <w:p w14:paraId="7A9AF360" w14:textId="77777777" w:rsidR="00A00259" w:rsidRDefault="00371282">
            <w:pPr>
              <w:pStyle w:val="P68B1DB1-Normal12"/>
              <w:spacing w:after="0" w:line="240" w:lineRule="auto"/>
              <w:rPr>
                <w:rFonts w:eastAsia="Times New Roman"/>
                <w:noProof/>
              </w:rPr>
            </w:pPr>
            <w:r>
              <w:rPr>
                <w:noProof/>
              </w:rPr>
              <w:t>T1</w:t>
            </w:r>
          </w:p>
        </w:tc>
        <w:tc>
          <w:tcPr>
            <w:tcW w:w="709" w:type="dxa"/>
            <w:tcBorders>
              <w:top w:val="single" w:sz="2" w:space="0" w:color="000000"/>
              <w:left w:val="single" w:sz="2" w:space="0" w:color="000000"/>
              <w:bottom w:val="single" w:sz="2" w:space="0" w:color="000000"/>
              <w:right w:val="single" w:sz="2" w:space="0" w:color="000000"/>
            </w:tcBorders>
            <w:shd w:val="clear" w:color="auto" w:fill="C6EFCE"/>
            <w:noWrap/>
          </w:tcPr>
          <w:p w14:paraId="25779852" w14:textId="77777777" w:rsidR="00A00259" w:rsidRDefault="00371282">
            <w:pPr>
              <w:pStyle w:val="P68B1DB1-Normal12"/>
              <w:spacing w:after="0" w:line="240" w:lineRule="auto"/>
              <w:rPr>
                <w:rFonts w:eastAsia="Times New Roman"/>
                <w:noProof/>
              </w:rPr>
            </w:pPr>
            <w:r>
              <w:rPr>
                <w:noProof/>
              </w:rPr>
              <w:t>2022</w:t>
            </w:r>
          </w:p>
        </w:tc>
        <w:tc>
          <w:tcPr>
            <w:tcW w:w="3670" w:type="dxa"/>
            <w:tcBorders>
              <w:top w:val="single" w:sz="2" w:space="0" w:color="000000"/>
              <w:left w:val="single" w:sz="2" w:space="0" w:color="000000"/>
              <w:bottom w:val="single" w:sz="2" w:space="0" w:color="000000"/>
              <w:right w:val="single" w:sz="2" w:space="0" w:color="000000"/>
            </w:tcBorders>
            <w:shd w:val="clear" w:color="auto" w:fill="C6EFCE"/>
            <w:noWrap/>
          </w:tcPr>
          <w:p w14:paraId="781B51BC" w14:textId="77777777" w:rsidR="00A00259" w:rsidRDefault="00371282">
            <w:pPr>
              <w:pStyle w:val="P68B1DB1-Normal12"/>
              <w:spacing w:after="0" w:line="240" w:lineRule="auto"/>
              <w:rPr>
                <w:rFonts w:eastAsia="Times New Roman"/>
                <w:noProof/>
              </w:rPr>
            </w:pPr>
            <w:r>
              <w:rPr>
                <w:noProof/>
              </w:rPr>
              <w:t>Entrée en vigueur d'un cadre juridique révisé pour la recherche appliquée de base et l'adoption d'actes secondaires établissant les entités juridiques.</w:t>
            </w:r>
          </w:p>
          <w:p w14:paraId="4B1B923B" w14:textId="77777777" w:rsidR="00A00259" w:rsidRDefault="00A00259">
            <w:pPr>
              <w:spacing w:after="0" w:line="240" w:lineRule="auto"/>
              <w:rPr>
                <w:rFonts w:ascii="Times New Roman" w:eastAsia="Times New Roman" w:hAnsi="Times New Roman" w:cs="Times New Roman"/>
                <w:noProof/>
                <w:color w:val="006100"/>
                <w:sz w:val="18"/>
                <w:szCs w:val="18"/>
              </w:rPr>
            </w:pPr>
          </w:p>
          <w:p w14:paraId="7BC5C1DD" w14:textId="77777777" w:rsidR="00A00259" w:rsidRDefault="00371282">
            <w:pPr>
              <w:pStyle w:val="P68B1DB1-Normal12"/>
              <w:spacing w:after="0" w:line="240" w:lineRule="auto"/>
              <w:rPr>
                <w:rFonts w:eastAsia="Times New Roman"/>
                <w:noProof/>
              </w:rPr>
            </w:pPr>
            <w:r>
              <w:rPr>
                <w:noProof/>
              </w:rPr>
              <w:t xml:space="preserve">Le cadre juridique: a) redéfinir les domaines de recherche pour le financement des appels dans le cadre de la mise à jour de la stratégie nationale de spécialisation intelligente (RIS3); b) établir une nouvelle structure de gouvernance pour améliorer la gestion et la coordination de ces projets; et c) établir le statut juridique des nouvelles entités de recherche. </w:t>
            </w:r>
          </w:p>
          <w:p w14:paraId="6CAB32B8" w14:textId="77777777" w:rsidR="00A00259" w:rsidRDefault="00A00259">
            <w:pPr>
              <w:spacing w:after="0" w:line="240" w:lineRule="auto"/>
              <w:rPr>
                <w:rFonts w:ascii="Times New Roman" w:eastAsia="Times New Roman" w:hAnsi="Times New Roman" w:cs="Times New Roman"/>
                <w:noProof/>
                <w:color w:val="006100"/>
                <w:sz w:val="18"/>
                <w:szCs w:val="18"/>
              </w:rPr>
            </w:pPr>
          </w:p>
          <w:p w14:paraId="7EC5AB5C" w14:textId="77777777" w:rsidR="00A00259" w:rsidRDefault="00371282">
            <w:pPr>
              <w:pStyle w:val="P68B1DB1-Normal12"/>
              <w:spacing w:after="0" w:line="240" w:lineRule="auto"/>
              <w:rPr>
                <w:rFonts w:eastAsia="Times New Roman"/>
                <w:noProof/>
              </w:rPr>
            </w:pPr>
            <w:r>
              <w:rPr>
                <w:noProof/>
              </w:rPr>
              <w:t>Les domaines de recherche sont redéfinis conjointement par le Conseil national de la recherche et de l'innovation (CNRI) et le Secrétariat général de la recherche et de l'innovation du ministère du développement (GSRI).</w:t>
            </w:r>
          </w:p>
        </w:tc>
      </w:tr>
      <w:tr w:rsidR="00A00259" w14:paraId="553EEC5B" w14:textId="77777777" w:rsidTr="00096954">
        <w:trPr>
          <w:trHeight w:val="309"/>
          <w:jc w:val="center"/>
        </w:trPr>
        <w:tc>
          <w:tcPr>
            <w:tcW w:w="594" w:type="dxa"/>
            <w:tcBorders>
              <w:top w:val="single" w:sz="2" w:space="0" w:color="000000"/>
              <w:left w:val="single" w:sz="4" w:space="0" w:color="auto"/>
              <w:bottom w:val="single" w:sz="4" w:space="0" w:color="auto"/>
              <w:right w:val="single" w:sz="4" w:space="0" w:color="auto"/>
            </w:tcBorders>
            <w:shd w:val="clear" w:color="auto" w:fill="C6EFCE"/>
            <w:noWrap/>
          </w:tcPr>
          <w:p w14:paraId="7AB5190B" w14:textId="77777777" w:rsidR="00A00259" w:rsidRDefault="00371282">
            <w:pPr>
              <w:pStyle w:val="P68B1DB1-Normal12"/>
              <w:spacing w:after="0" w:line="240" w:lineRule="auto"/>
              <w:rPr>
                <w:rFonts w:eastAsia="Times New Roman"/>
                <w:noProof/>
              </w:rPr>
            </w:pPr>
            <w:r>
              <w:rPr>
                <w:noProof/>
              </w:rPr>
              <w:t>246</w:t>
            </w:r>
          </w:p>
        </w:tc>
        <w:tc>
          <w:tcPr>
            <w:tcW w:w="2571" w:type="dxa"/>
            <w:tcBorders>
              <w:top w:val="single" w:sz="2" w:space="0" w:color="000000"/>
              <w:left w:val="nil"/>
              <w:bottom w:val="single" w:sz="4" w:space="0" w:color="auto"/>
              <w:right w:val="single" w:sz="4" w:space="0" w:color="auto"/>
            </w:tcBorders>
            <w:shd w:val="clear" w:color="auto" w:fill="C6EFCE"/>
            <w:noWrap/>
          </w:tcPr>
          <w:p w14:paraId="108EA6BF" w14:textId="77777777" w:rsidR="00A00259" w:rsidRDefault="00371282">
            <w:pPr>
              <w:pStyle w:val="P68B1DB1-Normal12"/>
              <w:spacing w:after="0" w:line="240" w:lineRule="auto"/>
              <w:rPr>
                <w:rFonts w:eastAsia="Times New Roman"/>
                <w:noProof/>
              </w:rPr>
            </w:pPr>
            <w:r>
              <w:rPr>
                <w:noProof/>
              </w:rPr>
              <w:t>16 - 4.5. Promouvoir la recherche et l'innovation - 16624_Création - Expansion - Mise à niveau des infrastructures des centres de recherche supervisée par le Secrétariat général à la recherche et à l'innovation (GSRI)</w:t>
            </w:r>
          </w:p>
        </w:tc>
        <w:tc>
          <w:tcPr>
            <w:tcW w:w="1094" w:type="dxa"/>
            <w:tcBorders>
              <w:top w:val="single" w:sz="2" w:space="0" w:color="000000"/>
              <w:left w:val="nil"/>
              <w:bottom w:val="single" w:sz="4" w:space="0" w:color="auto"/>
              <w:right w:val="single" w:sz="4" w:space="0" w:color="auto"/>
            </w:tcBorders>
            <w:shd w:val="clear" w:color="auto" w:fill="C6EFCE"/>
            <w:noWrap/>
          </w:tcPr>
          <w:p w14:paraId="4B9FB6E4" w14:textId="77777777" w:rsidR="00A00259" w:rsidRDefault="00371282">
            <w:pPr>
              <w:pStyle w:val="P68B1DB1-Normal12"/>
              <w:spacing w:after="0" w:line="240" w:lineRule="auto"/>
              <w:rPr>
                <w:rFonts w:eastAsia="Times New Roman"/>
                <w:noProof/>
              </w:rPr>
            </w:pPr>
            <w:r>
              <w:rPr>
                <w:noProof/>
              </w:rPr>
              <w:t>Étape</w:t>
            </w:r>
          </w:p>
        </w:tc>
        <w:tc>
          <w:tcPr>
            <w:tcW w:w="1794" w:type="dxa"/>
            <w:tcBorders>
              <w:top w:val="single" w:sz="2" w:space="0" w:color="000000"/>
              <w:left w:val="nil"/>
              <w:bottom w:val="single" w:sz="4" w:space="0" w:color="auto"/>
              <w:right w:val="single" w:sz="4" w:space="0" w:color="auto"/>
            </w:tcBorders>
            <w:shd w:val="clear" w:color="auto" w:fill="C6EFCE"/>
            <w:noWrap/>
          </w:tcPr>
          <w:p w14:paraId="493829EF" w14:textId="77777777" w:rsidR="00A00259" w:rsidRDefault="00371282">
            <w:pPr>
              <w:pStyle w:val="P68B1DB1-Normal12"/>
              <w:spacing w:after="0" w:line="240" w:lineRule="auto"/>
              <w:rPr>
                <w:rFonts w:eastAsia="Times New Roman"/>
                <w:noProof/>
              </w:rPr>
            </w:pPr>
            <w:r>
              <w:rPr>
                <w:noProof/>
              </w:rPr>
              <w:t>Appel à propositions pour les centres de recherche</w:t>
            </w:r>
          </w:p>
        </w:tc>
        <w:tc>
          <w:tcPr>
            <w:tcW w:w="1774" w:type="dxa"/>
            <w:tcBorders>
              <w:top w:val="single" w:sz="2" w:space="0" w:color="000000"/>
              <w:left w:val="nil"/>
              <w:bottom w:val="single" w:sz="4" w:space="0" w:color="auto"/>
              <w:right w:val="single" w:sz="4" w:space="0" w:color="auto"/>
            </w:tcBorders>
            <w:shd w:val="clear" w:color="auto" w:fill="C6EFCE"/>
            <w:noWrap/>
          </w:tcPr>
          <w:p w14:paraId="0AAD9F40" w14:textId="77777777" w:rsidR="00A00259" w:rsidRDefault="00371282">
            <w:pPr>
              <w:pStyle w:val="P68B1DB1-Normal12"/>
              <w:spacing w:after="0" w:line="240" w:lineRule="auto"/>
              <w:rPr>
                <w:rFonts w:eastAsia="Times New Roman"/>
                <w:noProof/>
              </w:rPr>
            </w:pPr>
            <w:r>
              <w:rPr>
                <w:noProof/>
              </w:rPr>
              <w:t>Lancement de l’appel à propositions et publication du cahier des charges</w:t>
            </w:r>
          </w:p>
        </w:tc>
        <w:tc>
          <w:tcPr>
            <w:tcW w:w="960" w:type="dxa"/>
            <w:tcBorders>
              <w:top w:val="single" w:sz="2" w:space="0" w:color="000000"/>
              <w:left w:val="nil"/>
              <w:bottom w:val="single" w:sz="4" w:space="0" w:color="auto"/>
              <w:right w:val="single" w:sz="4" w:space="0" w:color="auto"/>
            </w:tcBorders>
            <w:shd w:val="clear" w:color="auto" w:fill="C6EFCE"/>
            <w:noWrap/>
          </w:tcPr>
          <w:p w14:paraId="41C3238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0" w:type="dxa"/>
            <w:tcBorders>
              <w:top w:val="single" w:sz="2" w:space="0" w:color="000000"/>
              <w:left w:val="nil"/>
              <w:bottom w:val="single" w:sz="4" w:space="0" w:color="auto"/>
              <w:right w:val="single" w:sz="4" w:space="0" w:color="auto"/>
            </w:tcBorders>
            <w:shd w:val="clear" w:color="auto" w:fill="C6EFCE"/>
            <w:noWrap/>
          </w:tcPr>
          <w:p w14:paraId="7636E49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00" w:type="dxa"/>
            <w:tcBorders>
              <w:top w:val="single" w:sz="2" w:space="0" w:color="000000"/>
              <w:left w:val="nil"/>
              <w:bottom w:val="single" w:sz="4" w:space="0" w:color="auto"/>
              <w:right w:val="single" w:sz="4" w:space="0" w:color="auto"/>
            </w:tcBorders>
            <w:shd w:val="clear" w:color="auto" w:fill="C6EFCE"/>
            <w:noWrap/>
          </w:tcPr>
          <w:p w14:paraId="32ED041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tcBorders>
              <w:top w:val="single" w:sz="2" w:space="0" w:color="000000"/>
              <w:left w:val="nil"/>
              <w:bottom w:val="single" w:sz="4" w:space="0" w:color="auto"/>
              <w:right w:val="single" w:sz="4" w:space="0" w:color="auto"/>
            </w:tcBorders>
            <w:shd w:val="clear" w:color="auto" w:fill="C6EFCE"/>
            <w:noWrap/>
          </w:tcPr>
          <w:p w14:paraId="49C2FB3D" w14:textId="77777777" w:rsidR="00A00259" w:rsidRDefault="00371282">
            <w:pPr>
              <w:pStyle w:val="P68B1DB1-Normal12"/>
              <w:spacing w:after="0" w:line="240" w:lineRule="auto"/>
              <w:rPr>
                <w:rFonts w:eastAsia="Times New Roman"/>
                <w:noProof/>
              </w:rPr>
            </w:pPr>
            <w:r>
              <w:rPr>
                <w:noProof/>
              </w:rPr>
              <w:t>T1</w:t>
            </w:r>
          </w:p>
        </w:tc>
        <w:tc>
          <w:tcPr>
            <w:tcW w:w="709" w:type="dxa"/>
            <w:tcBorders>
              <w:top w:val="single" w:sz="2" w:space="0" w:color="000000"/>
              <w:left w:val="nil"/>
              <w:bottom w:val="single" w:sz="4" w:space="0" w:color="auto"/>
              <w:right w:val="single" w:sz="4" w:space="0" w:color="auto"/>
            </w:tcBorders>
            <w:shd w:val="clear" w:color="auto" w:fill="C6EFCE"/>
            <w:noWrap/>
          </w:tcPr>
          <w:p w14:paraId="582D29ED" w14:textId="77777777" w:rsidR="00A00259" w:rsidRDefault="00371282">
            <w:pPr>
              <w:pStyle w:val="P68B1DB1-Normal12"/>
              <w:spacing w:after="0" w:line="240" w:lineRule="auto"/>
              <w:rPr>
                <w:rFonts w:eastAsia="Times New Roman"/>
                <w:noProof/>
              </w:rPr>
            </w:pPr>
            <w:r>
              <w:rPr>
                <w:noProof/>
              </w:rPr>
              <w:t>2022</w:t>
            </w:r>
          </w:p>
        </w:tc>
        <w:tc>
          <w:tcPr>
            <w:tcW w:w="3670" w:type="dxa"/>
            <w:tcBorders>
              <w:top w:val="single" w:sz="2" w:space="0" w:color="000000"/>
              <w:left w:val="nil"/>
              <w:bottom w:val="single" w:sz="4" w:space="0" w:color="auto"/>
              <w:right w:val="single" w:sz="4" w:space="0" w:color="auto"/>
            </w:tcBorders>
            <w:shd w:val="clear" w:color="auto" w:fill="C6EFCE"/>
            <w:noWrap/>
          </w:tcPr>
          <w:p w14:paraId="57AE4FF9" w14:textId="77777777" w:rsidR="00A00259" w:rsidRDefault="00371282">
            <w:pPr>
              <w:pStyle w:val="P68B1DB1-Normal12"/>
              <w:spacing w:after="0" w:line="240" w:lineRule="auto"/>
              <w:rPr>
                <w:rFonts w:eastAsia="Times New Roman"/>
                <w:noProof/>
              </w:rPr>
            </w:pPr>
            <w:r>
              <w:rPr>
                <w:noProof/>
              </w:rPr>
              <w:t>Lancement de l’appel à propositions pour la création, l’expansion et la mise à niveau des infrastructures des centres de recherche, y compris la publication d’un cahier des charges garantissant que les demandes sélectionnées sont conformes aux orientations techniques «Ne pas causer de préjudice important» (2021/C58/01) grâce à l’utilisation d’une liste d’exclusion et à l’exigence de conformité avec la législation environnementale pertinente de l’UE et des États membres.</w:t>
            </w:r>
          </w:p>
        </w:tc>
      </w:tr>
      <w:tr w:rsidR="00A00259" w14:paraId="1CCB0E7B" w14:textId="77777777" w:rsidTr="00096954">
        <w:trPr>
          <w:trHeight w:val="309"/>
          <w:jc w:val="center"/>
        </w:trPr>
        <w:tc>
          <w:tcPr>
            <w:tcW w:w="594" w:type="dxa"/>
            <w:tcBorders>
              <w:top w:val="nil"/>
              <w:left w:val="single" w:sz="4" w:space="0" w:color="auto"/>
              <w:bottom w:val="single" w:sz="4" w:space="0" w:color="auto"/>
              <w:right w:val="single" w:sz="4" w:space="0" w:color="auto"/>
            </w:tcBorders>
            <w:shd w:val="clear" w:color="auto" w:fill="C6EFCE"/>
            <w:noWrap/>
          </w:tcPr>
          <w:p w14:paraId="69FE4449" w14:textId="77777777" w:rsidR="00A00259" w:rsidRDefault="00371282">
            <w:pPr>
              <w:pStyle w:val="P68B1DB1-Normal12"/>
              <w:spacing w:after="0" w:line="240" w:lineRule="auto"/>
              <w:rPr>
                <w:rFonts w:eastAsia="Times New Roman"/>
                <w:noProof/>
              </w:rPr>
            </w:pPr>
            <w:r>
              <w:rPr>
                <w:noProof/>
              </w:rPr>
              <w:t>247</w:t>
            </w:r>
          </w:p>
        </w:tc>
        <w:tc>
          <w:tcPr>
            <w:tcW w:w="2571" w:type="dxa"/>
            <w:tcBorders>
              <w:top w:val="nil"/>
              <w:left w:val="nil"/>
              <w:bottom w:val="single" w:sz="4" w:space="0" w:color="auto"/>
              <w:right w:val="single" w:sz="4" w:space="0" w:color="auto"/>
            </w:tcBorders>
            <w:shd w:val="clear" w:color="auto" w:fill="C6EFCE"/>
            <w:noWrap/>
          </w:tcPr>
          <w:p w14:paraId="5A8E8D91" w14:textId="77777777" w:rsidR="00A00259" w:rsidRDefault="00371282">
            <w:pPr>
              <w:pStyle w:val="P68B1DB1-Normal12"/>
              <w:spacing w:after="0" w:line="240" w:lineRule="auto"/>
              <w:rPr>
                <w:rFonts w:eastAsia="Times New Roman"/>
                <w:noProof/>
              </w:rPr>
            </w:pPr>
            <w:r>
              <w:rPr>
                <w:noProof/>
              </w:rPr>
              <w:t>16 - 4.5. Promouvoir la recherche et l'innovation - 16624_Création - Agrandissement - Mise à niveau des infrastructures des centres de recherche sous la supervision du Secrétariat général à la recherche et à l'innovation (GSRI)</w:t>
            </w:r>
          </w:p>
        </w:tc>
        <w:tc>
          <w:tcPr>
            <w:tcW w:w="1094" w:type="dxa"/>
            <w:tcBorders>
              <w:top w:val="nil"/>
              <w:left w:val="nil"/>
              <w:bottom w:val="single" w:sz="4" w:space="0" w:color="auto"/>
              <w:right w:val="single" w:sz="4" w:space="0" w:color="auto"/>
            </w:tcBorders>
            <w:shd w:val="clear" w:color="auto" w:fill="C6EFCE"/>
            <w:noWrap/>
          </w:tcPr>
          <w:p w14:paraId="29D9E6D8" w14:textId="77777777" w:rsidR="00A00259" w:rsidRDefault="00371282">
            <w:pPr>
              <w:pStyle w:val="P68B1DB1-Normal12"/>
              <w:spacing w:after="0" w:line="240" w:lineRule="auto"/>
              <w:rPr>
                <w:rFonts w:eastAsia="Times New Roman"/>
                <w:noProof/>
              </w:rPr>
            </w:pPr>
            <w:r>
              <w:rPr>
                <w:noProof/>
              </w:rPr>
              <w:t>Étape</w:t>
            </w:r>
          </w:p>
        </w:tc>
        <w:tc>
          <w:tcPr>
            <w:tcW w:w="1794" w:type="dxa"/>
            <w:tcBorders>
              <w:top w:val="nil"/>
              <w:left w:val="nil"/>
              <w:bottom w:val="single" w:sz="4" w:space="0" w:color="auto"/>
              <w:right w:val="single" w:sz="4" w:space="0" w:color="auto"/>
            </w:tcBorders>
            <w:shd w:val="clear" w:color="auto" w:fill="C6EFCE"/>
            <w:noWrap/>
          </w:tcPr>
          <w:p w14:paraId="2779A6EA" w14:textId="77777777" w:rsidR="00A00259" w:rsidRDefault="00371282">
            <w:pPr>
              <w:pStyle w:val="P68B1DB1-Normal12"/>
              <w:spacing w:after="0" w:line="240" w:lineRule="auto"/>
              <w:rPr>
                <w:rFonts w:eastAsia="Times New Roman"/>
                <w:noProof/>
              </w:rPr>
            </w:pPr>
            <w:r>
              <w:rPr>
                <w:noProof/>
              </w:rPr>
              <w:t>Attribution de marchés pour des centres de recherche - travaux de construction</w:t>
            </w:r>
          </w:p>
        </w:tc>
        <w:tc>
          <w:tcPr>
            <w:tcW w:w="1774" w:type="dxa"/>
            <w:tcBorders>
              <w:top w:val="nil"/>
              <w:left w:val="nil"/>
              <w:bottom w:val="single" w:sz="4" w:space="0" w:color="auto"/>
              <w:right w:val="single" w:sz="4" w:space="0" w:color="auto"/>
            </w:tcBorders>
            <w:shd w:val="clear" w:color="auto" w:fill="C6EFCE"/>
            <w:noWrap/>
          </w:tcPr>
          <w:p w14:paraId="01052C90" w14:textId="77777777" w:rsidR="00A00259" w:rsidRDefault="00371282">
            <w:pPr>
              <w:pStyle w:val="P68B1DB1-Normal12"/>
              <w:spacing w:after="0" w:line="240" w:lineRule="auto"/>
              <w:rPr>
                <w:rFonts w:eastAsia="Times New Roman"/>
                <w:noProof/>
              </w:rPr>
            </w:pPr>
            <w:r>
              <w:rPr>
                <w:noProof/>
              </w:rPr>
              <w:t>Notification de l'attribution de marchés pour des travaux de construction</w:t>
            </w:r>
          </w:p>
        </w:tc>
        <w:tc>
          <w:tcPr>
            <w:tcW w:w="960" w:type="dxa"/>
            <w:tcBorders>
              <w:top w:val="nil"/>
              <w:left w:val="nil"/>
              <w:bottom w:val="single" w:sz="4" w:space="0" w:color="auto"/>
              <w:right w:val="single" w:sz="4" w:space="0" w:color="auto"/>
            </w:tcBorders>
            <w:shd w:val="clear" w:color="auto" w:fill="C6EFCE"/>
            <w:noWrap/>
          </w:tcPr>
          <w:p w14:paraId="3E8B43B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0" w:type="dxa"/>
            <w:tcBorders>
              <w:top w:val="nil"/>
              <w:left w:val="nil"/>
              <w:bottom w:val="single" w:sz="4" w:space="0" w:color="auto"/>
              <w:right w:val="single" w:sz="4" w:space="0" w:color="auto"/>
            </w:tcBorders>
            <w:shd w:val="clear" w:color="auto" w:fill="C6EFCE"/>
            <w:noWrap/>
          </w:tcPr>
          <w:p w14:paraId="7FB18E2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00" w:type="dxa"/>
            <w:tcBorders>
              <w:top w:val="nil"/>
              <w:left w:val="nil"/>
              <w:bottom w:val="single" w:sz="4" w:space="0" w:color="auto"/>
              <w:right w:val="single" w:sz="4" w:space="0" w:color="auto"/>
            </w:tcBorders>
            <w:shd w:val="clear" w:color="auto" w:fill="C6EFCE"/>
            <w:noWrap/>
          </w:tcPr>
          <w:p w14:paraId="59A88A0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tcBorders>
              <w:top w:val="nil"/>
              <w:left w:val="nil"/>
              <w:bottom w:val="single" w:sz="4" w:space="0" w:color="auto"/>
              <w:right w:val="single" w:sz="4" w:space="0" w:color="auto"/>
            </w:tcBorders>
            <w:shd w:val="clear" w:color="auto" w:fill="C6EFCE"/>
            <w:noWrap/>
          </w:tcPr>
          <w:p w14:paraId="31C4DAA2" w14:textId="77777777" w:rsidR="00A00259" w:rsidRDefault="00371282">
            <w:pPr>
              <w:pStyle w:val="P68B1DB1-Normal12"/>
              <w:spacing w:after="0" w:line="240" w:lineRule="auto"/>
              <w:rPr>
                <w:rFonts w:eastAsia="Times New Roman"/>
                <w:noProof/>
              </w:rPr>
            </w:pPr>
            <w:r>
              <w:rPr>
                <w:noProof/>
              </w:rPr>
              <w:t>T1</w:t>
            </w:r>
          </w:p>
        </w:tc>
        <w:tc>
          <w:tcPr>
            <w:tcW w:w="709" w:type="dxa"/>
            <w:tcBorders>
              <w:top w:val="nil"/>
              <w:left w:val="nil"/>
              <w:bottom w:val="single" w:sz="4" w:space="0" w:color="auto"/>
              <w:right w:val="single" w:sz="4" w:space="0" w:color="auto"/>
            </w:tcBorders>
            <w:shd w:val="clear" w:color="auto" w:fill="C6EFCE"/>
            <w:noWrap/>
          </w:tcPr>
          <w:p w14:paraId="68043E62" w14:textId="77777777" w:rsidR="00A00259" w:rsidRDefault="00371282">
            <w:pPr>
              <w:pStyle w:val="P68B1DB1-Normal12"/>
              <w:spacing w:after="0" w:line="240" w:lineRule="auto"/>
              <w:rPr>
                <w:rFonts w:eastAsia="Times New Roman"/>
                <w:noProof/>
              </w:rPr>
            </w:pPr>
            <w:r>
              <w:rPr>
                <w:noProof/>
              </w:rPr>
              <w:t>2024</w:t>
            </w:r>
          </w:p>
        </w:tc>
        <w:tc>
          <w:tcPr>
            <w:tcW w:w="3670" w:type="dxa"/>
            <w:tcBorders>
              <w:top w:val="nil"/>
              <w:left w:val="nil"/>
              <w:bottom w:val="single" w:sz="4" w:space="0" w:color="auto"/>
              <w:right w:val="single" w:sz="4" w:space="0" w:color="auto"/>
            </w:tcBorders>
            <w:shd w:val="clear" w:color="auto" w:fill="C6EFCE"/>
            <w:noWrap/>
          </w:tcPr>
          <w:p w14:paraId="05DA2506" w14:textId="77777777" w:rsidR="00A00259" w:rsidRDefault="00371282">
            <w:pPr>
              <w:pStyle w:val="P68B1DB1-Normal12"/>
              <w:spacing w:after="0" w:line="240" w:lineRule="auto"/>
              <w:rPr>
                <w:noProof/>
              </w:rPr>
            </w:pPr>
            <w:r>
              <w:rPr>
                <w:noProof/>
              </w:rPr>
              <w:t>Notification de l'attribution de marchés pour des travaux de construction concernant les centres de recherche suivants: Fondation pour la recherche et la technologie Hellas; Centre de recherche et d'innovation Athena; BSRC Fleming; Centre de recherche et de technologie Hellas; Fondation nationale hellénique pour la recherche; Académie de la Fondation pour la recherche biomédicale d'Athènes; Observatoire national d'Athènes; Centre hellénique de recherche marine; Institut hellénique Pasteur.</w:t>
            </w:r>
          </w:p>
        </w:tc>
      </w:tr>
      <w:tr w:rsidR="00A00259" w14:paraId="22C2B827" w14:textId="77777777" w:rsidTr="00096954">
        <w:trPr>
          <w:trHeight w:val="309"/>
          <w:jc w:val="center"/>
        </w:trPr>
        <w:tc>
          <w:tcPr>
            <w:tcW w:w="594" w:type="dxa"/>
            <w:tcBorders>
              <w:top w:val="nil"/>
              <w:left w:val="single" w:sz="4" w:space="0" w:color="auto"/>
              <w:bottom w:val="single" w:sz="4" w:space="0" w:color="auto"/>
              <w:right w:val="single" w:sz="4" w:space="0" w:color="auto"/>
            </w:tcBorders>
            <w:shd w:val="clear" w:color="auto" w:fill="C6EFCE"/>
            <w:noWrap/>
          </w:tcPr>
          <w:p w14:paraId="34F73A1C" w14:textId="77777777" w:rsidR="00A00259" w:rsidRDefault="00371282">
            <w:pPr>
              <w:pStyle w:val="P68B1DB1-Normal12"/>
              <w:spacing w:after="0" w:line="240" w:lineRule="auto"/>
              <w:rPr>
                <w:rFonts w:eastAsia="Times New Roman"/>
                <w:noProof/>
              </w:rPr>
            </w:pPr>
            <w:r>
              <w:rPr>
                <w:noProof/>
              </w:rPr>
              <w:t>248</w:t>
            </w:r>
          </w:p>
        </w:tc>
        <w:tc>
          <w:tcPr>
            <w:tcW w:w="2571" w:type="dxa"/>
            <w:tcBorders>
              <w:top w:val="nil"/>
              <w:left w:val="nil"/>
              <w:bottom w:val="single" w:sz="4" w:space="0" w:color="auto"/>
              <w:right w:val="single" w:sz="4" w:space="0" w:color="auto"/>
            </w:tcBorders>
            <w:shd w:val="clear" w:color="auto" w:fill="C6EFCE"/>
            <w:noWrap/>
          </w:tcPr>
          <w:p w14:paraId="0B7D0B35" w14:textId="77777777" w:rsidR="00A00259" w:rsidRDefault="00371282">
            <w:pPr>
              <w:pStyle w:val="P68B1DB1-Normal12"/>
              <w:spacing w:after="0" w:line="240" w:lineRule="auto"/>
              <w:rPr>
                <w:rFonts w:eastAsia="Times New Roman"/>
                <w:noProof/>
              </w:rPr>
            </w:pPr>
            <w:r>
              <w:rPr>
                <w:noProof/>
              </w:rPr>
              <w:t>16 - 4.5. Promouvoir la recherche et l'innovation - 16654_ TH²ORAX: Trellis Holistic &amp; Système eXemplaire autonome robuste et opérationnel hybride</w:t>
            </w:r>
          </w:p>
        </w:tc>
        <w:tc>
          <w:tcPr>
            <w:tcW w:w="1094" w:type="dxa"/>
            <w:tcBorders>
              <w:top w:val="nil"/>
              <w:left w:val="nil"/>
              <w:bottom w:val="single" w:sz="4" w:space="0" w:color="auto"/>
              <w:right w:val="single" w:sz="4" w:space="0" w:color="auto"/>
            </w:tcBorders>
            <w:shd w:val="clear" w:color="auto" w:fill="C6EFCE"/>
            <w:noWrap/>
          </w:tcPr>
          <w:p w14:paraId="5723AB39" w14:textId="77777777" w:rsidR="00A00259" w:rsidRDefault="00371282">
            <w:pPr>
              <w:pStyle w:val="P68B1DB1-Normal12"/>
              <w:spacing w:after="0" w:line="240" w:lineRule="auto"/>
              <w:rPr>
                <w:rFonts w:eastAsia="Times New Roman"/>
                <w:noProof/>
              </w:rPr>
            </w:pPr>
            <w:r>
              <w:rPr>
                <w:noProof/>
              </w:rPr>
              <w:t>Étape</w:t>
            </w:r>
          </w:p>
        </w:tc>
        <w:tc>
          <w:tcPr>
            <w:tcW w:w="1794" w:type="dxa"/>
            <w:tcBorders>
              <w:top w:val="nil"/>
              <w:left w:val="nil"/>
              <w:bottom w:val="single" w:sz="4" w:space="0" w:color="auto"/>
              <w:right w:val="single" w:sz="4" w:space="0" w:color="auto"/>
            </w:tcBorders>
            <w:shd w:val="clear" w:color="auto" w:fill="C6EFCE"/>
            <w:noWrap/>
          </w:tcPr>
          <w:p w14:paraId="0E6C81AD" w14:textId="77777777" w:rsidR="00A00259" w:rsidRDefault="00371282">
            <w:pPr>
              <w:pStyle w:val="P68B1DB1-Normal12"/>
              <w:spacing w:after="0" w:line="240" w:lineRule="auto"/>
              <w:rPr>
                <w:rFonts w:eastAsia="Times New Roman"/>
                <w:noProof/>
              </w:rPr>
            </w:pPr>
            <w:r>
              <w:rPr>
                <w:noProof/>
              </w:rPr>
              <w:t>Attribution des marchés pour TH²ORAX</w:t>
            </w:r>
          </w:p>
        </w:tc>
        <w:tc>
          <w:tcPr>
            <w:tcW w:w="1774" w:type="dxa"/>
            <w:tcBorders>
              <w:top w:val="nil"/>
              <w:left w:val="nil"/>
              <w:bottom w:val="single" w:sz="4" w:space="0" w:color="auto"/>
              <w:right w:val="single" w:sz="4" w:space="0" w:color="auto"/>
            </w:tcBorders>
            <w:shd w:val="clear" w:color="auto" w:fill="C6EFCE"/>
            <w:noWrap/>
          </w:tcPr>
          <w:p w14:paraId="73B786C3" w14:textId="77777777" w:rsidR="00A00259" w:rsidRDefault="00371282">
            <w:pPr>
              <w:pStyle w:val="P68B1DB1-Normal12"/>
              <w:spacing w:after="0" w:line="240" w:lineRule="auto"/>
              <w:rPr>
                <w:rFonts w:eastAsia="Times New Roman"/>
                <w:noProof/>
              </w:rPr>
            </w:pPr>
            <w:r>
              <w:rPr>
                <w:noProof/>
              </w:rPr>
              <w:t>Notification de l'attribution des marchés</w:t>
            </w:r>
          </w:p>
        </w:tc>
        <w:tc>
          <w:tcPr>
            <w:tcW w:w="960" w:type="dxa"/>
            <w:tcBorders>
              <w:top w:val="nil"/>
              <w:left w:val="nil"/>
              <w:bottom w:val="single" w:sz="4" w:space="0" w:color="auto"/>
              <w:right w:val="single" w:sz="4" w:space="0" w:color="auto"/>
            </w:tcBorders>
            <w:shd w:val="clear" w:color="auto" w:fill="C6EFCE"/>
            <w:noWrap/>
          </w:tcPr>
          <w:p w14:paraId="62B9DA8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0" w:type="dxa"/>
            <w:tcBorders>
              <w:top w:val="nil"/>
              <w:left w:val="nil"/>
              <w:bottom w:val="single" w:sz="4" w:space="0" w:color="auto"/>
              <w:right w:val="single" w:sz="4" w:space="0" w:color="auto"/>
            </w:tcBorders>
            <w:shd w:val="clear" w:color="auto" w:fill="C6EFCE"/>
            <w:noWrap/>
          </w:tcPr>
          <w:p w14:paraId="0F01584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00" w:type="dxa"/>
            <w:tcBorders>
              <w:top w:val="nil"/>
              <w:left w:val="nil"/>
              <w:bottom w:val="single" w:sz="4" w:space="0" w:color="auto"/>
              <w:right w:val="single" w:sz="4" w:space="0" w:color="auto"/>
            </w:tcBorders>
            <w:shd w:val="clear" w:color="auto" w:fill="C6EFCE"/>
            <w:noWrap/>
          </w:tcPr>
          <w:p w14:paraId="41A3FFC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tcBorders>
              <w:top w:val="nil"/>
              <w:left w:val="nil"/>
              <w:bottom w:val="single" w:sz="4" w:space="0" w:color="auto"/>
              <w:right w:val="single" w:sz="4" w:space="0" w:color="auto"/>
            </w:tcBorders>
            <w:shd w:val="clear" w:color="auto" w:fill="C6EFCE"/>
            <w:noWrap/>
          </w:tcPr>
          <w:p w14:paraId="4B9804F4" w14:textId="77777777" w:rsidR="00A00259" w:rsidRDefault="00371282">
            <w:pPr>
              <w:pStyle w:val="P68B1DB1-Normal12"/>
              <w:spacing w:after="0" w:line="240" w:lineRule="auto"/>
              <w:rPr>
                <w:rFonts w:eastAsia="Times New Roman"/>
                <w:noProof/>
              </w:rPr>
            </w:pPr>
            <w:r>
              <w:rPr>
                <w:noProof/>
              </w:rPr>
              <w:t>T2</w:t>
            </w:r>
          </w:p>
        </w:tc>
        <w:tc>
          <w:tcPr>
            <w:tcW w:w="709" w:type="dxa"/>
            <w:tcBorders>
              <w:top w:val="nil"/>
              <w:left w:val="nil"/>
              <w:bottom w:val="single" w:sz="4" w:space="0" w:color="auto"/>
              <w:right w:val="single" w:sz="4" w:space="0" w:color="auto"/>
            </w:tcBorders>
            <w:shd w:val="clear" w:color="auto" w:fill="C6EFCE"/>
            <w:noWrap/>
          </w:tcPr>
          <w:p w14:paraId="2202DD0F" w14:textId="77777777" w:rsidR="00A00259" w:rsidRDefault="00371282">
            <w:pPr>
              <w:pStyle w:val="P68B1DB1-Normal12"/>
              <w:spacing w:after="0" w:line="240" w:lineRule="auto"/>
              <w:rPr>
                <w:rFonts w:eastAsia="Times New Roman"/>
                <w:noProof/>
              </w:rPr>
            </w:pPr>
            <w:r>
              <w:rPr>
                <w:noProof/>
              </w:rPr>
              <w:t>2024</w:t>
            </w:r>
          </w:p>
        </w:tc>
        <w:tc>
          <w:tcPr>
            <w:tcW w:w="3670" w:type="dxa"/>
            <w:tcBorders>
              <w:top w:val="nil"/>
              <w:left w:val="nil"/>
              <w:bottom w:val="single" w:sz="4" w:space="0" w:color="auto"/>
              <w:right w:val="single" w:sz="4" w:space="0" w:color="auto"/>
            </w:tcBorders>
            <w:shd w:val="clear" w:color="auto" w:fill="C6EFCE"/>
            <w:noWrap/>
          </w:tcPr>
          <w:p w14:paraId="62E748D0" w14:textId="77777777" w:rsidR="00A00259" w:rsidRDefault="00371282">
            <w:pPr>
              <w:pStyle w:val="P68B1DB1-Normal12"/>
              <w:spacing w:after="0" w:line="240" w:lineRule="auto"/>
              <w:rPr>
                <w:rFonts w:eastAsia="Times New Roman"/>
                <w:noProof/>
              </w:rPr>
            </w:pPr>
            <w:r>
              <w:rPr>
                <w:noProof/>
              </w:rPr>
              <w:t>Attribution de contrats pour le projet TH²ORAX.</w:t>
            </w:r>
          </w:p>
          <w:p w14:paraId="5DE12E86" w14:textId="77777777" w:rsidR="00A00259" w:rsidRDefault="00371282">
            <w:pPr>
              <w:pStyle w:val="P68B1DB1-Normal12"/>
              <w:spacing w:after="0" w:line="240" w:lineRule="auto"/>
              <w:rPr>
                <w:rFonts w:eastAsia="Times New Roman"/>
                <w:noProof/>
              </w:rPr>
            </w:pPr>
            <w:r>
              <w:rPr>
                <w:noProof/>
              </w:rPr>
              <w:t xml:space="preserve">Le ministère du Développement et des Investissements ainsi que le Secrétariat général à la recherche et à l'innovation (GSRI) sont responsables de la mise en œuvre effective du processus d'évaluation. Le ou les marchés seront attribués sur la base du meilleur rapport qualité/prix. </w:t>
            </w:r>
          </w:p>
        </w:tc>
      </w:tr>
      <w:tr w:rsidR="00A00259" w14:paraId="7AF6974C" w14:textId="77777777" w:rsidTr="00096954">
        <w:trPr>
          <w:trHeight w:val="309"/>
          <w:jc w:val="center"/>
        </w:trPr>
        <w:tc>
          <w:tcPr>
            <w:tcW w:w="594" w:type="dxa"/>
            <w:tcBorders>
              <w:top w:val="single" w:sz="4" w:space="0" w:color="auto"/>
              <w:left w:val="single" w:sz="4" w:space="0" w:color="auto"/>
              <w:bottom w:val="single" w:sz="4" w:space="0" w:color="auto"/>
              <w:right w:val="single" w:sz="4" w:space="0" w:color="auto"/>
            </w:tcBorders>
            <w:shd w:val="clear" w:color="auto" w:fill="C6EFCE"/>
            <w:noWrap/>
          </w:tcPr>
          <w:p w14:paraId="231F721B" w14:textId="77777777" w:rsidR="00A00259" w:rsidRDefault="00371282">
            <w:pPr>
              <w:pStyle w:val="P68B1DB1-Normal12"/>
              <w:spacing w:after="0" w:line="240" w:lineRule="auto"/>
              <w:rPr>
                <w:rFonts w:eastAsia="Times New Roman"/>
                <w:noProof/>
              </w:rPr>
            </w:pPr>
            <w:r>
              <w:rPr>
                <w:noProof/>
              </w:rPr>
              <w:t>249</w:t>
            </w:r>
          </w:p>
        </w:tc>
        <w:tc>
          <w:tcPr>
            <w:tcW w:w="2571" w:type="dxa"/>
            <w:tcBorders>
              <w:top w:val="single" w:sz="4" w:space="0" w:color="auto"/>
              <w:left w:val="nil"/>
              <w:bottom w:val="single" w:sz="4" w:space="0" w:color="auto"/>
              <w:right w:val="single" w:sz="4" w:space="0" w:color="auto"/>
            </w:tcBorders>
            <w:shd w:val="clear" w:color="auto" w:fill="C6EFCE"/>
            <w:noWrap/>
          </w:tcPr>
          <w:p w14:paraId="086949A8" w14:textId="77777777" w:rsidR="00A00259" w:rsidRDefault="00371282">
            <w:pPr>
              <w:pStyle w:val="P68B1DB1-Normal12"/>
              <w:spacing w:after="0" w:line="240" w:lineRule="auto"/>
              <w:rPr>
                <w:rFonts w:eastAsia="Times New Roman"/>
                <w:noProof/>
              </w:rPr>
            </w:pPr>
            <w:r>
              <w:rPr>
                <w:noProof/>
              </w:rPr>
              <w:t>16 - 4.5. Promouvoir la recherche et l'innovation - 16624_Création - Expansion - Mise à niveau des infrastructures des centres de recherche supervisée par le Secrétariat général à la recherche et à l'innovation (GSRI)</w:t>
            </w:r>
          </w:p>
        </w:tc>
        <w:tc>
          <w:tcPr>
            <w:tcW w:w="1094" w:type="dxa"/>
            <w:tcBorders>
              <w:top w:val="single" w:sz="4" w:space="0" w:color="auto"/>
              <w:left w:val="nil"/>
              <w:bottom w:val="single" w:sz="4" w:space="0" w:color="auto"/>
              <w:right w:val="single" w:sz="4" w:space="0" w:color="auto"/>
            </w:tcBorders>
            <w:shd w:val="clear" w:color="auto" w:fill="C6EFCE"/>
            <w:noWrap/>
          </w:tcPr>
          <w:p w14:paraId="4A3B6F53" w14:textId="77777777" w:rsidR="00A00259" w:rsidRDefault="00371282">
            <w:pPr>
              <w:pStyle w:val="P68B1DB1-Normal12"/>
              <w:spacing w:after="0" w:line="240" w:lineRule="auto"/>
              <w:rPr>
                <w:rFonts w:eastAsia="Times New Roman"/>
                <w:noProof/>
              </w:rPr>
            </w:pPr>
            <w:r>
              <w:rPr>
                <w:noProof/>
              </w:rPr>
              <w:t>Étape</w:t>
            </w:r>
          </w:p>
        </w:tc>
        <w:tc>
          <w:tcPr>
            <w:tcW w:w="1794" w:type="dxa"/>
            <w:tcBorders>
              <w:top w:val="single" w:sz="4" w:space="0" w:color="auto"/>
              <w:left w:val="nil"/>
              <w:bottom w:val="single" w:sz="4" w:space="0" w:color="auto"/>
              <w:right w:val="single" w:sz="4" w:space="0" w:color="auto"/>
            </w:tcBorders>
            <w:shd w:val="clear" w:color="auto" w:fill="C6EFCE"/>
            <w:noWrap/>
          </w:tcPr>
          <w:p w14:paraId="652A8CF4" w14:textId="51269DB3" w:rsidR="00A00259" w:rsidRDefault="00371282">
            <w:pPr>
              <w:pStyle w:val="P68B1DB1-Normal12"/>
              <w:spacing w:after="0" w:line="240" w:lineRule="auto"/>
              <w:rPr>
                <w:rFonts w:eastAsia="Times New Roman"/>
                <w:noProof/>
              </w:rPr>
            </w:pPr>
            <w:r>
              <w:rPr>
                <w:noProof/>
              </w:rPr>
              <w:t>Réalisation de projets concernant des centres de recherche</w:t>
            </w:r>
          </w:p>
        </w:tc>
        <w:tc>
          <w:tcPr>
            <w:tcW w:w="1774" w:type="dxa"/>
            <w:tcBorders>
              <w:top w:val="single" w:sz="4" w:space="0" w:color="auto"/>
              <w:left w:val="nil"/>
              <w:bottom w:val="single" w:sz="4" w:space="0" w:color="auto"/>
              <w:right w:val="single" w:sz="4" w:space="0" w:color="auto"/>
            </w:tcBorders>
            <w:shd w:val="clear" w:color="auto" w:fill="C6EFCE"/>
            <w:noWrap/>
          </w:tcPr>
          <w:p w14:paraId="2C6E699F" w14:textId="517CB75D" w:rsidR="00A00259" w:rsidRDefault="00371282">
            <w:pPr>
              <w:pStyle w:val="P68B1DB1-Normal12"/>
              <w:spacing w:after="0" w:line="240" w:lineRule="auto"/>
              <w:rPr>
                <w:rFonts w:eastAsia="Times New Roman"/>
                <w:noProof/>
              </w:rPr>
            </w:pPr>
            <w:r>
              <w:rPr>
                <w:noProof/>
              </w:rPr>
              <w:t>Réalisation de projets concernant des centres de recherche</w:t>
            </w:r>
          </w:p>
        </w:tc>
        <w:tc>
          <w:tcPr>
            <w:tcW w:w="960" w:type="dxa"/>
            <w:tcBorders>
              <w:top w:val="single" w:sz="4" w:space="0" w:color="auto"/>
              <w:left w:val="nil"/>
              <w:bottom w:val="single" w:sz="4" w:space="0" w:color="auto"/>
              <w:right w:val="single" w:sz="4" w:space="0" w:color="auto"/>
            </w:tcBorders>
            <w:shd w:val="clear" w:color="auto" w:fill="C6EFCE"/>
            <w:noWrap/>
          </w:tcPr>
          <w:p w14:paraId="22D6D1B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0" w:type="dxa"/>
            <w:tcBorders>
              <w:top w:val="single" w:sz="4" w:space="0" w:color="auto"/>
              <w:left w:val="nil"/>
              <w:bottom w:val="single" w:sz="4" w:space="0" w:color="auto"/>
              <w:right w:val="single" w:sz="4" w:space="0" w:color="auto"/>
            </w:tcBorders>
            <w:shd w:val="clear" w:color="auto" w:fill="C6EFCE"/>
            <w:noWrap/>
          </w:tcPr>
          <w:p w14:paraId="2637B12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00" w:type="dxa"/>
            <w:tcBorders>
              <w:top w:val="single" w:sz="4" w:space="0" w:color="auto"/>
              <w:left w:val="nil"/>
              <w:bottom w:val="single" w:sz="4" w:space="0" w:color="auto"/>
              <w:right w:val="single" w:sz="4" w:space="0" w:color="auto"/>
            </w:tcBorders>
            <w:shd w:val="clear" w:color="auto" w:fill="C6EFCE"/>
            <w:noWrap/>
          </w:tcPr>
          <w:p w14:paraId="4194A31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7E41E62C" w14:textId="77777777" w:rsidR="00A00259" w:rsidRDefault="00371282">
            <w:pPr>
              <w:pStyle w:val="P68B1DB1-Normal12"/>
              <w:spacing w:after="0" w:line="240" w:lineRule="auto"/>
              <w:rPr>
                <w:rFonts w:eastAsia="Times New Roman"/>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41281BFF" w14:textId="77777777" w:rsidR="00A00259" w:rsidRDefault="00371282">
            <w:pPr>
              <w:pStyle w:val="P68B1DB1-Normal12"/>
              <w:spacing w:after="0" w:line="240" w:lineRule="auto"/>
              <w:rPr>
                <w:rFonts w:eastAsia="Times New Roman"/>
                <w:noProof/>
              </w:rPr>
            </w:pPr>
            <w:r>
              <w:rPr>
                <w:noProof/>
              </w:rPr>
              <w:t>2025</w:t>
            </w:r>
          </w:p>
        </w:tc>
        <w:tc>
          <w:tcPr>
            <w:tcW w:w="3670" w:type="dxa"/>
            <w:tcBorders>
              <w:top w:val="single" w:sz="4" w:space="0" w:color="auto"/>
              <w:left w:val="nil"/>
              <w:bottom w:val="single" w:sz="4" w:space="0" w:color="auto"/>
              <w:right w:val="single" w:sz="4" w:space="0" w:color="auto"/>
            </w:tcBorders>
            <w:shd w:val="clear" w:color="auto" w:fill="C6EFCE"/>
            <w:noWrap/>
          </w:tcPr>
          <w:p w14:paraId="3AC6E2C6" w14:textId="389354BC" w:rsidR="00A00259" w:rsidRDefault="00371282">
            <w:pPr>
              <w:pStyle w:val="P68B1DB1-Normal12"/>
              <w:spacing w:after="0" w:line="240" w:lineRule="auto"/>
              <w:rPr>
                <w:rFonts w:eastAsia="Times New Roman"/>
                <w:noProof/>
              </w:rPr>
            </w:pPr>
            <w:r>
              <w:rPr>
                <w:noProof/>
              </w:rPr>
              <w:t>Réalisation d'au moins 280 projets concernant les centres de recherche suivants: Fondation pour la recherche et la technologie Hellas; Centre de recherche et d'innovation Athena; BSRC Fleming; Centre de recherche et de technologie Hellas; Fondation nationale hellénique pour la recherche; Académie de la Fondation pour la recherche biomédicale d'Athènes; Observatoire national d'Athènes; Centre hellénique de recherche marine; Institut hellénique Pasteur; Centre national de recherche sociale; Commission grecque de l'énergie atomique.</w:t>
            </w:r>
          </w:p>
        </w:tc>
      </w:tr>
      <w:tr w:rsidR="00A00259" w14:paraId="540D6DBB" w14:textId="77777777" w:rsidTr="00096954">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C6EFCE"/>
          </w:tcPr>
          <w:p w14:paraId="611748DA" w14:textId="77777777" w:rsidR="00A00259" w:rsidRDefault="00371282">
            <w:pPr>
              <w:pStyle w:val="P68B1DB1-Normal12"/>
              <w:spacing w:after="0" w:line="240" w:lineRule="auto"/>
              <w:rPr>
                <w:rFonts w:eastAsia="Times New Roman"/>
                <w:noProof/>
              </w:rPr>
            </w:pPr>
            <w:r>
              <w:rPr>
                <w:noProof/>
              </w:rPr>
              <w:t>250</w:t>
            </w:r>
          </w:p>
        </w:tc>
        <w:tc>
          <w:tcPr>
            <w:tcW w:w="2571" w:type="dxa"/>
            <w:tcBorders>
              <w:top w:val="single" w:sz="4" w:space="0" w:color="auto"/>
              <w:left w:val="nil"/>
              <w:bottom w:val="single" w:sz="4" w:space="0" w:color="auto"/>
              <w:right w:val="single" w:sz="4" w:space="0" w:color="auto"/>
            </w:tcBorders>
            <w:shd w:val="clear" w:color="auto" w:fill="C6EFCE"/>
          </w:tcPr>
          <w:p w14:paraId="5552B1FB" w14:textId="77777777" w:rsidR="00A00259" w:rsidRDefault="00371282">
            <w:pPr>
              <w:pStyle w:val="P68B1DB1-Normal12"/>
              <w:spacing w:after="0" w:line="240" w:lineRule="auto"/>
              <w:rPr>
                <w:rFonts w:eastAsia="Times New Roman"/>
                <w:noProof/>
              </w:rPr>
            </w:pPr>
            <w:r>
              <w:rPr>
                <w:noProof/>
              </w:rPr>
              <w:t>16 - 4.5. Promouvoir la recherche et l'innovation - 16618_Basic &amp; Recherche appliquée</w:t>
            </w:r>
          </w:p>
        </w:tc>
        <w:tc>
          <w:tcPr>
            <w:tcW w:w="1094" w:type="dxa"/>
            <w:tcBorders>
              <w:top w:val="single" w:sz="4" w:space="0" w:color="auto"/>
              <w:left w:val="nil"/>
              <w:bottom w:val="single" w:sz="4" w:space="0" w:color="auto"/>
              <w:right w:val="single" w:sz="4" w:space="0" w:color="auto"/>
            </w:tcBorders>
            <w:shd w:val="clear" w:color="auto" w:fill="C6EFCE"/>
          </w:tcPr>
          <w:p w14:paraId="6082BB67" w14:textId="77777777" w:rsidR="00A00259" w:rsidRDefault="00371282">
            <w:pPr>
              <w:pStyle w:val="P68B1DB1-Normal12"/>
              <w:spacing w:after="0" w:line="240" w:lineRule="auto"/>
              <w:rPr>
                <w:rFonts w:eastAsia="Times New Roman"/>
                <w:noProof/>
              </w:rPr>
            </w:pPr>
            <w:r>
              <w:rPr>
                <w:noProof/>
              </w:rPr>
              <w:t>Étape</w:t>
            </w:r>
          </w:p>
        </w:tc>
        <w:tc>
          <w:tcPr>
            <w:tcW w:w="1794" w:type="dxa"/>
            <w:tcBorders>
              <w:top w:val="single" w:sz="4" w:space="0" w:color="auto"/>
              <w:left w:val="nil"/>
              <w:bottom w:val="single" w:sz="4" w:space="0" w:color="auto"/>
              <w:right w:val="single" w:sz="4" w:space="0" w:color="auto"/>
            </w:tcBorders>
            <w:shd w:val="clear" w:color="auto" w:fill="C6EFCE"/>
          </w:tcPr>
          <w:p w14:paraId="125C5ABA" w14:textId="08B5FDEF" w:rsidR="00A00259" w:rsidRDefault="00371282">
            <w:pPr>
              <w:pStyle w:val="P68B1DB1-Normal12"/>
              <w:spacing w:after="0" w:line="240" w:lineRule="auto"/>
              <w:rPr>
                <w:rFonts w:eastAsia="Times New Roman"/>
                <w:noProof/>
              </w:rPr>
            </w:pPr>
            <w:r>
              <w:rPr>
                <w:noProof/>
              </w:rPr>
              <w:t>Livraison de projets de recherche fondamentale &amp; appliquée</w:t>
            </w:r>
          </w:p>
        </w:tc>
        <w:tc>
          <w:tcPr>
            <w:tcW w:w="1774" w:type="dxa"/>
            <w:tcBorders>
              <w:top w:val="single" w:sz="4" w:space="0" w:color="auto"/>
              <w:left w:val="nil"/>
              <w:bottom w:val="single" w:sz="4" w:space="0" w:color="auto"/>
              <w:right w:val="single" w:sz="4" w:space="0" w:color="auto"/>
            </w:tcBorders>
            <w:shd w:val="clear" w:color="auto" w:fill="C6EFCE"/>
          </w:tcPr>
          <w:p w14:paraId="7C115228" w14:textId="48DB6D26" w:rsidR="00A00259" w:rsidRDefault="00371282">
            <w:pPr>
              <w:pStyle w:val="P68B1DB1-Normal12"/>
              <w:spacing w:after="0" w:line="240" w:lineRule="auto"/>
              <w:rPr>
                <w:rFonts w:eastAsia="Times New Roman"/>
                <w:noProof/>
              </w:rPr>
            </w:pPr>
            <w:r>
              <w:rPr>
                <w:noProof/>
              </w:rPr>
              <w:t>Livraison de projets de recherche fondamentale &amp; appliquée</w:t>
            </w:r>
          </w:p>
        </w:tc>
        <w:tc>
          <w:tcPr>
            <w:tcW w:w="960" w:type="dxa"/>
            <w:tcBorders>
              <w:top w:val="single" w:sz="4" w:space="0" w:color="auto"/>
              <w:left w:val="nil"/>
              <w:bottom w:val="single" w:sz="4" w:space="0" w:color="auto"/>
              <w:right w:val="single" w:sz="4" w:space="0" w:color="auto"/>
            </w:tcBorders>
            <w:shd w:val="clear" w:color="auto" w:fill="C6EFCE"/>
          </w:tcPr>
          <w:p w14:paraId="3F89B86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0" w:type="dxa"/>
            <w:tcBorders>
              <w:top w:val="single" w:sz="4" w:space="0" w:color="auto"/>
              <w:left w:val="nil"/>
              <w:bottom w:val="single" w:sz="4" w:space="0" w:color="auto"/>
              <w:right w:val="single" w:sz="4" w:space="0" w:color="auto"/>
            </w:tcBorders>
            <w:shd w:val="clear" w:color="auto" w:fill="C6EFCE"/>
          </w:tcPr>
          <w:p w14:paraId="2174023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00" w:type="dxa"/>
            <w:tcBorders>
              <w:top w:val="single" w:sz="4" w:space="0" w:color="auto"/>
              <w:left w:val="nil"/>
              <w:bottom w:val="single" w:sz="4" w:space="0" w:color="auto"/>
              <w:right w:val="single" w:sz="4" w:space="0" w:color="auto"/>
            </w:tcBorders>
            <w:shd w:val="clear" w:color="auto" w:fill="C6EFCE"/>
          </w:tcPr>
          <w:p w14:paraId="7A86A83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tcPr>
          <w:p w14:paraId="1AEF24F6" w14:textId="77777777" w:rsidR="00A00259" w:rsidRDefault="00371282">
            <w:pPr>
              <w:pStyle w:val="P68B1DB1-Normal12"/>
              <w:spacing w:after="0" w:line="240" w:lineRule="auto"/>
              <w:rPr>
                <w:rFonts w:eastAsia="Times New Roman"/>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tcPr>
          <w:p w14:paraId="6369BE04" w14:textId="77777777" w:rsidR="00A00259" w:rsidRDefault="00371282">
            <w:pPr>
              <w:pStyle w:val="P68B1DB1-Normal12"/>
              <w:spacing w:after="0" w:line="240" w:lineRule="auto"/>
              <w:rPr>
                <w:rFonts w:eastAsia="Times New Roman"/>
                <w:noProof/>
              </w:rPr>
            </w:pPr>
            <w:r>
              <w:rPr>
                <w:noProof/>
              </w:rPr>
              <w:t>2025</w:t>
            </w:r>
          </w:p>
        </w:tc>
        <w:tc>
          <w:tcPr>
            <w:tcW w:w="3670" w:type="dxa"/>
            <w:tcBorders>
              <w:top w:val="single" w:sz="4" w:space="0" w:color="auto"/>
              <w:left w:val="nil"/>
              <w:bottom w:val="single" w:sz="4" w:space="0" w:color="auto"/>
              <w:right w:val="single" w:sz="4" w:space="0" w:color="auto"/>
            </w:tcBorders>
            <w:shd w:val="clear" w:color="auto" w:fill="C6EFCE"/>
          </w:tcPr>
          <w:p w14:paraId="211734C2" w14:textId="24F734E8" w:rsidR="00A00259" w:rsidRDefault="00371282">
            <w:pPr>
              <w:pStyle w:val="P68B1DB1-Normal12"/>
              <w:spacing w:after="0" w:line="240" w:lineRule="auto"/>
              <w:rPr>
                <w:rFonts w:eastAsia="Times New Roman"/>
                <w:noProof/>
              </w:rPr>
            </w:pPr>
            <w:r>
              <w:rPr>
                <w:noProof/>
              </w:rPr>
              <w:t xml:space="preserve">Réalisation des projets suivants: </w:t>
            </w:r>
          </w:p>
          <w:p w14:paraId="4C9E2CF8" w14:textId="0A65401F" w:rsidR="00A00259" w:rsidRDefault="00371282">
            <w:pPr>
              <w:pStyle w:val="P68B1DB1-ListParagraph34"/>
              <w:numPr>
                <w:ilvl w:val="0"/>
                <w:numId w:val="97"/>
              </w:numPr>
              <w:spacing w:after="0" w:line="240" w:lineRule="auto"/>
              <w:rPr>
                <w:rFonts w:eastAsia="Times New Roman"/>
                <w:noProof/>
              </w:rPr>
            </w:pPr>
            <w:r>
              <w:rPr>
                <w:noProof/>
              </w:rPr>
              <w:t>269 projets de financement de la recherche fondamentale;</w:t>
            </w:r>
          </w:p>
          <w:p w14:paraId="4AE7C141" w14:textId="3B4E2B7A" w:rsidR="00A00259" w:rsidRDefault="00371282">
            <w:pPr>
              <w:pStyle w:val="P68B1DB1-ListParagraph34"/>
              <w:numPr>
                <w:ilvl w:val="0"/>
                <w:numId w:val="97"/>
              </w:numPr>
              <w:spacing w:after="0" w:line="240" w:lineRule="auto"/>
              <w:rPr>
                <w:rFonts w:eastAsia="Times New Roman"/>
                <w:noProof/>
              </w:rPr>
            </w:pPr>
            <w:r>
              <w:rPr>
                <w:noProof/>
              </w:rPr>
              <w:t>8 projets de recherche phares;</w:t>
            </w:r>
          </w:p>
          <w:p w14:paraId="1BC7792F" w14:textId="0A171531" w:rsidR="00A00259" w:rsidRDefault="00371282">
            <w:pPr>
              <w:pStyle w:val="P68B1DB1-ListParagraph34"/>
              <w:numPr>
                <w:ilvl w:val="0"/>
                <w:numId w:val="97"/>
              </w:numPr>
              <w:spacing w:after="0" w:line="240" w:lineRule="auto"/>
              <w:rPr>
                <w:rFonts w:eastAsia="Times New Roman"/>
                <w:noProof/>
              </w:rPr>
            </w:pPr>
            <w:r>
              <w:rPr>
                <w:noProof/>
              </w:rPr>
              <w:t xml:space="preserve">Projet mis en œuvre par l'unité Archimedes concernant la recherche sur l'intelligence artificielle, la science des données et les algorithmes </w:t>
            </w:r>
          </w:p>
          <w:p w14:paraId="6AAB98AF" w14:textId="700B8DE0" w:rsidR="00A00259" w:rsidRDefault="00371282">
            <w:pPr>
              <w:pStyle w:val="P68B1DB1-ListParagraph34"/>
              <w:numPr>
                <w:ilvl w:val="0"/>
                <w:numId w:val="97"/>
              </w:numPr>
              <w:spacing w:after="0" w:line="240" w:lineRule="auto"/>
              <w:rPr>
                <w:rFonts w:eastAsia="Times New Roman"/>
                <w:noProof/>
              </w:rPr>
            </w:pPr>
            <w:r>
              <w:rPr>
                <w:noProof/>
              </w:rPr>
              <w:t>Participation aux partenariats européens pour le calcul à haute performance (Euro-HPC) et aux technologies numériques clés (17 partenariats).</w:t>
            </w:r>
          </w:p>
        </w:tc>
      </w:tr>
      <w:tr w:rsidR="00A00259" w14:paraId="78105B7A" w14:textId="77777777" w:rsidTr="00096954">
        <w:trPr>
          <w:trHeight w:val="309"/>
          <w:jc w:val="center"/>
        </w:trPr>
        <w:tc>
          <w:tcPr>
            <w:tcW w:w="594" w:type="dxa"/>
            <w:tcBorders>
              <w:top w:val="single" w:sz="4" w:space="0" w:color="auto"/>
              <w:left w:val="single" w:sz="4" w:space="0" w:color="auto"/>
              <w:bottom w:val="single" w:sz="4" w:space="0" w:color="auto"/>
              <w:right w:val="single" w:sz="4" w:space="0" w:color="auto"/>
            </w:tcBorders>
            <w:shd w:val="clear" w:color="auto" w:fill="C6EFCE"/>
            <w:noWrap/>
          </w:tcPr>
          <w:p w14:paraId="223777F3" w14:textId="77777777" w:rsidR="00A00259" w:rsidRDefault="00371282">
            <w:pPr>
              <w:pStyle w:val="P68B1DB1-Normal12"/>
              <w:spacing w:after="0" w:line="240" w:lineRule="auto"/>
              <w:rPr>
                <w:rFonts w:eastAsia="Times New Roman"/>
                <w:noProof/>
              </w:rPr>
            </w:pPr>
            <w:r>
              <w:rPr>
                <w:noProof/>
              </w:rPr>
              <w:t>251</w:t>
            </w:r>
          </w:p>
        </w:tc>
        <w:tc>
          <w:tcPr>
            <w:tcW w:w="2571" w:type="dxa"/>
            <w:tcBorders>
              <w:top w:val="single" w:sz="4" w:space="0" w:color="auto"/>
              <w:left w:val="nil"/>
              <w:bottom w:val="single" w:sz="4" w:space="0" w:color="auto"/>
              <w:right w:val="single" w:sz="4" w:space="0" w:color="auto"/>
            </w:tcBorders>
            <w:shd w:val="clear" w:color="auto" w:fill="C6EFCE"/>
            <w:noWrap/>
          </w:tcPr>
          <w:p w14:paraId="45017706" w14:textId="77777777" w:rsidR="00A00259" w:rsidRDefault="00371282">
            <w:pPr>
              <w:pStyle w:val="P68B1DB1-Normal12"/>
              <w:spacing w:after="0" w:line="240" w:lineRule="auto"/>
              <w:rPr>
                <w:rFonts w:eastAsia="Times New Roman"/>
                <w:noProof/>
              </w:rPr>
            </w:pPr>
            <w:r>
              <w:rPr>
                <w:noProof/>
              </w:rPr>
              <w:t>16 - 4.5. Promouvoir la recherche et l'innovation - 16654_TH 2 ORAX: Trellis Holistic &amp; Système eXemplaire autonome robuste et opérationnel hybride</w:t>
            </w:r>
          </w:p>
        </w:tc>
        <w:tc>
          <w:tcPr>
            <w:tcW w:w="1094" w:type="dxa"/>
            <w:tcBorders>
              <w:top w:val="single" w:sz="4" w:space="0" w:color="auto"/>
              <w:left w:val="nil"/>
              <w:bottom w:val="single" w:sz="4" w:space="0" w:color="auto"/>
              <w:right w:val="single" w:sz="4" w:space="0" w:color="auto"/>
            </w:tcBorders>
            <w:shd w:val="clear" w:color="auto" w:fill="C6EFCE"/>
            <w:noWrap/>
          </w:tcPr>
          <w:p w14:paraId="64400189" w14:textId="77777777" w:rsidR="00A00259" w:rsidRDefault="00371282">
            <w:pPr>
              <w:pStyle w:val="P68B1DB1-Normal12"/>
              <w:spacing w:after="0" w:line="240" w:lineRule="auto"/>
              <w:rPr>
                <w:rFonts w:eastAsia="Times New Roman"/>
                <w:noProof/>
              </w:rPr>
            </w:pPr>
            <w:r>
              <w:rPr>
                <w:noProof/>
              </w:rPr>
              <w:t>Étape</w:t>
            </w:r>
          </w:p>
        </w:tc>
        <w:tc>
          <w:tcPr>
            <w:tcW w:w="1794" w:type="dxa"/>
            <w:tcBorders>
              <w:top w:val="single" w:sz="4" w:space="0" w:color="auto"/>
              <w:left w:val="nil"/>
              <w:bottom w:val="single" w:sz="4" w:space="0" w:color="auto"/>
              <w:right w:val="single" w:sz="4" w:space="0" w:color="auto"/>
            </w:tcBorders>
            <w:shd w:val="clear" w:color="auto" w:fill="C6EFCE"/>
            <w:noWrap/>
          </w:tcPr>
          <w:p w14:paraId="0687D53E" w14:textId="77777777" w:rsidR="00A00259" w:rsidRDefault="00371282">
            <w:pPr>
              <w:pStyle w:val="P68B1DB1-Normal12"/>
              <w:spacing w:after="0" w:line="240" w:lineRule="auto"/>
              <w:rPr>
                <w:rFonts w:eastAsia="Times New Roman"/>
                <w:noProof/>
              </w:rPr>
            </w:pPr>
            <w:r>
              <w:rPr>
                <w:noProof/>
              </w:rPr>
              <w:t>Exécution du projet TH²ORAX</w:t>
            </w:r>
          </w:p>
        </w:tc>
        <w:tc>
          <w:tcPr>
            <w:tcW w:w="1774" w:type="dxa"/>
            <w:tcBorders>
              <w:top w:val="single" w:sz="4" w:space="0" w:color="auto"/>
              <w:left w:val="nil"/>
              <w:bottom w:val="single" w:sz="4" w:space="0" w:color="auto"/>
              <w:right w:val="single" w:sz="4" w:space="0" w:color="auto"/>
            </w:tcBorders>
            <w:shd w:val="clear" w:color="auto" w:fill="C6EFCE"/>
            <w:noWrap/>
          </w:tcPr>
          <w:p w14:paraId="240C514A" w14:textId="77777777" w:rsidR="00A00259" w:rsidRDefault="00371282">
            <w:pPr>
              <w:pStyle w:val="P68B1DB1-Normal12"/>
              <w:spacing w:after="0" w:line="240" w:lineRule="auto"/>
              <w:rPr>
                <w:rFonts w:eastAsia="Times New Roman"/>
                <w:noProof/>
              </w:rPr>
            </w:pPr>
            <w:r>
              <w:rPr>
                <w:noProof/>
              </w:rPr>
              <w:t>Exécution du projet TH²ORAX</w:t>
            </w:r>
          </w:p>
        </w:tc>
        <w:tc>
          <w:tcPr>
            <w:tcW w:w="960" w:type="dxa"/>
            <w:tcBorders>
              <w:top w:val="single" w:sz="4" w:space="0" w:color="auto"/>
              <w:left w:val="nil"/>
              <w:bottom w:val="single" w:sz="4" w:space="0" w:color="auto"/>
              <w:right w:val="single" w:sz="4" w:space="0" w:color="auto"/>
            </w:tcBorders>
            <w:shd w:val="clear" w:color="auto" w:fill="C6EFCE"/>
            <w:noWrap/>
          </w:tcPr>
          <w:p w14:paraId="07974C5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0" w:type="dxa"/>
            <w:tcBorders>
              <w:top w:val="single" w:sz="4" w:space="0" w:color="auto"/>
              <w:left w:val="nil"/>
              <w:bottom w:val="single" w:sz="4" w:space="0" w:color="auto"/>
              <w:right w:val="single" w:sz="4" w:space="0" w:color="auto"/>
            </w:tcBorders>
            <w:shd w:val="clear" w:color="auto" w:fill="C6EFCE"/>
            <w:noWrap/>
          </w:tcPr>
          <w:p w14:paraId="525871E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00" w:type="dxa"/>
            <w:tcBorders>
              <w:top w:val="single" w:sz="4" w:space="0" w:color="auto"/>
              <w:left w:val="nil"/>
              <w:bottom w:val="single" w:sz="4" w:space="0" w:color="auto"/>
              <w:right w:val="single" w:sz="4" w:space="0" w:color="auto"/>
            </w:tcBorders>
            <w:shd w:val="clear" w:color="auto" w:fill="C6EFCE"/>
            <w:noWrap/>
          </w:tcPr>
          <w:p w14:paraId="2615C17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2BACE92C" w14:textId="77777777" w:rsidR="00A00259" w:rsidRDefault="00371282">
            <w:pPr>
              <w:pStyle w:val="P68B1DB1-Normal12"/>
              <w:spacing w:after="0" w:line="240" w:lineRule="auto"/>
              <w:rPr>
                <w:rFonts w:eastAsia="Times New Roman"/>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237A1421" w14:textId="77777777" w:rsidR="00A00259" w:rsidRDefault="00371282">
            <w:pPr>
              <w:pStyle w:val="P68B1DB1-Normal12"/>
              <w:spacing w:after="0" w:line="240" w:lineRule="auto"/>
              <w:rPr>
                <w:rFonts w:eastAsia="Times New Roman"/>
                <w:noProof/>
              </w:rPr>
            </w:pPr>
            <w:r>
              <w:rPr>
                <w:noProof/>
              </w:rPr>
              <w:t>2025</w:t>
            </w:r>
          </w:p>
        </w:tc>
        <w:tc>
          <w:tcPr>
            <w:tcW w:w="3670" w:type="dxa"/>
            <w:tcBorders>
              <w:top w:val="single" w:sz="4" w:space="0" w:color="auto"/>
              <w:left w:val="nil"/>
              <w:bottom w:val="single" w:sz="4" w:space="0" w:color="auto"/>
              <w:right w:val="single" w:sz="4" w:space="0" w:color="auto"/>
            </w:tcBorders>
            <w:shd w:val="clear" w:color="auto" w:fill="C6EFCE"/>
            <w:noWrap/>
          </w:tcPr>
          <w:p w14:paraId="1D62F2FB" w14:textId="2D93D210" w:rsidR="00A00259" w:rsidRDefault="00371282">
            <w:pPr>
              <w:pStyle w:val="P68B1DB1-Normal12"/>
              <w:spacing w:after="0" w:line="240" w:lineRule="auto"/>
              <w:rPr>
                <w:rFonts w:eastAsia="Times New Roman"/>
                <w:noProof/>
              </w:rPr>
            </w:pPr>
            <w:r>
              <w:rPr>
                <w:noProof/>
              </w:rPr>
              <w:t>Exécution du projet TH²ORAX: fourniture d’une plateforme de connaissance de la situation, en temps réel et 24 heures sur 24, 7 jours sur 7, pour le territoire grec.</w:t>
            </w:r>
          </w:p>
        </w:tc>
      </w:tr>
      <w:tr w:rsidR="00A00259" w14:paraId="02E5C24F" w14:textId="77777777" w:rsidTr="00096954">
        <w:trPr>
          <w:trHeight w:val="309"/>
          <w:jc w:val="center"/>
        </w:trPr>
        <w:tc>
          <w:tcPr>
            <w:tcW w:w="594" w:type="dxa"/>
            <w:tcBorders>
              <w:top w:val="single" w:sz="4" w:space="0" w:color="auto"/>
              <w:left w:val="single" w:sz="4" w:space="0" w:color="auto"/>
              <w:bottom w:val="single" w:sz="4" w:space="0" w:color="auto"/>
              <w:right w:val="single" w:sz="4" w:space="0" w:color="auto"/>
            </w:tcBorders>
            <w:shd w:val="clear" w:color="auto" w:fill="C6EFCE"/>
            <w:noWrap/>
          </w:tcPr>
          <w:p w14:paraId="26923E6C" w14:textId="77777777" w:rsidR="00A00259" w:rsidRDefault="00371282">
            <w:pPr>
              <w:pStyle w:val="P68B1DB1-Normal12"/>
              <w:spacing w:after="0" w:line="240" w:lineRule="auto"/>
              <w:rPr>
                <w:rFonts w:eastAsia="Times New Roman"/>
                <w:noProof/>
              </w:rPr>
            </w:pPr>
            <w:r>
              <w:rPr>
                <w:noProof/>
              </w:rPr>
              <w:t>252</w:t>
            </w:r>
          </w:p>
        </w:tc>
        <w:tc>
          <w:tcPr>
            <w:tcW w:w="2571" w:type="dxa"/>
            <w:tcBorders>
              <w:top w:val="single" w:sz="4" w:space="0" w:color="auto"/>
              <w:left w:val="nil"/>
              <w:bottom w:val="single" w:sz="4" w:space="0" w:color="auto"/>
              <w:right w:val="single" w:sz="4" w:space="0" w:color="auto"/>
            </w:tcBorders>
            <w:shd w:val="clear" w:color="auto" w:fill="C6EFCE"/>
            <w:noWrap/>
          </w:tcPr>
          <w:p w14:paraId="53718CAD" w14:textId="77777777" w:rsidR="00A00259" w:rsidRDefault="00371282">
            <w:pPr>
              <w:pStyle w:val="P68B1DB1-Normal12"/>
              <w:spacing w:after="0" w:line="240" w:lineRule="auto"/>
              <w:rPr>
                <w:rFonts w:eastAsia="Times New Roman"/>
                <w:noProof/>
              </w:rPr>
            </w:pPr>
            <w:r>
              <w:rPr>
                <w:noProof/>
              </w:rPr>
              <w:t>16 - 4.5. Promouvoir la recherche et l'innovation - 16971_Recherche - Créer - Innover</w:t>
            </w:r>
          </w:p>
        </w:tc>
        <w:tc>
          <w:tcPr>
            <w:tcW w:w="1094" w:type="dxa"/>
            <w:tcBorders>
              <w:top w:val="single" w:sz="4" w:space="0" w:color="auto"/>
              <w:left w:val="nil"/>
              <w:bottom w:val="single" w:sz="4" w:space="0" w:color="auto"/>
              <w:right w:val="single" w:sz="4" w:space="0" w:color="auto"/>
            </w:tcBorders>
            <w:shd w:val="clear" w:color="auto" w:fill="C6EFCE"/>
            <w:noWrap/>
          </w:tcPr>
          <w:p w14:paraId="462EA1B6" w14:textId="77777777" w:rsidR="00A00259" w:rsidRDefault="00371282">
            <w:pPr>
              <w:pStyle w:val="P68B1DB1-Normal12"/>
              <w:spacing w:after="0" w:line="240" w:lineRule="auto"/>
              <w:rPr>
                <w:rFonts w:eastAsia="Times New Roman"/>
                <w:noProof/>
              </w:rPr>
            </w:pPr>
            <w:r>
              <w:rPr>
                <w:noProof/>
              </w:rPr>
              <w:t>Étape</w:t>
            </w:r>
          </w:p>
        </w:tc>
        <w:tc>
          <w:tcPr>
            <w:tcW w:w="1794" w:type="dxa"/>
            <w:tcBorders>
              <w:top w:val="single" w:sz="4" w:space="0" w:color="auto"/>
              <w:left w:val="nil"/>
              <w:bottom w:val="single" w:sz="4" w:space="0" w:color="auto"/>
              <w:right w:val="single" w:sz="4" w:space="0" w:color="auto"/>
            </w:tcBorders>
            <w:shd w:val="clear" w:color="auto" w:fill="C6EFCE"/>
            <w:noWrap/>
          </w:tcPr>
          <w:p w14:paraId="05FEAD4B" w14:textId="2294E108" w:rsidR="00A00259" w:rsidRDefault="00371282">
            <w:pPr>
              <w:pStyle w:val="P68B1DB1-Normal12"/>
              <w:spacing w:after="0" w:line="240" w:lineRule="auto"/>
              <w:rPr>
                <w:rFonts w:eastAsia="Times New Roman"/>
                <w:noProof/>
              </w:rPr>
            </w:pPr>
            <w:r>
              <w:rPr>
                <w:noProof/>
              </w:rPr>
              <w:t>Réalisation de la recherche - Créer - Innover des projets</w:t>
            </w:r>
          </w:p>
        </w:tc>
        <w:tc>
          <w:tcPr>
            <w:tcW w:w="1774" w:type="dxa"/>
            <w:tcBorders>
              <w:top w:val="single" w:sz="4" w:space="0" w:color="auto"/>
              <w:left w:val="nil"/>
              <w:bottom w:val="single" w:sz="4" w:space="0" w:color="auto"/>
              <w:right w:val="single" w:sz="4" w:space="0" w:color="auto"/>
            </w:tcBorders>
            <w:shd w:val="clear" w:color="auto" w:fill="C6EFCE"/>
            <w:noWrap/>
          </w:tcPr>
          <w:p w14:paraId="164AD87C" w14:textId="2474CEB0" w:rsidR="00A00259" w:rsidRDefault="00371282">
            <w:pPr>
              <w:pStyle w:val="P68B1DB1-Normal12"/>
              <w:spacing w:after="0" w:line="240" w:lineRule="auto"/>
              <w:rPr>
                <w:rFonts w:eastAsia="Times New Roman"/>
                <w:noProof/>
              </w:rPr>
            </w:pPr>
            <w:r>
              <w:rPr>
                <w:noProof/>
              </w:rPr>
              <w:t>Réalisation de la recherche - Créer - Innover des projets</w:t>
            </w:r>
          </w:p>
        </w:tc>
        <w:tc>
          <w:tcPr>
            <w:tcW w:w="960" w:type="dxa"/>
            <w:tcBorders>
              <w:top w:val="single" w:sz="4" w:space="0" w:color="auto"/>
              <w:left w:val="nil"/>
              <w:bottom w:val="single" w:sz="4" w:space="0" w:color="auto"/>
              <w:right w:val="single" w:sz="4" w:space="0" w:color="auto"/>
            </w:tcBorders>
            <w:shd w:val="clear" w:color="auto" w:fill="C6EFCE"/>
            <w:noWrap/>
          </w:tcPr>
          <w:p w14:paraId="505FD66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0" w:type="dxa"/>
            <w:tcBorders>
              <w:top w:val="single" w:sz="4" w:space="0" w:color="auto"/>
              <w:left w:val="nil"/>
              <w:bottom w:val="single" w:sz="4" w:space="0" w:color="auto"/>
              <w:right w:val="single" w:sz="4" w:space="0" w:color="auto"/>
            </w:tcBorders>
            <w:shd w:val="clear" w:color="auto" w:fill="C6EFCE"/>
            <w:noWrap/>
          </w:tcPr>
          <w:p w14:paraId="07B1009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00" w:type="dxa"/>
            <w:tcBorders>
              <w:top w:val="single" w:sz="4" w:space="0" w:color="auto"/>
              <w:left w:val="nil"/>
              <w:bottom w:val="single" w:sz="4" w:space="0" w:color="auto"/>
              <w:right w:val="single" w:sz="4" w:space="0" w:color="auto"/>
            </w:tcBorders>
            <w:shd w:val="clear" w:color="auto" w:fill="C6EFCE"/>
            <w:noWrap/>
          </w:tcPr>
          <w:p w14:paraId="2C706C2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6FF2296C" w14:textId="29B76447" w:rsidR="00A00259" w:rsidRDefault="00371282">
            <w:pPr>
              <w:pStyle w:val="P68B1DB1-Normal12"/>
              <w:spacing w:after="0" w:line="240" w:lineRule="auto"/>
              <w:rPr>
                <w:rFonts w:eastAsia="Times New Roman"/>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Pr>
          <w:p w14:paraId="382C0DD8" w14:textId="77777777" w:rsidR="00A00259" w:rsidRDefault="00371282">
            <w:pPr>
              <w:pStyle w:val="P68B1DB1-Normal12"/>
              <w:spacing w:after="0" w:line="240" w:lineRule="auto"/>
              <w:rPr>
                <w:rFonts w:eastAsia="Times New Roman"/>
                <w:noProof/>
              </w:rPr>
            </w:pPr>
            <w:r>
              <w:rPr>
                <w:noProof/>
              </w:rPr>
              <w:t>2025</w:t>
            </w:r>
          </w:p>
        </w:tc>
        <w:tc>
          <w:tcPr>
            <w:tcW w:w="3670" w:type="dxa"/>
            <w:tcBorders>
              <w:top w:val="single" w:sz="4" w:space="0" w:color="auto"/>
              <w:left w:val="nil"/>
              <w:bottom w:val="single" w:sz="4" w:space="0" w:color="auto"/>
              <w:right w:val="single" w:sz="4" w:space="0" w:color="auto"/>
            </w:tcBorders>
            <w:shd w:val="clear" w:color="auto" w:fill="C6EFCE"/>
            <w:noWrap/>
          </w:tcPr>
          <w:p w14:paraId="0D1BE9D2" w14:textId="473D5403" w:rsidR="00A00259" w:rsidRDefault="00371282">
            <w:pPr>
              <w:pStyle w:val="P68B1DB1-Normal12"/>
              <w:spacing w:after="0" w:line="240" w:lineRule="auto"/>
              <w:rPr>
                <w:rFonts w:eastAsia="Times New Roman"/>
                <w:noProof/>
              </w:rPr>
            </w:pPr>
            <w:r>
              <w:rPr>
                <w:noProof/>
              </w:rPr>
              <w:t>Mise en œuvre de 36 projets dans les secteurs de la stratégie nationale de recherche et d’innovation pour une spécialisation intelligente 2014-2020 (RIS3), dans les domaines suivants, par exemple: i) environnement et développement durable; ii) l’énergie; iii) Les technologies de l ' information et des communications; iv) la santé et le secteur pharmaceutique; v) le transport et la chaîne d’approvisionnement; vi) l’agroalimentaire et l’industrie alimentaire; vii) matériaux et construction; et viii) le tourisme, la culture et les industries créatives.</w:t>
            </w:r>
          </w:p>
        </w:tc>
      </w:tr>
      <w:tr w:rsidR="00A00259" w14:paraId="0012578C" w14:textId="77777777" w:rsidTr="00096954">
        <w:trPr>
          <w:trHeight w:val="309"/>
          <w:jc w:val="center"/>
        </w:trPr>
        <w:tc>
          <w:tcPr>
            <w:tcW w:w="594" w:type="dxa"/>
            <w:tcBorders>
              <w:top w:val="single" w:sz="4" w:space="0" w:color="auto"/>
              <w:left w:val="single" w:sz="4" w:space="0" w:color="auto"/>
              <w:bottom w:val="single" w:sz="4" w:space="0" w:color="auto"/>
              <w:right w:val="single" w:sz="4" w:space="0" w:color="auto"/>
            </w:tcBorders>
            <w:shd w:val="clear" w:color="auto" w:fill="C6EFCE"/>
            <w:noWrap/>
          </w:tcPr>
          <w:p w14:paraId="435BF9D6" w14:textId="77777777" w:rsidR="00A00259" w:rsidRDefault="00371282">
            <w:pPr>
              <w:pStyle w:val="P68B1DB1-Normal12"/>
              <w:spacing w:after="0" w:line="240" w:lineRule="auto"/>
              <w:rPr>
                <w:rFonts w:eastAsia="Times New Roman"/>
                <w:noProof/>
              </w:rPr>
            </w:pPr>
            <w:r>
              <w:rPr>
                <w:noProof/>
              </w:rPr>
              <w:t>346</w:t>
            </w:r>
          </w:p>
        </w:tc>
        <w:tc>
          <w:tcPr>
            <w:tcW w:w="2571" w:type="dxa"/>
            <w:tcBorders>
              <w:top w:val="single" w:sz="4" w:space="0" w:color="auto"/>
              <w:left w:val="nil"/>
              <w:bottom w:val="single" w:sz="4" w:space="0" w:color="auto"/>
              <w:right w:val="single" w:sz="4" w:space="0" w:color="auto"/>
            </w:tcBorders>
            <w:shd w:val="clear" w:color="auto" w:fill="C6EFCE"/>
            <w:noWrap/>
          </w:tcPr>
          <w:p w14:paraId="3A8C55DF" w14:textId="128FD3C0" w:rsidR="00A00259" w:rsidRDefault="00371282">
            <w:pPr>
              <w:pStyle w:val="P68B1DB1-Normal12"/>
              <w:spacing w:after="0" w:line="240" w:lineRule="auto"/>
              <w:rPr>
                <w:rFonts w:eastAsia="Times New Roman"/>
                <w:noProof/>
              </w:rPr>
            </w:pPr>
            <w:r>
              <w:rPr>
                <w:noProof/>
              </w:rPr>
              <w:t>16 - 4.5. «Promouvoir la recherche et l’innovation» - 16622_HORIZON 2020 «Sceau d’excellence»: sociétés de financement</w:t>
            </w:r>
          </w:p>
        </w:tc>
        <w:tc>
          <w:tcPr>
            <w:tcW w:w="1094" w:type="dxa"/>
            <w:tcBorders>
              <w:top w:val="single" w:sz="4" w:space="0" w:color="auto"/>
              <w:left w:val="nil"/>
              <w:bottom w:val="single" w:sz="4" w:space="0" w:color="auto"/>
              <w:right w:val="single" w:sz="4" w:space="0" w:color="auto"/>
            </w:tcBorders>
            <w:shd w:val="clear" w:color="auto" w:fill="C6EFCE"/>
            <w:noWrap/>
          </w:tcPr>
          <w:p w14:paraId="34C70F4C" w14:textId="77777777" w:rsidR="00A00259" w:rsidRDefault="00371282">
            <w:pPr>
              <w:pStyle w:val="P68B1DB1-Normal12"/>
              <w:spacing w:after="0" w:line="240" w:lineRule="auto"/>
              <w:rPr>
                <w:rFonts w:eastAsia="Times New Roman"/>
                <w:noProof/>
              </w:rPr>
            </w:pPr>
            <w:r>
              <w:rPr>
                <w:noProof/>
              </w:rPr>
              <w:t>Étape</w:t>
            </w:r>
          </w:p>
        </w:tc>
        <w:tc>
          <w:tcPr>
            <w:tcW w:w="1794" w:type="dxa"/>
            <w:tcBorders>
              <w:top w:val="single" w:sz="4" w:space="0" w:color="auto"/>
              <w:left w:val="nil"/>
              <w:bottom w:val="single" w:sz="4" w:space="0" w:color="auto"/>
              <w:right w:val="single" w:sz="4" w:space="0" w:color="auto"/>
            </w:tcBorders>
            <w:shd w:val="clear" w:color="auto" w:fill="C6EFCE"/>
            <w:noWrap/>
          </w:tcPr>
          <w:p w14:paraId="53A2B4CB" w14:textId="2A8E63EA" w:rsidR="00A00259" w:rsidRDefault="00371282">
            <w:pPr>
              <w:pStyle w:val="P68B1DB1-Normal12"/>
              <w:spacing w:after="0" w:line="240" w:lineRule="auto"/>
              <w:rPr>
                <w:rFonts w:eastAsia="Times New Roman"/>
                <w:noProof/>
              </w:rPr>
            </w:pPr>
            <w:r>
              <w:rPr>
                <w:noProof/>
              </w:rPr>
              <w:t xml:space="preserve">Exécution des projets </w:t>
            </w:r>
          </w:p>
        </w:tc>
        <w:tc>
          <w:tcPr>
            <w:tcW w:w="1774" w:type="dxa"/>
            <w:tcBorders>
              <w:top w:val="single" w:sz="4" w:space="0" w:color="auto"/>
              <w:left w:val="nil"/>
              <w:bottom w:val="single" w:sz="4" w:space="0" w:color="auto"/>
              <w:right w:val="single" w:sz="4" w:space="0" w:color="auto"/>
            </w:tcBorders>
            <w:shd w:val="clear" w:color="auto" w:fill="C6EFCE"/>
            <w:noWrap/>
          </w:tcPr>
          <w:p w14:paraId="23FEB5F3" w14:textId="7B0F37B6" w:rsidR="00A00259" w:rsidRDefault="00371282">
            <w:pPr>
              <w:pStyle w:val="P68B1DB1-Normal12"/>
              <w:spacing w:after="0" w:line="240" w:lineRule="auto"/>
              <w:rPr>
                <w:rFonts w:eastAsia="Times New Roman"/>
                <w:noProof/>
              </w:rPr>
            </w:pPr>
            <w:r>
              <w:rPr>
                <w:noProof/>
              </w:rPr>
              <w:t xml:space="preserve">Exécution des projets </w:t>
            </w:r>
          </w:p>
        </w:tc>
        <w:tc>
          <w:tcPr>
            <w:tcW w:w="960" w:type="dxa"/>
            <w:tcBorders>
              <w:top w:val="single" w:sz="4" w:space="0" w:color="auto"/>
              <w:left w:val="nil"/>
              <w:bottom w:val="single" w:sz="4" w:space="0" w:color="auto"/>
              <w:right w:val="single" w:sz="4" w:space="0" w:color="auto"/>
            </w:tcBorders>
            <w:shd w:val="clear" w:color="auto" w:fill="C6EFCE"/>
            <w:noWrap/>
          </w:tcPr>
          <w:p w14:paraId="7D96FBD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60" w:type="dxa"/>
            <w:tcBorders>
              <w:top w:val="single" w:sz="4" w:space="0" w:color="auto"/>
              <w:left w:val="nil"/>
              <w:bottom w:val="single" w:sz="4" w:space="0" w:color="auto"/>
              <w:right w:val="single" w:sz="4" w:space="0" w:color="auto"/>
            </w:tcBorders>
            <w:shd w:val="clear" w:color="auto" w:fill="C6EFCE"/>
            <w:noWrap/>
          </w:tcPr>
          <w:p w14:paraId="2447B19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00" w:type="dxa"/>
            <w:tcBorders>
              <w:top w:val="single" w:sz="4" w:space="0" w:color="auto"/>
              <w:left w:val="nil"/>
              <w:bottom w:val="single" w:sz="4" w:space="0" w:color="auto"/>
              <w:right w:val="single" w:sz="4" w:space="0" w:color="auto"/>
            </w:tcBorders>
            <w:shd w:val="clear" w:color="auto" w:fill="C6EFCE"/>
            <w:noWrap/>
          </w:tcPr>
          <w:p w14:paraId="6D756D2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4CE8ABC9" w14:textId="77777777" w:rsidR="00A00259" w:rsidRDefault="00371282">
            <w:pPr>
              <w:pStyle w:val="P68B1DB1-Normal12"/>
              <w:spacing w:after="0" w:line="240" w:lineRule="auto"/>
              <w:rPr>
                <w:rFonts w:eastAsia="Times New Roman"/>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1513105E" w14:textId="77777777" w:rsidR="00A00259" w:rsidRDefault="00371282">
            <w:pPr>
              <w:pStyle w:val="P68B1DB1-Normal12"/>
              <w:spacing w:after="0" w:line="240" w:lineRule="auto"/>
              <w:rPr>
                <w:rFonts w:eastAsia="Times New Roman"/>
                <w:noProof/>
              </w:rPr>
            </w:pPr>
            <w:r>
              <w:rPr>
                <w:noProof/>
              </w:rPr>
              <w:t>2025</w:t>
            </w:r>
          </w:p>
        </w:tc>
        <w:tc>
          <w:tcPr>
            <w:tcW w:w="3670" w:type="dxa"/>
            <w:tcBorders>
              <w:top w:val="single" w:sz="4" w:space="0" w:color="auto"/>
              <w:left w:val="nil"/>
              <w:bottom w:val="single" w:sz="4" w:space="0" w:color="auto"/>
              <w:right w:val="single" w:sz="4" w:space="0" w:color="auto"/>
            </w:tcBorders>
            <w:shd w:val="clear" w:color="auto" w:fill="C6EFCE"/>
            <w:noWrap/>
          </w:tcPr>
          <w:p w14:paraId="1767B187" w14:textId="3A2D5069" w:rsidR="00A00259" w:rsidRDefault="00371282">
            <w:pPr>
              <w:pStyle w:val="P68B1DB1-Normal12"/>
              <w:spacing w:after="0" w:line="240" w:lineRule="auto"/>
              <w:rPr>
                <w:rFonts w:eastAsia="Times New Roman"/>
                <w:noProof/>
              </w:rPr>
            </w:pPr>
            <w:r>
              <w:rPr>
                <w:noProof/>
              </w:rPr>
              <w:t xml:space="preserve">Exécution de 12 projets qui ont reçu le label de qualité HORIZON 2020 «label d’excellence». Les projets concernent certains secteurs, qui peuvent inclure, sans s'y limiter: i) environnement et développement durable; ii) l’énergie; iii) Les technologies de l ' information et des communications; iv) la santé et le secteur pharmaceutique; v) le transport et la chaîne d’approvisionnement; vi) l’agroalimentaire et l’industrie alimentaire; et vii) les matériaux et la construction. </w:t>
            </w:r>
          </w:p>
        </w:tc>
      </w:tr>
    </w:tbl>
    <w:p w14:paraId="5AB53E9E" w14:textId="77777777" w:rsidR="00A00259" w:rsidRDefault="00A00259">
      <w:pPr>
        <w:spacing w:before="120" w:after="120" w:line="240" w:lineRule="auto"/>
        <w:ind w:left="709"/>
        <w:jc w:val="both"/>
        <w:rPr>
          <w:rFonts w:ascii="Times New Roman" w:hAnsi="Times New Roman" w:cs="Times New Roman"/>
          <w:noProof/>
          <w:sz w:val="24"/>
        </w:rPr>
        <w:sectPr w:rsidR="00A00259">
          <w:headerReference w:type="even" r:id="rId324"/>
          <w:headerReference w:type="default" r:id="rId325"/>
          <w:footerReference w:type="even" r:id="rId326"/>
          <w:footerReference w:type="default" r:id="rId327"/>
          <w:headerReference w:type="first" r:id="rId328"/>
          <w:footerReference w:type="first" r:id="rId329"/>
          <w:pgSz w:w="16839" w:h="11907" w:orient="landscape"/>
          <w:pgMar w:top="1134" w:right="1134" w:bottom="1134" w:left="1134" w:header="567" w:footer="567" w:gutter="0"/>
          <w:cols w:space="720"/>
          <w:docGrid w:linePitch="360"/>
        </w:sectPr>
      </w:pPr>
    </w:p>
    <w:p w14:paraId="76302C68" w14:textId="77777777" w:rsidR="00A00259" w:rsidRDefault="00371282">
      <w:pPr>
        <w:pStyle w:val="P68B1DB1-Normal48"/>
        <w:spacing w:before="120" w:after="120" w:line="240" w:lineRule="auto"/>
        <w:ind w:firstLine="6"/>
        <w:jc w:val="both"/>
        <w:outlineLvl w:val="3"/>
        <w:rPr>
          <w:rFonts w:cs="Times New Roman"/>
          <w:bCs/>
          <w:noProof/>
        </w:rPr>
      </w:pPr>
      <w:r>
        <w:rPr>
          <w:noProof/>
        </w:rPr>
        <w:t>Q. ÉLÉMENT 4.6: MODERNISER ET AMÉLIORER LA RÉSILIENCE DES SECTEURS ÉCONOMIQUES CLÉS</w:t>
      </w:r>
    </w:p>
    <w:p w14:paraId="312486AC" w14:textId="77777777" w:rsidR="00A00259" w:rsidRDefault="00371282">
      <w:pPr>
        <w:pStyle w:val="P68B1DB1-Normal7"/>
        <w:spacing w:before="120" w:after="120" w:line="240" w:lineRule="auto"/>
        <w:jc w:val="both"/>
        <w:rPr>
          <w:rFonts w:cs="Times New Roman"/>
          <w:noProof/>
        </w:rPr>
      </w:pPr>
      <w:r>
        <w:rPr>
          <w:noProof/>
        </w:rPr>
        <w:t>Ce volet du plan grec pour la reprise et la résilience comprend des réformes et des investissements ciblés visant à améliorer la compétitivité de secteurs clés de l’économie grecque, à savoir le tourisme et la culture, l’agriculture, l’industrie manufacturière et l’aquaculture. Ce volet comprend également des investissements dans les infrastructures de transport visant à améliorer la connectivité et la sécurité routière. Le tourisme est soutenu par des investissements dans le tourisme thématique en vue d'explorer de nouveaux marchés touristiques. Le volet comprend également des investissements dans la culture afin d’améliorer la compétitivité et la résilience du secteur et de mieux exploiter ses liens avec le tourisme. Les investissements dans l'agriculture accroissent l'efficacité des méthodes de production, promeuvent les organisations de producteurs et les coopératives et encouragent la réorientation vers des produits à plus forte valeur ajoutée. Le volet comprend également une réforme en profondeur du secteur ferroviaire afin de le rendre plus efficace et compétitif. Ces investissements soutiennent le bon fonctionnement du marché intérieur et le développement d'un système de transport durable. Le volet soutient la mise en œuvre des recommandations par pays sur les investissements publics et privés (recommandation par pays no 2 de 2019 et recommandation par pays no 3 de 2020). 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614F35BF" w14:textId="77777777" w:rsidR="00A00259" w:rsidRDefault="00371282">
      <w:pPr>
        <w:pStyle w:val="P68B1DB1-Normal6"/>
        <w:spacing w:before="120" w:after="120" w:line="240" w:lineRule="auto"/>
        <w:jc w:val="both"/>
        <w:rPr>
          <w:rFonts w:cs="Times New Roman"/>
          <w:bCs/>
          <w:noProof/>
        </w:rPr>
      </w:pPr>
      <w:r>
        <w:rPr>
          <w:noProof/>
        </w:rPr>
        <w:t>Q.1. Description des réformes et des investissements pour le soutien financier non remboursable</w:t>
      </w:r>
    </w:p>
    <w:p w14:paraId="36CDC23E"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Mise à niveau de la sécurité routière (mesure ID 16631)</w:t>
      </w:r>
    </w:p>
    <w:p w14:paraId="0EA1A6E8" w14:textId="77777777" w:rsidR="00A00259" w:rsidRDefault="00371282">
      <w:pPr>
        <w:pStyle w:val="P68B1DB1-Normal7"/>
        <w:spacing w:before="120" w:after="120" w:line="240" w:lineRule="auto"/>
        <w:jc w:val="both"/>
        <w:rPr>
          <w:rFonts w:cs="Times New Roman"/>
          <w:noProof/>
        </w:rPr>
      </w:pPr>
      <w:r>
        <w:rPr>
          <w:noProof/>
        </w:rPr>
        <w:t>L'objectif de l'investissement est de réduire le nombre d'accidents de la circulation dans le pays. L'investissement comprend des interventions dans des endroits dangereux et l'installation de poteaux d'éclairage à led intelligent dans tout le pays.</w:t>
      </w:r>
    </w:p>
    <w:p w14:paraId="6A8CD8B6" w14:textId="77777777" w:rsidR="00A00259" w:rsidRPr="00D64FD7" w:rsidRDefault="00371282">
      <w:pPr>
        <w:pStyle w:val="P68B1DB1-Normal5"/>
        <w:spacing w:before="120" w:after="120" w:line="240" w:lineRule="auto"/>
        <w:jc w:val="both"/>
        <w:rPr>
          <w:rFonts w:cs="Times New Roman"/>
          <w:noProof/>
          <w:lang w:val="en-GB"/>
        </w:rPr>
      </w:pPr>
      <w:r w:rsidRPr="00D64FD7">
        <w:rPr>
          <w:b/>
          <w:noProof/>
          <w:lang w:val="en-GB"/>
        </w:rPr>
        <w:t>Investissement:</w:t>
      </w:r>
      <w:r w:rsidRPr="00D64FD7">
        <w:rPr>
          <w:noProof/>
          <w:lang w:val="en-GB"/>
        </w:rPr>
        <w:t xml:space="preserve"> Central Greece Highway E-65: Section Trikala-Egnatia (mesure ID 16628)</w:t>
      </w:r>
    </w:p>
    <w:p w14:paraId="3862B46E" w14:textId="77777777" w:rsidR="00A00259" w:rsidRDefault="00371282">
      <w:pPr>
        <w:pStyle w:val="P68B1DB1-Normal7"/>
        <w:spacing w:before="120" w:after="120" w:line="240" w:lineRule="auto"/>
        <w:jc w:val="both"/>
        <w:rPr>
          <w:rFonts w:cs="Times New Roman"/>
          <w:noProof/>
          <w:highlight w:val="green"/>
        </w:rPr>
      </w:pPr>
      <w:r>
        <w:rPr>
          <w:noProof/>
        </w:rPr>
        <w:t>L’objectif de cet investissement est d’améliorer la connectivité entre le sud de la Grèce, la Thessalie et la Macédoine occidentale. L'investissement comprend des travaux de construction sur la section Trikala-Egnatia de l'autoroute E-65 nécessaires au fonctionnement de l'autoroute.</w:t>
      </w:r>
    </w:p>
    <w:p w14:paraId="3DB0B288"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Autoroute du Nord crétoise (Β.Ο.Α.Κ.) (mesure ID 16630)</w:t>
      </w:r>
    </w:p>
    <w:p w14:paraId="3EBDEBB1" w14:textId="77777777" w:rsidR="00A00259" w:rsidRDefault="00371282">
      <w:pPr>
        <w:pStyle w:val="P68B1DB1-Normal7"/>
        <w:spacing w:before="120" w:after="120" w:line="240" w:lineRule="auto"/>
        <w:jc w:val="both"/>
        <w:rPr>
          <w:noProof/>
        </w:rPr>
      </w:pPr>
      <w:r>
        <w:rPr>
          <w:noProof/>
        </w:rPr>
        <w:t>L'objectif de l'investissement est d'améliorer l'accessibilité entre les grandes villes de Crète. L'investissement consiste en des travaux prédéfinis sur les segments de:</w:t>
      </w:r>
    </w:p>
    <w:p w14:paraId="1707A870" w14:textId="7772A2FC" w:rsidR="00A00259" w:rsidRDefault="00371282">
      <w:pPr>
        <w:pStyle w:val="P68B1DB1-ListParagraph47"/>
        <w:numPr>
          <w:ilvl w:val="0"/>
          <w:numId w:val="76"/>
        </w:numPr>
        <w:spacing w:before="120" w:after="120" w:line="240" w:lineRule="auto"/>
        <w:jc w:val="both"/>
        <w:rPr>
          <w:rFonts w:cs="Times New Roman"/>
          <w:noProof/>
        </w:rPr>
      </w:pPr>
      <w:r>
        <w:rPr>
          <w:noProof/>
        </w:rPr>
        <w:t xml:space="preserve">Kissamos à Héraklion, </w:t>
      </w:r>
    </w:p>
    <w:p w14:paraId="1BD5A0F0" w14:textId="77777777" w:rsidR="00A00259" w:rsidRDefault="00371282">
      <w:pPr>
        <w:pStyle w:val="P68B1DB1-ListParagraph47"/>
        <w:numPr>
          <w:ilvl w:val="0"/>
          <w:numId w:val="76"/>
        </w:numPr>
        <w:spacing w:before="120" w:after="120" w:line="240" w:lineRule="auto"/>
        <w:jc w:val="both"/>
        <w:rPr>
          <w:rFonts w:cs="Times New Roman"/>
          <w:noProof/>
        </w:rPr>
      </w:pPr>
      <w:r>
        <w:rPr>
          <w:noProof/>
        </w:rPr>
        <w:t xml:space="preserve">Hersonissos à Naples, et </w:t>
      </w:r>
    </w:p>
    <w:p w14:paraId="6D8BDF44" w14:textId="77777777" w:rsidR="00A00259" w:rsidRDefault="00371282">
      <w:pPr>
        <w:pStyle w:val="P68B1DB1-ListParagraph47"/>
        <w:numPr>
          <w:ilvl w:val="0"/>
          <w:numId w:val="76"/>
        </w:numPr>
        <w:spacing w:before="120" w:after="120" w:line="240" w:lineRule="auto"/>
        <w:jc w:val="both"/>
        <w:rPr>
          <w:rFonts w:cs="Times New Roman"/>
          <w:noProof/>
        </w:rPr>
      </w:pPr>
      <w:r>
        <w:rPr>
          <w:noProof/>
        </w:rPr>
        <w:t xml:space="preserve">De Neapolis à Agios Nikolaos. </w:t>
      </w:r>
    </w:p>
    <w:p w14:paraId="2A0129DE"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Infrastructure intelligente axée sur l’environnement et la culture (mesure ID 16960)</w:t>
      </w:r>
    </w:p>
    <w:p w14:paraId="09AFEE5C" w14:textId="68CAEC5E" w:rsidR="00A00259" w:rsidRDefault="00371282">
      <w:pPr>
        <w:pStyle w:val="P68B1DB1-Normal7"/>
        <w:spacing w:before="120" w:after="120" w:line="240" w:lineRule="auto"/>
        <w:jc w:val="both"/>
        <w:rPr>
          <w:rFonts w:cs="Times New Roman"/>
          <w:noProof/>
        </w:rPr>
      </w:pPr>
      <w:r>
        <w:rPr>
          <w:noProof/>
        </w:rPr>
        <w:t>L’objectif de l’investissement est de renforcer la protection de l’environnement, l’aménagement du territoire et la promotion culturelle par la numérisation. L’investissement couvre les systèmes informatiques, la numérisation des dossiers de démarcation et la délimitation des cours d’eau pour la gestion des cours d’eau, les transactions immobilières, l’accès aux données géospatiales, le traçage illégal des bâtiments ainsi que les services numériques pour les expositions culturelles et la surveillance de la pollution atmosphérique et marine.</w:t>
      </w:r>
    </w:p>
    <w:p w14:paraId="3D58088D" w14:textId="76A16273" w:rsidR="00A00259" w:rsidRDefault="00371282">
      <w:pPr>
        <w:pStyle w:val="P68B1DB1-Normal7"/>
        <w:spacing w:before="120" w:after="120" w:line="240" w:lineRule="auto"/>
        <w:jc w:val="both"/>
        <w:rPr>
          <w:noProof/>
        </w:rPr>
      </w:pPr>
      <w:r>
        <w:rPr>
          <w:b/>
          <w:noProof/>
        </w:rPr>
        <w:t>Investissement:</w:t>
      </w:r>
      <w:r>
        <w:rPr>
          <w:noProof/>
        </w:rPr>
        <w:t xml:space="preserve"> Travaux de restauration à la suite des effets dévastateurs des tempêtes «DANIEL», «ELIAS» et «IANOS» (mesure ID 16999)</w:t>
      </w:r>
    </w:p>
    <w:p w14:paraId="754CEDD9" w14:textId="58147F88" w:rsidR="00A00259" w:rsidRDefault="00371282">
      <w:pPr>
        <w:pStyle w:val="P68B1DB1-Normal7"/>
        <w:spacing w:before="120" w:after="120" w:line="240" w:lineRule="auto"/>
        <w:jc w:val="both"/>
        <w:rPr>
          <w:rFonts w:cs="Times New Roman"/>
          <w:noProof/>
        </w:rPr>
      </w:pPr>
      <w:r>
        <w:rPr>
          <w:noProof/>
        </w:rPr>
        <w:t>L’objectif de cet investissement est de réaliser des travaux de restauration sur des tronçons du réseau routier et ferroviaire touchés par les tempêtes «DANIEL» et «ELIAS», ainsi que sur les réseaux routiers et les autres infrastructures touchées par le cyclone «IANOS». L'investissement consiste en des travaux de restauration.</w:t>
      </w:r>
    </w:p>
    <w:p w14:paraId="733507D9" w14:textId="67D2F355" w:rsidR="00A00259" w:rsidRDefault="00371282">
      <w:pPr>
        <w:pStyle w:val="P68B1DB1-Normal7"/>
        <w:spacing w:before="120" w:after="120" w:line="240" w:lineRule="auto"/>
        <w:jc w:val="both"/>
        <w:rPr>
          <w:rFonts w:cs="Times New Roman"/>
          <w:noProof/>
        </w:rPr>
      </w:pPr>
      <w:r>
        <w:rPr>
          <w:b/>
          <w:noProof/>
        </w:rPr>
        <w:t>Investissement:</w:t>
      </w:r>
      <w:r>
        <w:rPr>
          <w:noProof/>
        </w:rPr>
        <w:t xml:space="preserve"> Modernisation des aéroports régionaux - retrait du DAAD (mesure ID 16833)</w:t>
      </w:r>
    </w:p>
    <w:p w14:paraId="547B17D3" w14:textId="53CC94D5" w:rsidR="00A00259" w:rsidRDefault="00371282">
      <w:pPr>
        <w:pStyle w:val="P68B1DB1-Normal7"/>
        <w:spacing w:before="120" w:after="120" w:line="240" w:lineRule="auto"/>
        <w:jc w:val="both"/>
        <w:rPr>
          <w:noProof/>
        </w:rPr>
      </w:pPr>
      <w:r>
        <w:rPr>
          <w:noProof/>
        </w:rPr>
        <w:t>L'objectif de cet investissement est de moderniser 13 aéroports régionaux. La mesure consiste à retirer 97 documents d’acceptation et d’action en matière de déviation (DAAD).</w:t>
      </w:r>
    </w:p>
    <w:p w14:paraId="114DED92"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Ponts intelligents (mesure ID 16949)</w:t>
      </w:r>
    </w:p>
    <w:p w14:paraId="759FAD70" w14:textId="2E3677F5" w:rsidR="00A00259" w:rsidRDefault="00371282">
      <w:pPr>
        <w:pStyle w:val="P68B1DB1-Normal7"/>
        <w:spacing w:before="120" w:after="120" w:line="240" w:lineRule="auto"/>
        <w:jc w:val="both"/>
        <w:rPr>
          <w:rFonts w:cs="Times New Roman"/>
          <w:noProof/>
        </w:rPr>
      </w:pPr>
      <w:r>
        <w:rPr>
          <w:noProof/>
        </w:rPr>
        <w:t>L'objectif de cet investissement est d'améliorer le niveau de sécurité des ponts. L’investissement consiste en l’installation de systèmes de surveillance structurelle de la santé en temps réel (RTSHM) sur les ponts, avec i) des capteurs de déformation en fibres optiques et d’autres capteurs de surveillance structurelle sur 271 ponts; et ii) des capteurs autonomes sans fil de l’internet des objets (IdO) fonctionnant sur batterie ou à l’énergie solaire sur 380 ponts.</w:t>
      </w:r>
    </w:p>
    <w:p w14:paraId="09CD92C2"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Transformation numérique des chemins de fer grecs (mesure ID 16959)</w:t>
      </w:r>
    </w:p>
    <w:p w14:paraId="2E83D3B3" w14:textId="77777777" w:rsidR="00A00259" w:rsidRDefault="00371282">
      <w:pPr>
        <w:pStyle w:val="P68B1DB1-Normal7"/>
        <w:spacing w:before="120" w:after="120" w:line="240" w:lineRule="auto"/>
        <w:jc w:val="both"/>
        <w:rPr>
          <w:rFonts w:cs="Times New Roman"/>
          <w:noProof/>
        </w:rPr>
      </w:pPr>
      <w:r>
        <w:rPr>
          <w:noProof/>
        </w:rPr>
        <w:t>L'objectif de l'investissement est de doter les chemins de fer grecs d'infrastructures et de services numériques. La mesure consiste à fournir des projets, des systèmes, des équipements et des services numériques.</w:t>
      </w:r>
    </w:p>
    <w:p w14:paraId="125D4ED9"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Système numérique intégré de gestion des programmes pour l’administration des travaux techniques et des biens structurels du ministère des infrastructures et des transports (mesure ID 16937)</w:t>
      </w:r>
    </w:p>
    <w:p w14:paraId="20A6A5FD" w14:textId="77777777" w:rsidR="00A00259" w:rsidRDefault="00371282">
      <w:pPr>
        <w:pStyle w:val="P68B1DB1-Normal7"/>
        <w:spacing w:before="120" w:after="120" w:line="240" w:lineRule="auto"/>
        <w:jc w:val="both"/>
        <w:rPr>
          <w:rFonts w:cs="Times New Roman"/>
          <w:noProof/>
        </w:rPr>
      </w:pPr>
      <w:r>
        <w:rPr>
          <w:noProof/>
        </w:rPr>
        <w:t>L’objectif de cette réforme est de doter le ministère des infrastructures et des transports d’un outil lui permettant de gérer son portefeuille de travaux et d’actifs techniques. Cette mesure consiste à doter le Ministère d'un système d'information sur la gestion du portefeuille (SIGP).</w:t>
      </w:r>
    </w:p>
    <w:p w14:paraId="343A9581"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Simplification des procédures du ministère des infrastructures et des transports (mesure ID 16786)</w:t>
      </w:r>
    </w:p>
    <w:p w14:paraId="4686515A" w14:textId="77777777" w:rsidR="00A00259" w:rsidRDefault="00371282">
      <w:pPr>
        <w:pStyle w:val="P68B1DB1-Normal7"/>
        <w:spacing w:before="120" w:after="120" w:line="240" w:lineRule="auto"/>
        <w:jc w:val="both"/>
        <w:rPr>
          <w:rFonts w:cs="Times New Roman"/>
          <w:noProof/>
        </w:rPr>
      </w:pPr>
      <w:r>
        <w:rPr>
          <w:noProof/>
        </w:rPr>
        <w:t>L’objectif de la réforme est de numériser et de simplifier les procédures au sein du ministère des infrastructures et des transports. Il couvre les procédures pour a) la délivrance, le remplacement et le renouvellement des permis de conduire, b) le transfert des véhicules, c) la délivrance des permis et plaques d'immatriculation, et d) les examens de permis de conduire.</w:t>
      </w:r>
    </w:p>
    <w:p w14:paraId="29EBBB38" w14:textId="77777777" w:rsidR="00A00259" w:rsidRDefault="00371282">
      <w:pPr>
        <w:pStyle w:val="P68B1DB1-Normal5"/>
        <w:spacing w:before="120" w:after="120" w:line="240" w:lineRule="auto"/>
        <w:jc w:val="both"/>
        <w:rPr>
          <w:rFonts w:cs="Times New Roman"/>
          <w:noProof/>
        </w:rPr>
      </w:pPr>
      <w:r>
        <w:rPr>
          <w:b/>
          <w:noProof/>
        </w:rPr>
        <w:t>Réforme:</w:t>
      </w:r>
      <w:r>
        <w:rPr>
          <w:noProof/>
        </w:rPr>
        <w:t xml:space="preserve"> Réforme du travail dans le secteur culturel (mesure ID 16715)</w:t>
      </w:r>
    </w:p>
    <w:p w14:paraId="537A1ECC" w14:textId="77777777" w:rsidR="00A00259" w:rsidRDefault="00371282">
      <w:pPr>
        <w:pStyle w:val="P68B1DB1-Normal5"/>
        <w:spacing w:before="120" w:after="120" w:line="240" w:lineRule="auto"/>
        <w:jc w:val="both"/>
        <w:rPr>
          <w:b/>
          <w:noProof/>
        </w:rPr>
      </w:pPr>
      <w:r>
        <w:rPr>
          <w:noProof/>
        </w:rPr>
        <w:t>Cette réforme introduit une législation du travail et de la sécurité sociale pour le secteur de la culture et de la création en vue d’augmenter la part du travail déclaré dans le secteur, de soutenir les professionnels du secteur et de protéger leurs droits de propriété intellectuelle. L’objectif de cette réforme est d’accroître la résilience du secteur de la culture et de la création. La mise en œuvre de la réforme est achevée au plus tard le 30 septembre 2022.</w:t>
      </w:r>
    </w:p>
    <w:p w14:paraId="0EFC4E94"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La culture comme moteur de croissance (mesure ID 16293)</w:t>
      </w:r>
    </w:p>
    <w:p w14:paraId="005F4EC6" w14:textId="77777777" w:rsidR="00A00259" w:rsidRDefault="00371282">
      <w:pPr>
        <w:pStyle w:val="P68B1DB1-Normal7"/>
        <w:spacing w:before="120" w:after="120" w:line="240" w:lineRule="auto"/>
        <w:jc w:val="both"/>
        <w:rPr>
          <w:noProof/>
        </w:rPr>
      </w:pPr>
      <w:r>
        <w:rPr>
          <w:noProof/>
        </w:rPr>
        <w:t>L’objectif de l’investissement est de renforcer la contribution de la culture à une croissance intelligente et durable et à la cohésion économique, sociale et territoriale. Il s'agit d'actions en faveur du secteur culturel.</w:t>
      </w:r>
    </w:p>
    <w:p w14:paraId="635DAE96"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Musée des antiquités sous-marines (mesure ID 16486)</w:t>
      </w:r>
    </w:p>
    <w:p w14:paraId="1BFF943A" w14:textId="3B83086A" w:rsidR="00A00259" w:rsidRDefault="00371282">
      <w:pPr>
        <w:pStyle w:val="P68B1DB1-Normal7"/>
        <w:spacing w:before="120" w:after="120" w:line="240" w:lineRule="auto"/>
        <w:jc w:val="both"/>
        <w:rPr>
          <w:rFonts w:cs="Times New Roman"/>
          <w:noProof/>
        </w:rPr>
      </w:pPr>
      <w:r>
        <w:rPr>
          <w:noProof/>
        </w:rPr>
        <w:t>L'objectif de l'investissement est de restaurer un bâtiment industriel au Pirée et de le rouvrir en tant que musée des antiquités sous-marines. L'investissement se compose de travaux et de matériaux pour la restauration et la construction du bâtiment.</w:t>
      </w:r>
    </w:p>
    <w:p w14:paraId="36E62DDE" w14:textId="31B3A01E" w:rsidR="00A00259" w:rsidRDefault="00371282">
      <w:pPr>
        <w:pStyle w:val="P68B1DB1-Normal7"/>
        <w:spacing w:before="120" w:after="120" w:line="240" w:lineRule="auto"/>
        <w:jc w:val="both"/>
        <w:rPr>
          <w:rFonts w:cs="Times New Roman"/>
          <w:noProof/>
        </w:rPr>
      </w:pPr>
      <w:r>
        <w:rPr>
          <w:b/>
          <w:noProof/>
        </w:rPr>
        <w:t>Investissement:</w:t>
      </w:r>
      <w:r>
        <w:rPr>
          <w:noProof/>
        </w:rPr>
        <w:t xml:space="preserve"> Utilisation des «actions pilotes de prescription culturelle», promotion de la cohésion sociale et exploitation de l’économie de l’argent (mesure ID 16735)</w:t>
      </w:r>
    </w:p>
    <w:p w14:paraId="377A6B5A" w14:textId="5AFD7F9F" w:rsidR="00A00259" w:rsidRDefault="00371282">
      <w:pPr>
        <w:pStyle w:val="P68B1DB1-Normal7"/>
        <w:spacing w:before="120" w:after="120" w:line="240" w:lineRule="auto"/>
        <w:jc w:val="both"/>
        <w:rPr>
          <w:noProof/>
        </w:rPr>
      </w:pPr>
      <w:r>
        <w:rPr>
          <w:noProof/>
        </w:rPr>
        <w:t>L'objectif de l'investissement est d'attirer des visiteurs âgés de 65 ans et plus, ainsi que des visiteurs handicapés dans des lieux culturels. Il comprend des travaux d’infrastructure et le programme «Actions pilotes de prescription culturelle».</w:t>
      </w:r>
    </w:p>
    <w:p w14:paraId="6E751D08" w14:textId="67E05DC5" w:rsidR="00A00259" w:rsidRDefault="00371282">
      <w:pPr>
        <w:pStyle w:val="P68B1DB1-Normal7"/>
        <w:spacing w:before="120" w:after="120" w:line="240" w:lineRule="auto"/>
        <w:jc w:val="both"/>
        <w:rPr>
          <w:rFonts w:cs="Times New Roman"/>
          <w:noProof/>
        </w:rPr>
      </w:pPr>
      <w:r>
        <w:rPr>
          <w:b/>
          <w:noProof/>
        </w:rPr>
        <w:t>Investissement:</w:t>
      </w:r>
      <w:r>
        <w:rPr>
          <w:noProof/>
        </w:rPr>
        <w:t xml:space="preserve"> Mise à niveau des infrastructures et des équipements des magasins HOCRED (mesure ID 16536)</w:t>
      </w:r>
    </w:p>
    <w:p w14:paraId="1DE7A4BC" w14:textId="0B731148" w:rsidR="00A00259" w:rsidRDefault="00371282">
      <w:pPr>
        <w:pStyle w:val="P68B1DB1-Normal7"/>
        <w:spacing w:before="120" w:after="120" w:line="240" w:lineRule="auto"/>
        <w:jc w:val="both"/>
        <w:rPr>
          <w:noProof/>
        </w:rPr>
      </w:pPr>
      <w:r>
        <w:rPr>
          <w:noProof/>
        </w:rPr>
        <w:t xml:space="preserve">L'objectif de l'investissement est d'améliorer la qualité des services fournis par l'Organisation hellénique de développement des ressources culturelles (HOCRED) et d'élargir le réseau de magasins HOCRED. L’investissement comprend la modernisation de l’infrastructure et de l’équipement des magasins, y compris des rénovations en matière d’efficacité énergétique dans certains magasins. </w:t>
      </w:r>
    </w:p>
    <w:p w14:paraId="5AA77844"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Protection des monuments culturels et des sites archéologiques contre le changement climatique (mesure ID 16433)</w:t>
      </w:r>
    </w:p>
    <w:p w14:paraId="65BDBCD7" w14:textId="77777777" w:rsidR="00A00259" w:rsidRDefault="00371282">
      <w:pPr>
        <w:pStyle w:val="P68B1DB1-Normal5"/>
        <w:spacing w:before="120" w:after="120" w:line="240" w:lineRule="auto"/>
        <w:jc w:val="both"/>
        <w:rPr>
          <w:rFonts w:cs="Times New Roman"/>
          <w:noProof/>
        </w:rPr>
      </w:pPr>
      <w:r>
        <w:rPr>
          <w:noProof/>
        </w:rPr>
        <w:t>L’objectif de l’investissement est de protéger le patrimoine culturel de la Grèce et d’améliorer sa résilience au changement climatique. L'investissement consiste en des travaux de protection et des plans d'adaptation au changement climatique.</w:t>
      </w:r>
    </w:p>
    <w:p w14:paraId="3B0272C6"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Amélioration de l’enseignement supérieur des arts (mesure ID 16725)</w:t>
      </w:r>
    </w:p>
    <w:p w14:paraId="67F9FAA2" w14:textId="406A0DC4" w:rsidR="00A00259" w:rsidRDefault="00371282">
      <w:pPr>
        <w:pStyle w:val="P68B1DB1-Normal7"/>
        <w:spacing w:before="120" w:after="120" w:line="240" w:lineRule="auto"/>
        <w:jc w:val="both"/>
        <w:rPr>
          <w:rFonts w:cs="Times New Roman"/>
          <w:noProof/>
        </w:rPr>
      </w:pPr>
      <w:r>
        <w:rPr>
          <w:noProof/>
        </w:rPr>
        <w:t xml:space="preserve">L’objectif de l’investissement est de moderniser les établissements publics d’enseignement supérieur artistique en Grèce. Il consiste en des mises à niveau de l'infrastructure physique et technique des établissements et s'accompagne d'une certification mise à jour pour 13 programmes de premier cycle en art, dont la certification expire le 30 juin 2026 ou le 30 juin 2026. </w:t>
      </w:r>
    </w:p>
    <w:p w14:paraId="7C10F77C" w14:textId="61309836" w:rsidR="00A00259" w:rsidRDefault="00371282">
      <w:pPr>
        <w:pStyle w:val="P68B1DB1-Normal7"/>
        <w:spacing w:before="120" w:after="120" w:line="240" w:lineRule="auto"/>
        <w:jc w:val="both"/>
        <w:rPr>
          <w:rFonts w:cs="Times New Roman"/>
          <w:noProof/>
        </w:rPr>
      </w:pPr>
      <w:r>
        <w:rPr>
          <w:b/>
          <w:noProof/>
        </w:rPr>
        <w:t>Investissement:</w:t>
      </w:r>
      <w:r>
        <w:rPr>
          <w:noProof/>
        </w:rPr>
        <w:t xml:space="preserve"> Itinéraires culturels des sites et monuments archéologiques (mesure ID 16485)</w:t>
      </w:r>
    </w:p>
    <w:p w14:paraId="31F339B2" w14:textId="2560995C" w:rsidR="00A00259" w:rsidRDefault="00371282">
      <w:pPr>
        <w:pStyle w:val="P68B1DB1-Normal7"/>
        <w:spacing w:before="120" w:after="120" w:line="240" w:lineRule="auto"/>
        <w:jc w:val="both"/>
        <w:rPr>
          <w:noProof/>
        </w:rPr>
      </w:pPr>
      <w:r>
        <w:rPr>
          <w:noProof/>
        </w:rPr>
        <w:t>Cet investissement vise à développer cinq itinéraires culturels avec des récits thématiques couvrant des périodes de l'histoire grecque. L'investissement comprend la préservation et la restauration de monuments sélectionnés, la mise à niveau des infrastructures et des applications numériques interactives.</w:t>
      </w:r>
    </w:p>
    <w:p w14:paraId="5AF93FFF"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Restauration – Conservation – Mise en valeur des monuments de l’Acropole (mesure ID 16435)</w:t>
      </w:r>
    </w:p>
    <w:p w14:paraId="27190DC7" w14:textId="77777777" w:rsidR="00A00259" w:rsidRDefault="00371282">
      <w:pPr>
        <w:pStyle w:val="P68B1DB1-Normal7"/>
        <w:spacing w:before="120" w:after="120" w:line="240" w:lineRule="auto"/>
        <w:jc w:val="both"/>
        <w:rPr>
          <w:noProof/>
        </w:rPr>
      </w:pPr>
      <w:r>
        <w:rPr>
          <w:noProof/>
        </w:rPr>
        <w:t>L'objectif de cet investissement est de protéger les monuments de l'Acropole d'Athènes contre le changement climatique. Il s'agit de travaux de restauration et d'accessibilité pour les visiteurs.</w:t>
      </w:r>
    </w:p>
    <w:p w14:paraId="0732539A"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Développement du tourisme (mesure ID 16931)</w:t>
      </w:r>
    </w:p>
    <w:p w14:paraId="30BDF949" w14:textId="77777777" w:rsidR="00A00259" w:rsidRDefault="00371282">
      <w:pPr>
        <w:pStyle w:val="P68B1DB1-Normal5"/>
        <w:spacing w:before="120" w:after="120" w:line="240" w:lineRule="auto"/>
        <w:jc w:val="both"/>
        <w:rPr>
          <w:noProof/>
          <w:szCs w:val="24"/>
        </w:rPr>
      </w:pPr>
      <w:r>
        <w:rPr>
          <w:noProof/>
        </w:rPr>
        <w:t>L'objectif de l'investissement est de prolonger la saison touristique en Grèce au-delà des mois d'été et de promouvoir d'autres formes de tourisme. L’investissement consiste en des actions de modernisation des ports touristiques et en des actions de développement vert et bleu.</w:t>
      </w:r>
    </w:p>
    <w:p w14:paraId="03114428"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Requalification et perfectionnement professionnels dans le tourisme (mesure ID 16921)</w:t>
      </w:r>
    </w:p>
    <w:p w14:paraId="487075D1" w14:textId="517BAD5D" w:rsidR="00A00259" w:rsidRDefault="00371282">
      <w:pPr>
        <w:pStyle w:val="P68B1DB1-Normal7"/>
        <w:spacing w:before="120" w:after="120" w:line="240" w:lineRule="auto"/>
        <w:jc w:val="both"/>
        <w:rPr>
          <w:noProof/>
        </w:rPr>
      </w:pPr>
      <w:r>
        <w:rPr>
          <w:noProof/>
        </w:rPr>
        <w:t xml:space="preserve">L’objectif de l’investissement est de renforcer les compétences de la main-d’œuvre grecque dans le secteur du tourisme par le perfectionnement et la reconversion des travailleurs saisonniers, des chômeurs de longue durée et des travailleurs dont le contrat de travail a été suspendu pendant la pandémie de COVID-19. L'investissement consiste en des programmes de formation pour au moins 18 000 participants. </w:t>
      </w:r>
    </w:p>
    <w:p w14:paraId="1D64B11E"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Parcs industriels (mesure ID 16634)</w:t>
      </w:r>
    </w:p>
    <w:p w14:paraId="3AEB7C61" w14:textId="77777777" w:rsidR="00A00259" w:rsidRDefault="00371282">
      <w:pPr>
        <w:pStyle w:val="P68B1DB1-Normal7"/>
        <w:spacing w:before="120" w:after="120" w:line="240" w:lineRule="auto"/>
        <w:jc w:val="both"/>
        <w:rPr>
          <w:rFonts w:cs="Times New Roman"/>
          <w:noProof/>
        </w:rPr>
      </w:pPr>
      <w:r>
        <w:rPr>
          <w:noProof/>
        </w:rPr>
        <w:t>L’objectif de la mesure est de promouvoir les investissements dans les parcs industriels. L’investissement consiste en une aide financière aux infrastructures des parcs et aux stations de transport d’électricité desservant les parcs, ainsi qu’en une réforme du cadre réglementaire applicable aux parcs industriels.</w:t>
      </w:r>
    </w:p>
    <w:p w14:paraId="770F5CB8"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Accélération de la fabrication intelligente (mesure ID 16721)</w:t>
      </w:r>
    </w:p>
    <w:p w14:paraId="2364E3A0" w14:textId="77777777" w:rsidR="00A00259" w:rsidRDefault="00371282">
      <w:pPr>
        <w:pStyle w:val="P68B1DB1-Normal7"/>
        <w:spacing w:before="120" w:after="120" w:line="240" w:lineRule="auto"/>
        <w:jc w:val="both"/>
        <w:rPr>
          <w:noProof/>
        </w:rPr>
      </w:pPr>
      <w:r>
        <w:rPr>
          <w:noProof/>
        </w:rPr>
        <w:t xml:space="preserve">L’objectif de la mesure est de promouvoir les investissements dans le secteur manufacturier. L’investissement comprend un soutien financier aux petites et moyennes entreprises du secteur industriel pour la modernisation de leurs équipements et infrastructures de fabrication au moyen de technologies intelligentes à faible impact environnemental. </w:t>
      </w:r>
    </w:p>
    <w:p w14:paraId="707D3070"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Transformation économique des secteurs agricole et aquacole (mesure ID 16626)</w:t>
      </w:r>
    </w:p>
    <w:p w14:paraId="0DB82530" w14:textId="2AC679F0" w:rsidR="00A00259" w:rsidRDefault="00371282">
      <w:pPr>
        <w:pStyle w:val="P68B1DB1-Normal7"/>
        <w:spacing w:before="120" w:after="120" w:line="240" w:lineRule="auto"/>
        <w:jc w:val="both"/>
        <w:rPr>
          <w:rFonts w:cs="Times New Roman"/>
          <w:noProof/>
        </w:rPr>
      </w:pPr>
      <w:r>
        <w:rPr>
          <w:noProof/>
        </w:rPr>
        <w:t>L'objectif de l'investissement est de stimuler le développement des secteurs de l'agriculture et de l'aquaculture en Grèce. L'investissement se compose de 225 projets.</w:t>
      </w:r>
    </w:p>
    <w:p w14:paraId="6C775683"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Transformation numérique du secteur agroalimentaire (mesure ID 16653)</w:t>
      </w:r>
    </w:p>
    <w:p w14:paraId="393EC2A5" w14:textId="77777777" w:rsidR="00A00259" w:rsidRDefault="00371282">
      <w:pPr>
        <w:pStyle w:val="P68B1DB1-Normal7"/>
        <w:spacing w:before="120" w:after="120" w:line="240" w:lineRule="auto"/>
        <w:jc w:val="both"/>
        <w:rPr>
          <w:noProof/>
        </w:rPr>
      </w:pPr>
      <w:r>
        <w:rPr>
          <w:noProof/>
        </w:rPr>
        <w:t xml:space="preserve">L'objectif de cet investissement est de faciliter l'adoption de technologies innovantes dans le secteur agricole grec, le contrôle de la contrefaçon de produits grecs, les produits alimentaires grecs, créer de nouvelles connaissances agroalimentaires en Grèce. L'investissement consiste en un projet sur la transformation numérique du secteur agricole et un projet sur l'agriculture tournée vers l'extérieur. </w:t>
      </w:r>
    </w:p>
    <w:p w14:paraId="37BE12E0"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Mise à niveau des interventions pour les ports régionaux (mesure ID 16975)</w:t>
      </w:r>
    </w:p>
    <w:p w14:paraId="11E6FA89" w14:textId="77777777" w:rsidR="00A00259" w:rsidRDefault="00371282">
      <w:pPr>
        <w:pStyle w:val="P68B1DB1-Normal7"/>
        <w:spacing w:before="120" w:after="120" w:line="240" w:lineRule="auto"/>
        <w:jc w:val="both"/>
        <w:rPr>
          <w:noProof/>
        </w:rPr>
      </w:pPr>
      <w:r>
        <w:rPr>
          <w:noProof/>
        </w:rPr>
        <w:t>L'objectif de cet investissement est de stimuler le développement économique dans les ports régionaux. La mesure consiste en la construction de travaux d'infrastructure dans 13 ports.</w:t>
      </w:r>
    </w:p>
    <w:p w14:paraId="65262778"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Plan directeur pour le renouvellement de la flotte grecque de transport de passagers (mesure ID 16944)</w:t>
      </w:r>
    </w:p>
    <w:p w14:paraId="03C50E4C" w14:textId="77777777" w:rsidR="00A00259" w:rsidRDefault="00371282">
      <w:pPr>
        <w:pStyle w:val="P68B1DB1-Normal7"/>
        <w:spacing w:before="120" w:after="120" w:line="240" w:lineRule="auto"/>
        <w:jc w:val="both"/>
        <w:rPr>
          <w:rFonts w:cs="Times New Roman"/>
          <w:noProof/>
        </w:rPr>
      </w:pPr>
      <w:r>
        <w:rPr>
          <w:noProof/>
        </w:rPr>
        <w:t>L’objectif de cet investissement est de contribuer à la transition écologique du transport maritime de passagers en Grèce. La mesure consiste en la préparation d'une étude et d'un plan directeur pour le renouvellement de la flotte de transport de passagers du pays.</w:t>
      </w:r>
    </w:p>
    <w:p w14:paraId="39C23C12"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Réforme organisationnelle dans le secteur ferroviaire (mesure ID 16982)</w:t>
      </w:r>
    </w:p>
    <w:p w14:paraId="6B875CCC" w14:textId="77777777" w:rsidR="00A00259" w:rsidRDefault="00371282">
      <w:pPr>
        <w:pStyle w:val="P68B1DB1-Normal7"/>
        <w:spacing w:before="120" w:after="120" w:line="240" w:lineRule="auto"/>
        <w:jc w:val="both"/>
        <w:rPr>
          <w:rFonts w:cs="Times New Roman"/>
          <w:noProof/>
        </w:rPr>
      </w:pPr>
      <w:r>
        <w:rPr>
          <w:noProof/>
        </w:rPr>
        <w:t>L'objectif de la réforme est de rendre le secteur ferroviaire grec plus sûr, plus efficace, plus intégré, plus moderne et plus réactif à la demande des clients. La mesure consiste en des réformes juridiques et organisationnelles.</w:t>
      </w:r>
    </w:p>
    <w:p w14:paraId="42FFEB48"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Modification du cadre juridique pour attirer les investissements stratégiques (mesure ID 16593)</w:t>
      </w:r>
    </w:p>
    <w:p w14:paraId="6EF1F5A8" w14:textId="77777777" w:rsidR="00A00259" w:rsidRDefault="00371282">
      <w:pPr>
        <w:pStyle w:val="P68B1DB1-Normal7"/>
        <w:spacing w:before="120" w:after="120" w:line="240" w:lineRule="auto"/>
        <w:jc w:val="both"/>
        <w:rPr>
          <w:noProof/>
        </w:rPr>
      </w:pPr>
      <w:r>
        <w:rPr>
          <w:noProof/>
        </w:rPr>
        <w:t xml:space="preserve">L'objectif de la réforme est de promouvoir la Grèce en tant que destination attrayante pour les investisseurs potentiels. La réforme consiste à réviser et à consolider le cadre juridique pour attirer les investissements stratégiques, à créer une nouvelle catégorie d’investissements stratégiques («investissements emblématiques de grande importance») assortie d’incitations supplémentaires et à leur offrir des incitations financières. </w:t>
      </w:r>
    </w:p>
    <w:p w14:paraId="536A1954" w14:textId="77777777" w:rsidR="00A00259" w:rsidRDefault="00A00259">
      <w:pPr>
        <w:spacing w:before="120" w:after="120" w:line="240" w:lineRule="auto"/>
        <w:jc w:val="both"/>
        <w:rPr>
          <w:rFonts w:ascii="Times New Roman" w:hAnsi="Times New Roman" w:cs="Times New Roman"/>
          <w:b/>
          <w:noProof/>
          <w:sz w:val="24"/>
          <w:u w:val="single"/>
        </w:rPr>
      </w:pPr>
    </w:p>
    <w:p w14:paraId="285A898D" w14:textId="77777777" w:rsidR="00A00259" w:rsidRDefault="00A00259">
      <w:pPr>
        <w:spacing w:before="120" w:after="120" w:line="240" w:lineRule="auto"/>
        <w:ind w:left="709"/>
        <w:jc w:val="both"/>
        <w:rPr>
          <w:rFonts w:ascii="Times New Roman" w:hAnsi="Times New Roman" w:cs="Times New Roman"/>
          <w:noProof/>
          <w:sz w:val="24"/>
        </w:rPr>
        <w:sectPr w:rsidR="00A00259">
          <w:headerReference w:type="even" r:id="rId330"/>
          <w:headerReference w:type="default" r:id="rId331"/>
          <w:footerReference w:type="even" r:id="rId332"/>
          <w:footerReference w:type="default" r:id="rId333"/>
          <w:headerReference w:type="first" r:id="rId334"/>
          <w:footerReference w:type="first" r:id="rId335"/>
          <w:pgSz w:w="11906" w:h="16838"/>
          <w:pgMar w:top="1134" w:right="1134" w:bottom="1134" w:left="1134" w:header="567" w:footer="567" w:gutter="0"/>
          <w:cols w:space="708"/>
          <w:docGrid w:linePitch="360"/>
        </w:sectPr>
      </w:pPr>
    </w:p>
    <w:p w14:paraId="345BBE7D" w14:textId="77777777" w:rsidR="00A00259" w:rsidRDefault="00371282">
      <w:pPr>
        <w:pStyle w:val="P68B1DB1-Normal6"/>
        <w:spacing w:before="120" w:after="120" w:line="240" w:lineRule="auto"/>
        <w:jc w:val="both"/>
        <w:rPr>
          <w:noProof/>
        </w:rPr>
      </w:pPr>
      <w:r>
        <w:rPr>
          <w:noProof/>
        </w:rPr>
        <w:t>Q.2. Étapes, cibles, indicateurs et calendrier pour le suivi et la mise en œuvre du soutien financier non remboursable</w:t>
      </w:r>
      <w:r>
        <w:rPr>
          <w:noProof/>
          <w:color w:val="2B579A"/>
          <w:shd w:val="clear" w:color="auto" w:fill="E6E6E6"/>
        </w:rPr>
        <w:t xml:space="preserve"> </w:t>
      </w:r>
    </w:p>
    <w:p w14:paraId="3EA79A33" w14:textId="77777777" w:rsidR="00A00259" w:rsidRPr="00D64FD7" w:rsidRDefault="00371282">
      <w:pPr>
        <w:pStyle w:val="P68B1DB1-Normal9"/>
        <w:keepNext/>
        <w:keepLines/>
        <w:spacing w:before="40" w:after="240" w:line="240" w:lineRule="auto"/>
        <w:jc w:val="both"/>
        <w:outlineLvl w:val="4"/>
        <w:rPr>
          <w:rFonts w:eastAsia="Times New Roman"/>
          <w:noProof/>
          <w:lang w:val="en-GB"/>
        </w:rPr>
      </w:pPr>
      <w:r w:rsidRPr="00D64FD7">
        <w:rPr>
          <w:noProof/>
          <w:lang w:val="en-GB"/>
        </w:rPr>
        <w:t>Principaux investissements 6: Central Greece Highway E-65: Section Trikala-Egnatia</w:t>
      </w:r>
    </w:p>
    <w:tbl>
      <w:tblPr>
        <w:tblW w:w="15354" w:type="dxa"/>
        <w:jc w:val="center"/>
        <w:tblLook w:val="04A0" w:firstRow="1" w:lastRow="0" w:firstColumn="1" w:lastColumn="0" w:noHBand="0" w:noVBand="1"/>
      </w:tblPr>
      <w:tblGrid>
        <w:gridCol w:w="582"/>
        <w:gridCol w:w="1732"/>
        <w:gridCol w:w="1076"/>
        <w:gridCol w:w="1137"/>
        <w:gridCol w:w="1713"/>
        <w:gridCol w:w="1230"/>
        <w:gridCol w:w="936"/>
        <w:gridCol w:w="946"/>
        <w:gridCol w:w="1440"/>
        <w:gridCol w:w="1096"/>
        <w:gridCol w:w="3600"/>
      </w:tblGrid>
      <w:tr w:rsidR="00A00259" w14:paraId="2FDDF459" w14:textId="77777777">
        <w:trPr>
          <w:trHeight w:val="810"/>
          <w:tblHeader/>
          <w:jc w:val="center"/>
        </w:trPr>
        <w:tc>
          <w:tcPr>
            <w:tcW w:w="5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D379BC" w14:textId="77777777" w:rsidR="00A00259" w:rsidRDefault="00371282">
            <w:pPr>
              <w:pStyle w:val="P68B1DB1-Normal15"/>
              <w:spacing w:after="0" w:line="240" w:lineRule="auto"/>
              <w:jc w:val="center"/>
              <w:rPr>
                <w:rFonts w:eastAsia="Times New Roman"/>
                <w:noProof/>
              </w:rPr>
            </w:pPr>
            <w:r>
              <w:rPr>
                <w:noProof/>
              </w:rPr>
              <w:t xml:space="preserve">Seq. </w:t>
            </w:r>
            <w:r>
              <w:rPr>
                <w:noProof/>
              </w:rPr>
              <w:br/>
              <w:t>Non.</w:t>
            </w:r>
          </w:p>
        </w:tc>
        <w:tc>
          <w:tcPr>
            <w:tcW w:w="173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F1E7A7" w14:textId="77777777" w:rsidR="00A00259" w:rsidRDefault="00371282">
            <w:pPr>
              <w:pStyle w:val="P68B1DB1-Normal10"/>
              <w:spacing w:after="0" w:line="240" w:lineRule="auto"/>
              <w:jc w:val="center"/>
              <w:rPr>
                <w:rFonts w:eastAsia="Times New Roman" w:cs="Times New Roman"/>
                <w:noProof/>
                <w:szCs w:val="18"/>
              </w:rPr>
            </w:pPr>
            <w:r>
              <w:rPr>
                <w:noProof/>
              </w:rPr>
              <w:t>Mesure connexe (réforme ou investissement)</w:t>
            </w:r>
          </w:p>
        </w:tc>
        <w:tc>
          <w:tcPr>
            <w:tcW w:w="106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50E103" w14:textId="77777777" w:rsidR="00A00259" w:rsidRDefault="00371282">
            <w:pPr>
              <w:pStyle w:val="P68B1DB1-Normal10"/>
              <w:spacing w:after="0" w:line="240" w:lineRule="auto"/>
              <w:jc w:val="center"/>
              <w:rPr>
                <w:rFonts w:eastAsia="Times New Roman" w:cs="Times New Roman"/>
                <w:noProof/>
                <w:szCs w:val="18"/>
              </w:rPr>
            </w:pPr>
            <w:r>
              <w:rPr>
                <w:noProof/>
              </w:rPr>
              <w:t>Étape/cible</w:t>
            </w:r>
          </w:p>
        </w:tc>
        <w:tc>
          <w:tcPr>
            <w:tcW w:w="113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D506C8" w14:textId="77777777" w:rsidR="00A00259" w:rsidRDefault="00371282">
            <w:pPr>
              <w:pStyle w:val="P68B1DB1-Normal10"/>
              <w:spacing w:after="0" w:line="240" w:lineRule="auto"/>
              <w:jc w:val="center"/>
              <w:rPr>
                <w:rFonts w:eastAsia="Times New Roman" w:cs="Times New Roman"/>
                <w:noProof/>
                <w:szCs w:val="18"/>
              </w:rPr>
            </w:pPr>
            <w:r>
              <w:rPr>
                <w:noProof/>
              </w:rPr>
              <w:t>Nom</w:t>
            </w:r>
          </w:p>
        </w:tc>
        <w:tc>
          <w:tcPr>
            <w:tcW w:w="17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4720691" w14:textId="4B03A482" w:rsidR="00A00259" w:rsidRDefault="00371282">
            <w:pPr>
              <w:pStyle w:val="P68B1DB1-Normal10"/>
              <w:spacing w:after="0" w:line="240" w:lineRule="auto"/>
              <w:jc w:val="center"/>
              <w:rPr>
                <w:rFonts w:eastAsia="Times New Roman" w:cs="Times New Roman"/>
                <w:noProof/>
                <w:szCs w:val="18"/>
              </w:rPr>
            </w:pPr>
            <w:r>
              <w:rPr>
                <w:noProof/>
              </w:rPr>
              <w:t>Indicateurs qualitatifs (pour les jalons)</w:t>
            </w:r>
          </w:p>
        </w:tc>
        <w:tc>
          <w:tcPr>
            <w:tcW w:w="303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572AF55" w14:textId="77777777" w:rsidR="00A00259" w:rsidRDefault="00371282">
            <w:pPr>
              <w:pStyle w:val="P68B1DB1-Normal10"/>
              <w:spacing w:after="0" w:line="240" w:lineRule="auto"/>
              <w:jc w:val="center"/>
              <w:rPr>
                <w:rFonts w:eastAsia="Times New Roman" w:cs="Times New Roman"/>
                <w:noProof/>
                <w:szCs w:val="18"/>
              </w:rPr>
            </w:pPr>
            <w:r>
              <w:rPr>
                <w:noProof/>
              </w:rPr>
              <w:t>Indicateurs quantitatifs (pour les objectifs)</w:t>
            </w:r>
          </w:p>
        </w:tc>
        <w:tc>
          <w:tcPr>
            <w:tcW w:w="2536" w:type="dxa"/>
            <w:gridSpan w:val="2"/>
            <w:tcBorders>
              <w:top w:val="single" w:sz="4" w:space="0" w:color="auto"/>
              <w:left w:val="nil"/>
              <w:bottom w:val="single" w:sz="4" w:space="0" w:color="auto"/>
              <w:right w:val="single" w:sz="4" w:space="0" w:color="auto"/>
            </w:tcBorders>
            <w:shd w:val="clear" w:color="auto" w:fill="BDD7EE"/>
            <w:vAlign w:val="center"/>
            <w:hideMark/>
          </w:tcPr>
          <w:p w14:paraId="7BBD34BB" w14:textId="77777777" w:rsidR="00A00259" w:rsidRDefault="00371282">
            <w:pPr>
              <w:pStyle w:val="P68B1DB1-Normal10"/>
              <w:spacing w:after="0" w:line="240" w:lineRule="auto"/>
              <w:jc w:val="center"/>
              <w:rPr>
                <w:rFonts w:eastAsia="Times New Roman" w:cs="Times New Roman"/>
                <w:noProof/>
                <w:szCs w:val="18"/>
              </w:rPr>
            </w:pPr>
            <w:r>
              <w:rPr>
                <w:noProof/>
              </w:rPr>
              <w:t xml:space="preserve">Calendrier indicatif d'achèvement </w:t>
            </w:r>
          </w:p>
        </w:tc>
        <w:tc>
          <w:tcPr>
            <w:tcW w:w="36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9CD682" w14:textId="77777777" w:rsidR="00A00259" w:rsidRDefault="00371282">
            <w:pPr>
              <w:pStyle w:val="P68B1DB1-Normal10"/>
              <w:spacing w:after="0" w:line="240" w:lineRule="auto"/>
              <w:jc w:val="center"/>
              <w:rPr>
                <w:rFonts w:eastAsia="Times New Roman" w:cs="Times New Roman"/>
                <w:noProof/>
                <w:szCs w:val="18"/>
              </w:rPr>
            </w:pPr>
            <w:r>
              <w:rPr>
                <w:noProof/>
              </w:rPr>
              <w:t>Description de chaque jalon et cible</w:t>
            </w:r>
          </w:p>
        </w:tc>
      </w:tr>
      <w:tr w:rsidR="00A00259" w14:paraId="1E1589B3" w14:textId="77777777">
        <w:trPr>
          <w:trHeight w:val="440"/>
          <w:tblHeader/>
          <w:jc w:val="center"/>
        </w:trPr>
        <w:tc>
          <w:tcPr>
            <w:tcW w:w="542" w:type="dxa"/>
            <w:vMerge/>
            <w:tcBorders>
              <w:top w:val="single" w:sz="4" w:space="0" w:color="auto"/>
              <w:left w:val="single" w:sz="4" w:space="0" w:color="auto"/>
              <w:bottom w:val="single" w:sz="4" w:space="0" w:color="auto"/>
              <w:right w:val="single" w:sz="4" w:space="0" w:color="auto"/>
            </w:tcBorders>
            <w:vAlign w:val="center"/>
            <w:hideMark/>
          </w:tcPr>
          <w:p w14:paraId="70F3B9DE" w14:textId="77777777" w:rsidR="00A00259" w:rsidRDefault="00A00259">
            <w:pPr>
              <w:spacing w:after="0" w:line="240" w:lineRule="auto"/>
              <w:rPr>
                <w:rFonts w:ascii="Times New Roman" w:eastAsia="Times New Roman" w:hAnsi="Times New Roman" w:cs="Times New Roman"/>
                <w:b/>
                <w:bCs/>
                <w:noProof/>
                <w:sz w:val="18"/>
                <w:szCs w:val="18"/>
              </w:rPr>
            </w:pPr>
          </w:p>
        </w:tc>
        <w:tc>
          <w:tcPr>
            <w:tcW w:w="1732" w:type="dxa"/>
            <w:vMerge/>
            <w:tcBorders>
              <w:top w:val="single" w:sz="4" w:space="0" w:color="auto"/>
              <w:left w:val="single" w:sz="4" w:space="0" w:color="auto"/>
              <w:bottom w:val="single" w:sz="4" w:space="0" w:color="auto"/>
              <w:right w:val="single" w:sz="4" w:space="0" w:color="auto"/>
            </w:tcBorders>
            <w:vAlign w:val="center"/>
            <w:hideMark/>
          </w:tcPr>
          <w:p w14:paraId="512E7B0D" w14:textId="77777777" w:rsidR="00A00259" w:rsidRDefault="00A00259">
            <w:pPr>
              <w:spacing w:after="0" w:line="240" w:lineRule="auto"/>
              <w:rPr>
                <w:rFonts w:ascii="Times New Roman" w:eastAsia="Times New Roman" w:hAnsi="Times New Roman" w:cs="Times New Roman"/>
                <w:b/>
                <w:bCs/>
                <w:noProof/>
                <w:sz w:val="18"/>
                <w:szCs w:val="18"/>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14:paraId="7F336FDF" w14:textId="77777777" w:rsidR="00A00259" w:rsidRDefault="00A00259">
            <w:pPr>
              <w:spacing w:after="0" w:line="240" w:lineRule="auto"/>
              <w:rPr>
                <w:rFonts w:ascii="Times New Roman" w:eastAsia="Times New Roman" w:hAnsi="Times New Roman" w:cs="Times New Roman"/>
                <w:b/>
                <w:bCs/>
                <w:noProof/>
                <w:sz w:val="18"/>
                <w:szCs w:val="18"/>
              </w:rPr>
            </w:pPr>
          </w:p>
        </w:tc>
        <w:tc>
          <w:tcPr>
            <w:tcW w:w="1137" w:type="dxa"/>
            <w:vMerge/>
            <w:tcBorders>
              <w:top w:val="single" w:sz="4" w:space="0" w:color="auto"/>
              <w:left w:val="single" w:sz="4" w:space="0" w:color="auto"/>
              <w:bottom w:val="single" w:sz="4" w:space="0" w:color="auto"/>
              <w:right w:val="single" w:sz="4" w:space="0" w:color="auto"/>
            </w:tcBorders>
            <w:vAlign w:val="center"/>
            <w:hideMark/>
          </w:tcPr>
          <w:p w14:paraId="7357A928" w14:textId="77777777" w:rsidR="00A00259" w:rsidRDefault="00A00259">
            <w:pPr>
              <w:spacing w:after="0" w:line="240" w:lineRule="auto"/>
              <w:rPr>
                <w:rFonts w:ascii="Times New Roman" w:eastAsia="Times New Roman" w:hAnsi="Times New Roman" w:cs="Times New Roman"/>
                <w:b/>
                <w:bCs/>
                <w:noProof/>
                <w:sz w:val="18"/>
                <w:szCs w:val="18"/>
              </w:rPr>
            </w:pPr>
          </w:p>
        </w:tc>
        <w:tc>
          <w:tcPr>
            <w:tcW w:w="1713" w:type="dxa"/>
            <w:vMerge/>
            <w:tcBorders>
              <w:top w:val="single" w:sz="4" w:space="0" w:color="auto"/>
              <w:left w:val="single" w:sz="4" w:space="0" w:color="auto"/>
              <w:bottom w:val="single" w:sz="4" w:space="0" w:color="auto"/>
              <w:right w:val="single" w:sz="4" w:space="0" w:color="auto"/>
            </w:tcBorders>
            <w:vAlign w:val="center"/>
            <w:hideMark/>
          </w:tcPr>
          <w:p w14:paraId="05015A26" w14:textId="77777777" w:rsidR="00A00259" w:rsidRDefault="00A00259">
            <w:pPr>
              <w:spacing w:after="0" w:line="240" w:lineRule="auto"/>
              <w:rPr>
                <w:rFonts w:ascii="Times New Roman" w:eastAsia="Times New Roman" w:hAnsi="Times New Roman" w:cs="Times New Roman"/>
                <w:b/>
                <w:bCs/>
                <w:noProof/>
                <w:sz w:val="18"/>
                <w:szCs w:val="18"/>
              </w:rPr>
            </w:pPr>
          </w:p>
        </w:tc>
        <w:tc>
          <w:tcPr>
            <w:tcW w:w="123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FEC059A" w14:textId="77777777" w:rsidR="00A00259" w:rsidRDefault="00371282">
            <w:pPr>
              <w:pStyle w:val="P68B1DB1-Normal10"/>
              <w:spacing w:after="0" w:line="240" w:lineRule="auto"/>
              <w:jc w:val="center"/>
              <w:rPr>
                <w:rFonts w:eastAsia="Times New Roman" w:cs="Times New Roman"/>
                <w:noProof/>
                <w:szCs w:val="18"/>
              </w:rPr>
            </w:pPr>
            <w:r>
              <w:rPr>
                <w:noProof/>
              </w:rPr>
              <w:t>Unité de mesure</w:t>
            </w:r>
          </w:p>
        </w:tc>
        <w:tc>
          <w:tcPr>
            <w:tcW w:w="857" w:type="dxa"/>
            <w:tcBorders>
              <w:top w:val="nil"/>
              <w:left w:val="nil"/>
              <w:bottom w:val="single" w:sz="4" w:space="0" w:color="auto"/>
              <w:right w:val="single" w:sz="4" w:space="0" w:color="auto"/>
            </w:tcBorders>
            <w:shd w:val="clear" w:color="auto" w:fill="BDD7EE"/>
            <w:vAlign w:val="center"/>
            <w:hideMark/>
          </w:tcPr>
          <w:p w14:paraId="3C9F9559" w14:textId="77777777" w:rsidR="00A00259" w:rsidRDefault="00371282">
            <w:pPr>
              <w:pStyle w:val="P68B1DB1-Normal10"/>
              <w:spacing w:after="0" w:line="240" w:lineRule="auto"/>
              <w:jc w:val="center"/>
              <w:rPr>
                <w:rFonts w:eastAsia="Times New Roman" w:cs="Times New Roman"/>
                <w:noProof/>
                <w:szCs w:val="18"/>
              </w:rPr>
            </w:pPr>
            <w:r>
              <w:rPr>
                <w:noProof/>
              </w:rPr>
              <w:t xml:space="preserve">Données de référence </w:t>
            </w:r>
          </w:p>
        </w:tc>
        <w:tc>
          <w:tcPr>
            <w:tcW w:w="946" w:type="dxa"/>
            <w:tcBorders>
              <w:top w:val="nil"/>
              <w:left w:val="nil"/>
              <w:bottom w:val="single" w:sz="4" w:space="0" w:color="auto"/>
              <w:right w:val="single" w:sz="4" w:space="0" w:color="auto"/>
            </w:tcBorders>
            <w:shd w:val="clear" w:color="auto" w:fill="BDD7EE"/>
            <w:vAlign w:val="center"/>
            <w:hideMark/>
          </w:tcPr>
          <w:p w14:paraId="51315E35" w14:textId="77777777" w:rsidR="00A00259" w:rsidRDefault="00371282">
            <w:pPr>
              <w:pStyle w:val="P68B1DB1-Normal10"/>
              <w:spacing w:after="0" w:line="240" w:lineRule="auto"/>
              <w:jc w:val="center"/>
              <w:rPr>
                <w:rFonts w:eastAsia="Times New Roman" w:cs="Times New Roman"/>
                <w:noProof/>
                <w:szCs w:val="18"/>
              </w:rPr>
            </w:pPr>
            <w:r>
              <w:rPr>
                <w:noProof/>
              </w:rPr>
              <w:t xml:space="preserve">Objectif </w:t>
            </w:r>
          </w:p>
        </w:tc>
        <w:tc>
          <w:tcPr>
            <w:tcW w:w="1440" w:type="dxa"/>
            <w:tcBorders>
              <w:top w:val="nil"/>
              <w:left w:val="nil"/>
              <w:bottom w:val="single" w:sz="4" w:space="0" w:color="auto"/>
              <w:right w:val="single" w:sz="4" w:space="0" w:color="auto"/>
            </w:tcBorders>
            <w:shd w:val="clear" w:color="auto" w:fill="BDD7EE"/>
            <w:vAlign w:val="center"/>
            <w:hideMark/>
          </w:tcPr>
          <w:p w14:paraId="6DF80027" w14:textId="77777777" w:rsidR="00A00259" w:rsidRDefault="00371282">
            <w:pPr>
              <w:pStyle w:val="P68B1DB1-Normal10"/>
              <w:spacing w:after="0" w:line="240" w:lineRule="auto"/>
              <w:jc w:val="center"/>
              <w:rPr>
                <w:rFonts w:eastAsia="Times New Roman" w:cs="Times New Roman"/>
                <w:noProof/>
                <w:szCs w:val="18"/>
              </w:rPr>
            </w:pPr>
            <w:r>
              <w:rPr>
                <w:noProof/>
              </w:rPr>
              <w:t>Trimestre</w:t>
            </w:r>
          </w:p>
        </w:tc>
        <w:tc>
          <w:tcPr>
            <w:tcW w:w="1096" w:type="dxa"/>
            <w:tcBorders>
              <w:top w:val="nil"/>
              <w:left w:val="nil"/>
              <w:bottom w:val="single" w:sz="4" w:space="0" w:color="auto"/>
              <w:right w:val="single" w:sz="4" w:space="0" w:color="auto"/>
            </w:tcBorders>
            <w:shd w:val="clear" w:color="auto" w:fill="BDD7EE"/>
            <w:vAlign w:val="center"/>
            <w:hideMark/>
          </w:tcPr>
          <w:p w14:paraId="5E2ABD65" w14:textId="77777777" w:rsidR="00A00259" w:rsidRDefault="00371282">
            <w:pPr>
              <w:pStyle w:val="P68B1DB1-Normal10"/>
              <w:spacing w:after="0" w:line="240" w:lineRule="auto"/>
              <w:jc w:val="center"/>
              <w:rPr>
                <w:rFonts w:eastAsia="Times New Roman" w:cs="Times New Roman"/>
                <w:noProof/>
                <w:szCs w:val="18"/>
              </w:rPr>
            </w:pPr>
            <w:r>
              <w:rPr>
                <w:noProof/>
              </w:rPr>
              <w:t>Année</w:t>
            </w:r>
          </w:p>
        </w:tc>
        <w:tc>
          <w:tcPr>
            <w:tcW w:w="3600" w:type="dxa"/>
            <w:vMerge/>
            <w:tcBorders>
              <w:top w:val="single" w:sz="4" w:space="0" w:color="auto"/>
              <w:bottom w:val="single" w:sz="4" w:space="0" w:color="auto"/>
              <w:right w:val="single" w:sz="4" w:space="0" w:color="auto"/>
            </w:tcBorders>
            <w:vAlign w:val="center"/>
            <w:hideMark/>
          </w:tcPr>
          <w:p w14:paraId="28B0B4D1"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1E382C2C" w14:textId="77777777">
        <w:trPr>
          <w:trHeight w:val="313"/>
          <w:jc w:val="center"/>
        </w:trPr>
        <w:tc>
          <w:tcPr>
            <w:tcW w:w="542" w:type="dxa"/>
            <w:tcBorders>
              <w:top w:val="single" w:sz="4" w:space="0" w:color="auto"/>
              <w:left w:val="single" w:sz="4" w:space="0" w:color="auto"/>
              <w:bottom w:val="single" w:sz="4" w:space="0" w:color="auto"/>
              <w:right w:val="single" w:sz="4" w:space="0" w:color="auto"/>
            </w:tcBorders>
            <w:shd w:val="clear" w:color="auto" w:fill="C6EFCE"/>
            <w:noWrap/>
          </w:tcPr>
          <w:p w14:paraId="3B504E5A" w14:textId="77777777" w:rsidR="00A00259" w:rsidRDefault="00371282">
            <w:pPr>
              <w:pStyle w:val="P68B1DB1-Normal13"/>
              <w:spacing w:after="0" w:line="240" w:lineRule="auto"/>
              <w:rPr>
                <w:rFonts w:eastAsia="Times New Roman"/>
                <w:noProof/>
                <w:szCs w:val="18"/>
              </w:rPr>
            </w:pPr>
            <w:r>
              <w:rPr>
                <w:noProof/>
              </w:rPr>
              <w:t>254</w:t>
            </w:r>
          </w:p>
        </w:tc>
        <w:tc>
          <w:tcPr>
            <w:tcW w:w="1732" w:type="dxa"/>
            <w:tcBorders>
              <w:top w:val="single" w:sz="4" w:space="0" w:color="auto"/>
              <w:left w:val="nil"/>
              <w:bottom w:val="single" w:sz="4" w:space="0" w:color="auto"/>
              <w:right w:val="single" w:sz="4" w:space="0" w:color="auto"/>
            </w:tcBorders>
            <w:shd w:val="clear" w:color="auto" w:fill="C6EFCE"/>
            <w:noWrap/>
          </w:tcPr>
          <w:p w14:paraId="12DAA0A0" w14:textId="77777777" w:rsidR="00A00259" w:rsidRDefault="00371282">
            <w:pPr>
              <w:pStyle w:val="P68B1DB1-Normal13"/>
              <w:spacing w:after="0" w:line="240" w:lineRule="auto"/>
              <w:rPr>
                <w:rFonts w:eastAsia="Times New Roman"/>
                <w:noProof/>
                <w:szCs w:val="18"/>
              </w:rPr>
            </w:pPr>
            <w:r>
              <w:rPr>
                <w:noProof/>
              </w:rPr>
              <w:t>17 - 4.6. Moderniser et améliorer la résilience des secteurs économiques clés - 16628_Grèce centrale Autoroute E-65: Section Trikala-Egnatia</w:t>
            </w:r>
          </w:p>
        </w:tc>
        <w:tc>
          <w:tcPr>
            <w:tcW w:w="1061" w:type="dxa"/>
            <w:tcBorders>
              <w:top w:val="single" w:sz="4" w:space="0" w:color="auto"/>
              <w:left w:val="nil"/>
              <w:bottom w:val="single" w:sz="4" w:space="0" w:color="auto"/>
              <w:right w:val="single" w:sz="4" w:space="0" w:color="auto"/>
            </w:tcBorders>
            <w:shd w:val="clear" w:color="auto" w:fill="C6EFCE"/>
            <w:noWrap/>
          </w:tcPr>
          <w:p w14:paraId="6850CA01" w14:textId="77777777" w:rsidR="00A00259" w:rsidRDefault="00371282">
            <w:pPr>
              <w:pStyle w:val="P68B1DB1-Normal13"/>
              <w:spacing w:after="0" w:line="240" w:lineRule="auto"/>
              <w:rPr>
                <w:rFonts w:eastAsia="Times New Roman"/>
                <w:noProof/>
                <w:szCs w:val="18"/>
              </w:rPr>
            </w:pPr>
            <w:r>
              <w:rPr>
                <w:noProof/>
              </w:rPr>
              <w:t>Étape</w:t>
            </w:r>
          </w:p>
        </w:tc>
        <w:tc>
          <w:tcPr>
            <w:tcW w:w="1137" w:type="dxa"/>
            <w:tcBorders>
              <w:top w:val="single" w:sz="4" w:space="0" w:color="auto"/>
              <w:left w:val="nil"/>
              <w:bottom w:val="single" w:sz="4" w:space="0" w:color="auto"/>
              <w:right w:val="single" w:sz="4" w:space="0" w:color="auto"/>
            </w:tcBorders>
            <w:shd w:val="clear" w:color="auto" w:fill="C6EFCE"/>
            <w:noWrap/>
          </w:tcPr>
          <w:p w14:paraId="7E6264D2" w14:textId="77777777" w:rsidR="00A00259" w:rsidRDefault="00371282">
            <w:pPr>
              <w:pStyle w:val="P68B1DB1-Normal13"/>
              <w:spacing w:after="0" w:line="240" w:lineRule="auto"/>
              <w:rPr>
                <w:rFonts w:eastAsia="Times New Roman"/>
                <w:noProof/>
                <w:szCs w:val="18"/>
              </w:rPr>
            </w:pPr>
            <w:r>
              <w:rPr>
                <w:noProof/>
              </w:rPr>
              <w:t>Début des travaux de construction dans l'E-65</w:t>
            </w:r>
          </w:p>
        </w:tc>
        <w:tc>
          <w:tcPr>
            <w:tcW w:w="1713" w:type="dxa"/>
            <w:tcBorders>
              <w:top w:val="single" w:sz="4" w:space="0" w:color="auto"/>
              <w:left w:val="nil"/>
              <w:bottom w:val="single" w:sz="4" w:space="0" w:color="auto"/>
              <w:right w:val="single" w:sz="4" w:space="0" w:color="auto"/>
            </w:tcBorders>
            <w:shd w:val="clear" w:color="auto" w:fill="C6EFCE"/>
            <w:noWrap/>
          </w:tcPr>
          <w:p w14:paraId="1FC2D20A" w14:textId="77777777" w:rsidR="00A00259" w:rsidRDefault="00371282">
            <w:pPr>
              <w:pStyle w:val="P68B1DB1-Normal13"/>
              <w:spacing w:after="0" w:line="240" w:lineRule="auto"/>
              <w:rPr>
                <w:rFonts w:eastAsia="Times New Roman"/>
                <w:noProof/>
                <w:szCs w:val="18"/>
              </w:rPr>
            </w:pPr>
            <w:r>
              <w:rPr>
                <w:noProof/>
              </w:rPr>
              <w:t>Rapport d'un ingénieur indépendant ratifié par le ministère de l'Infrastructure</w:t>
            </w:r>
          </w:p>
        </w:tc>
        <w:tc>
          <w:tcPr>
            <w:tcW w:w="1230" w:type="dxa"/>
            <w:tcBorders>
              <w:top w:val="single" w:sz="4" w:space="0" w:color="auto"/>
              <w:left w:val="nil"/>
              <w:bottom w:val="single" w:sz="4" w:space="0" w:color="auto"/>
              <w:right w:val="single" w:sz="4" w:space="0" w:color="auto"/>
            </w:tcBorders>
            <w:shd w:val="clear" w:color="auto" w:fill="C6EFCE"/>
            <w:noWrap/>
          </w:tcPr>
          <w:p w14:paraId="100085F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7F1F9D9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46" w:type="dxa"/>
            <w:tcBorders>
              <w:top w:val="nil"/>
              <w:left w:val="nil"/>
              <w:bottom w:val="single" w:sz="4" w:space="0" w:color="auto"/>
              <w:right w:val="single" w:sz="4" w:space="0" w:color="auto"/>
            </w:tcBorders>
            <w:shd w:val="clear" w:color="auto" w:fill="C6EFCE"/>
            <w:noWrap/>
          </w:tcPr>
          <w:p w14:paraId="7AED42F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440" w:type="dxa"/>
            <w:tcBorders>
              <w:top w:val="nil"/>
              <w:left w:val="nil"/>
              <w:bottom w:val="single" w:sz="4" w:space="0" w:color="auto"/>
              <w:right w:val="single" w:sz="4" w:space="0" w:color="auto"/>
            </w:tcBorders>
            <w:shd w:val="clear" w:color="auto" w:fill="C6EFCE"/>
            <w:noWrap/>
          </w:tcPr>
          <w:p w14:paraId="7B2E8525" w14:textId="77777777" w:rsidR="00A00259" w:rsidRDefault="00371282">
            <w:pPr>
              <w:pStyle w:val="P68B1DB1-Normal13"/>
              <w:spacing w:after="0" w:line="240" w:lineRule="auto"/>
              <w:rPr>
                <w:rFonts w:eastAsia="Times New Roman"/>
                <w:noProof/>
                <w:szCs w:val="18"/>
              </w:rPr>
            </w:pPr>
            <w:r>
              <w:rPr>
                <w:noProof/>
              </w:rPr>
              <w:t>T2</w:t>
            </w:r>
          </w:p>
        </w:tc>
        <w:tc>
          <w:tcPr>
            <w:tcW w:w="1096" w:type="dxa"/>
            <w:tcBorders>
              <w:top w:val="nil"/>
              <w:left w:val="nil"/>
              <w:bottom w:val="single" w:sz="4" w:space="0" w:color="auto"/>
              <w:right w:val="single" w:sz="4" w:space="0" w:color="auto"/>
            </w:tcBorders>
            <w:shd w:val="clear" w:color="auto" w:fill="C6EFCE"/>
            <w:noWrap/>
          </w:tcPr>
          <w:p w14:paraId="42B6DC0B" w14:textId="77777777" w:rsidR="00A00259" w:rsidRDefault="00371282">
            <w:pPr>
              <w:pStyle w:val="P68B1DB1-Normal13"/>
              <w:spacing w:after="0" w:line="240" w:lineRule="auto"/>
              <w:rPr>
                <w:rFonts w:eastAsia="Times New Roman"/>
                <w:noProof/>
                <w:szCs w:val="18"/>
              </w:rPr>
            </w:pPr>
            <w:r>
              <w:rPr>
                <w:noProof/>
              </w:rPr>
              <w:t>2022</w:t>
            </w:r>
          </w:p>
        </w:tc>
        <w:tc>
          <w:tcPr>
            <w:tcW w:w="3600" w:type="dxa"/>
            <w:tcBorders>
              <w:top w:val="single" w:sz="4" w:space="0" w:color="auto"/>
              <w:left w:val="nil"/>
              <w:bottom w:val="single" w:sz="4" w:space="0" w:color="auto"/>
              <w:right w:val="single" w:sz="4" w:space="0" w:color="auto"/>
            </w:tcBorders>
            <w:shd w:val="clear" w:color="auto" w:fill="C6EFCE"/>
            <w:noWrap/>
          </w:tcPr>
          <w:p w14:paraId="7C2478B8" w14:textId="77777777" w:rsidR="00A00259" w:rsidRDefault="00371282">
            <w:pPr>
              <w:pStyle w:val="P68B1DB1-Normal13"/>
              <w:spacing w:after="0" w:line="240" w:lineRule="auto"/>
              <w:rPr>
                <w:rFonts w:eastAsia="Times New Roman"/>
                <w:noProof/>
                <w:szCs w:val="18"/>
              </w:rPr>
            </w:pPr>
            <w:r>
              <w:rPr>
                <w:noProof/>
              </w:rPr>
              <w:t>Début des travaux de construction de l'autoroute E-65 (Grèce centrale): Trikala-Egnatia</w:t>
            </w:r>
          </w:p>
        </w:tc>
      </w:tr>
      <w:tr w:rsidR="00A00259" w14:paraId="6CACD57B" w14:textId="77777777">
        <w:trPr>
          <w:trHeight w:val="313"/>
          <w:jc w:val="center"/>
        </w:trPr>
        <w:tc>
          <w:tcPr>
            <w:tcW w:w="542" w:type="dxa"/>
            <w:tcBorders>
              <w:top w:val="nil"/>
              <w:left w:val="single" w:sz="4" w:space="0" w:color="auto"/>
              <w:bottom w:val="single" w:sz="4" w:space="0" w:color="auto"/>
              <w:right w:val="single" w:sz="4" w:space="0" w:color="auto"/>
            </w:tcBorders>
            <w:shd w:val="clear" w:color="auto" w:fill="C6EFCE"/>
            <w:noWrap/>
            <w:hideMark/>
          </w:tcPr>
          <w:p w14:paraId="6C035B3D" w14:textId="77777777" w:rsidR="00A00259" w:rsidRDefault="00371282">
            <w:pPr>
              <w:pStyle w:val="P68B1DB1-Normal13"/>
              <w:spacing w:after="0" w:line="240" w:lineRule="auto"/>
              <w:rPr>
                <w:rFonts w:eastAsia="Times New Roman"/>
                <w:noProof/>
                <w:szCs w:val="18"/>
              </w:rPr>
            </w:pPr>
            <w:r>
              <w:rPr>
                <w:noProof/>
              </w:rPr>
              <w:t>256</w:t>
            </w:r>
          </w:p>
        </w:tc>
        <w:tc>
          <w:tcPr>
            <w:tcW w:w="1732" w:type="dxa"/>
            <w:tcBorders>
              <w:top w:val="nil"/>
              <w:left w:val="nil"/>
              <w:bottom w:val="single" w:sz="4" w:space="0" w:color="auto"/>
              <w:right w:val="single" w:sz="4" w:space="0" w:color="auto"/>
            </w:tcBorders>
            <w:shd w:val="clear" w:color="auto" w:fill="C6EFCE"/>
            <w:noWrap/>
            <w:hideMark/>
          </w:tcPr>
          <w:p w14:paraId="57D02965" w14:textId="77777777" w:rsidR="00A00259" w:rsidRDefault="00371282">
            <w:pPr>
              <w:pStyle w:val="P68B1DB1-Normal13"/>
              <w:spacing w:after="0" w:line="240" w:lineRule="auto"/>
              <w:rPr>
                <w:rFonts w:eastAsia="Times New Roman"/>
                <w:noProof/>
                <w:szCs w:val="18"/>
              </w:rPr>
            </w:pPr>
            <w:r>
              <w:rPr>
                <w:noProof/>
              </w:rPr>
              <w:t> 17 - 4.6. Moderniser et améliorer la résilience des secteurs économiques clés - 16628_Grèce centrale Autoroute E-65: Section Trikala-Egnatia</w:t>
            </w:r>
          </w:p>
        </w:tc>
        <w:tc>
          <w:tcPr>
            <w:tcW w:w="1061" w:type="dxa"/>
            <w:tcBorders>
              <w:top w:val="nil"/>
              <w:left w:val="nil"/>
              <w:bottom w:val="single" w:sz="4" w:space="0" w:color="auto"/>
              <w:right w:val="single" w:sz="4" w:space="0" w:color="auto"/>
            </w:tcBorders>
            <w:shd w:val="clear" w:color="auto" w:fill="C6EFCE"/>
            <w:noWrap/>
            <w:hideMark/>
          </w:tcPr>
          <w:p w14:paraId="67D0F9CE" w14:textId="77777777" w:rsidR="00A00259" w:rsidRDefault="00371282">
            <w:pPr>
              <w:pStyle w:val="P68B1DB1-Normal13"/>
              <w:spacing w:after="0" w:line="240" w:lineRule="auto"/>
              <w:rPr>
                <w:rFonts w:eastAsia="Times New Roman"/>
                <w:noProof/>
                <w:szCs w:val="18"/>
              </w:rPr>
            </w:pPr>
            <w:r>
              <w:rPr>
                <w:noProof/>
              </w:rPr>
              <w:t>Étape</w:t>
            </w:r>
          </w:p>
        </w:tc>
        <w:tc>
          <w:tcPr>
            <w:tcW w:w="1137" w:type="dxa"/>
            <w:tcBorders>
              <w:top w:val="nil"/>
              <w:left w:val="nil"/>
              <w:bottom w:val="single" w:sz="4" w:space="0" w:color="auto"/>
              <w:right w:val="single" w:sz="4" w:space="0" w:color="auto"/>
            </w:tcBorders>
            <w:shd w:val="clear" w:color="auto" w:fill="C6EFCE"/>
            <w:noWrap/>
            <w:hideMark/>
          </w:tcPr>
          <w:p w14:paraId="570C462D" w14:textId="77777777" w:rsidR="00A00259" w:rsidRDefault="00371282">
            <w:pPr>
              <w:pStyle w:val="P68B1DB1-Normal13"/>
              <w:spacing w:after="0" w:line="240" w:lineRule="auto"/>
              <w:rPr>
                <w:rFonts w:eastAsia="Times New Roman"/>
                <w:noProof/>
                <w:szCs w:val="18"/>
              </w:rPr>
            </w:pPr>
            <w:r>
              <w:rPr>
                <w:noProof/>
              </w:rPr>
              <w:t>Travaux E-65 — Achèvement</w:t>
            </w:r>
          </w:p>
        </w:tc>
        <w:tc>
          <w:tcPr>
            <w:tcW w:w="1713" w:type="dxa"/>
            <w:tcBorders>
              <w:top w:val="nil"/>
              <w:left w:val="nil"/>
              <w:bottom w:val="single" w:sz="4" w:space="0" w:color="auto"/>
              <w:right w:val="single" w:sz="4" w:space="0" w:color="auto"/>
            </w:tcBorders>
            <w:shd w:val="clear" w:color="auto" w:fill="C6EFCE"/>
            <w:noWrap/>
            <w:hideMark/>
          </w:tcPr>
          <w:p w14:paraId="0CED0D3C" w14:textId="77777777" w:rsidR="00A00259" w:rsidRDefault="00371282">
            <w:pPr>
              <w:pStyle w:val="P68B1DB1-Normal23"/>
              <w:spacing w:after="0" w:line="240" w:lineRule="auto"/>
              <w:rPr>
                <w:noProof/>
              </w:rPr>
            </w:pPr>
            <w:r>
              <w:rPr>
                <w:noProof/>
              </w:rPr>
              <w:t>Travaux de construction du tronçon Trikala-Egnatia de l'autoroute E-65 nécessaires au fonctionnement de l'autoroute</w:t>
            </w:r>
          </w:p>
        </w:tc>
        <w:tc>
          <w:tcPr>
            <w:tcW w:w="1230" w:type="dxa"/>
            <w:tcBorders>
              <w:top w:val="nil"/>
              <w:left w:val="nil"/>
              <w:bottom w:val="single" w:sz="4" w:space="0" w:color="auto"/>
              <w:right w:val="single" w:sz="4" w:space="0" w:color="auto"/>
            </w:tcBorders>
            <w:shd w:val="clear" w:color="auto" w:fill="C6EFCE"/>
            <w:noWrap/>
            <w:hideMark/>
          </w:tcPr>
          <w:p w14:paraId="7D2164F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hideMark/>
          </w:tcPr>
          <w:p w14:paraId="052ABA4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46" w:type="dxa"/>
            <w:tcBorders>
              <w:top w:val="nil"/>
              <w:left w:val="nil"/>
              <w:bottom w:val="single" w:sz="4" w:space="0" w:color="auto"/>
              <w:right w:val="single" w:sz="4" w:space="0" w:color="auto"/>
            </w:tcBorders>
            <w:shd w:val="clear" w:color="auto" w:fill="C6EFCE"/>
            <w:noWrap/>
            <w:hideMark/>
          </w:tcPr>
          <w:p w14:paraId="53394DA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440" w:type="dxa"/>
            <w:tcBorders>
              <w:top w:val="nil"/>
              <w:left w:val="nil"/>
              <w:bottom w:val="single" w:sz="4" w:space="0" w:color="auto"/>
              <w:right w:val="single" w:sz="4" w:space="0" w:color="auto"/>
            </w:tcBorders>
            <w:shd w:val="clear" w:color="auto" w:fill="C6EFCE"/>
            <w:noWrap/>
            <w:hideMark/>
          </w:tcPr>
          <w:p w14:paraId="5865A071" w14:textId="77777777" w:rsidR="00A00259" w:rsidRDefault="00371282">
            <w:pPr>
              <w:pStyle w:val="P68B1DB1-Normal13"/>
              <w:spacing w:after="0" w:line="240" w:lineRule="auto"/>
              <w:rPr>
                <w:rFonts w:eastAsia="Times New Roman"/>
                <w:noProof/>
                <w:szCs w:val="18"/>
              </w:rPr>
            </w:pPr>
            <w:r>
              <w:rPr>
                <w:noProof/>
              </w:rPr>
              <w:t>T4</w:t>
            </w:r>
          </w:p>
        </w:tc>
        <w:tc>
          <w:tcPr>
            <w:tcW w:w="1096" w:type="dxa"/>
            <w:tcBorders>
              <w:top w:val="nil"/>
              <w:left w:val="nil"/>
              <w:bottom w:val="single" w:sz="4" w:space="0" w:color="auto"/>
              <w:right w:val="single" w:sz="4" w:space="0" w:color="auto"/>
            </w:tcBorders>
            <w:shd w:val="clear" w:color="auto" w:fill="C6EFCE"/>
            <w:noWrap/>
            <w:hideMark/>
          </w:tcPr>
          <w:p w14:paraId="4DC8EA8A" w14:textId="77777777" w:rsidR="00A00259" w:rsidRDefault="00371282">
            <w:pPr>
              <w:pStyle w:val="P68B1DB1-Normal13"/>
              <w:spacing w:after="0" w:line="240" w:lineRule="auto"/>
              <w:rPr>
                <w:rFonts w:eastAsia="Times New Roman"/>
                <w:noProof/>
                <w:szCs w:val="18"/>
              </w:rPr>
            </w:pPr>
            <w:r>
              <w:rPr>
                <w:noProof/>
              </w:rPr>
              <w:t>2025</w:t>
            </w:r>
          </w:p>
        </w:tc>
        <w:tc>
          <w:tcPr>
            <w:tcW w:w="3600" w:type="dxa"/>
            <w:tcBorders>
              <w:top w:val="nil"/>
              <w:left w:val="nil"/>
              <w:bottom w:val="single" w:sz="4" w:space="0" w:color="auto"/>
              <w:right w:val="single" w:sz="4" w:space="0" w:color="auto"/>
            </w:tcBorders>
            <w:shd w:val="clear" w:color="auto" w:fill="C6EFCE"/>
            <w:noWrap/>
            <w:hideMark/>
          </w:tcPr>
          <w:p w14:paraId="2FDA81A8" w14:textId="77777777" w:rsidR="00A00259" w:rsidRDefault="00371282">
            <w:pPr>
              <w:pStyle w:val="P68B1DB1-Normal23"/>
              <w:spacing w:after="0" w:line="240" w:lineRule="auto"/>
              <w:rPr>
                <w:noProof/>
              </w:rPr>
            </w:pPr>
            <w:r>
              <w:rPr>
                <w:noProof/>
              </w:rPr>
              <w:t>Travaux de construction de la section Trikala-Egnatia de l'autoroute E-65 nécessaires au fonctionnement de l'autoroute.</w:t>
            </w:r>
          </w:p>
        </w:tc>
      </w:tr>
    </w:tbl>
    <w:p w14:paraId="3D86CC84" w14:textId="77777777" w:rsidR="00A00259" w:rsidRDefault="00371282">
      <w:pPr>
        <w:pStyle w:val="P68B1DB1-Normal9"/>
        <w:keepNext/>
        <w:keepLines/>
        <w:spacing w:before="240" w:after="240" w:line="240" w:lineRule="auto"/>
        <w:jc w:val="both"/>
        <w:outlineLvl w:val="4"/>
        <w:rPr>
          <w:rFonts w:eastAsia="Times New Roman"/>
          <w:noProof/>
        </w:rPr>
      </w:pPr>
      <w:r>
        <w:rPr>
          <w:noProof/>
        </w:rPr>
        <w:t>Principaux investissements 7: Amélioration de la sécurité routière</w:t>
      </w:r>
    </w:p>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1"/>
        <w:gridCol w:w="1134"/>
        <w:gridCol w:w="1134"/>
        <w:gridCol w:w="1701"/>
        <w:gridCol w:w="1134"/>
        <w:gridCol w:w="992"/>
        <w:gridCol w:w="851"/>
        <w:gridCol w:w="1559"/>
        <w:gridCol w:w="992"/>
        <w:gridCol w:w="3686"/>
      </w:tblGrid>
      <w:tr w:rsidR="00A00259" w14:paraId="01A1F908" w14:textId="77777777">
        <w:trPr>
          <w:trHeight w:val="835"/>
          <w:tblHeader/>
        </w:trPr>
        <w:tc>
          <w:tcPr>
            <w:tcW w:w="568" w:type="dxa"/>
            <w:vMerge w:val="restart"/>
            <w:shd w:val="clear" w:color="auto" w:fill="BDD7EE"/>
            <w:vAlign w:val="center"/>
            <w:hideMark/>
          </w:tcPr>
          <w:p w14:paraId="7760AF1A" w14:textId="77777777" w:rsidR="00A00259" w:rsidRDefault="00371282">
            <w:pPr>
              <w:pStyle w:val="P68B1DB1-Normal15"/>
              <w:spacing w:after="0" w:line="240" w:lineRule="auto"/>
              <w:jc w:val="center"/>
              <w:rPr>
                <w:rFonts w:eastAsia="Times New Roman"/>
                <w:noProof/>
              </w:rPr>
            </w:pPr>
            <w:r>
              <w:rPr>
                <w:noProof/>
              </w:rPr>
              <w:t xml:space="preserve">Seq. </w:t>
            </w:r>
            <w:r>
              <w:rPr>
                <w:noProof/>
              </w:rPr>
              <w:br/>
              <w:t>Non.</w:t>
            </w:r>
          </w:p>
        </w:tc>
        <w:tc>
          <w:tcPr>
            <w:tcW w:w="1701" w:type="dxa"/>
            <w:vMerge w:val="restart"/>
            <w:shd w:val="clear" w:color="auto" w:fill="BDD7EE"/>
            <w:vAlign w:val="center"/>
            <w:hideMark/>
          </w:tcPr>
          <w:p w14:paraId="532A7FC4" w14:textId="77777777" w:rsidR="00A00259" w:rsidRDefault="00371282">
            <w:pPr>
              <w:pStyle w:val="P68B1DB1-Normal10"/>
              <w:spacing w:after="0" w:line="240" w:lineRule="auto"/>
              <w:jc w:val="center"/>
              <w:rPr>
                <w:rFonts w:eastAsia="Times New Roman" w:cs="Times New Roman"/>
                <w:noProof/>
                <w:szCs w:val="18"/>
              </w:rPr>
            </w:pPr>
            <w:r>
              <w:rPr>
                <w:noProof/>
              </w:rPr>
              <w:t xml:space="preserve">Mesure connexe </w:t>
            </w:r>
            <w:r>
              <w:rPr>
                <w:noProof/>
              </w:rPr>
              <w:br/>
              <w:t>(Réforme ou investissement)</w:t>
            </w:r>
          </w:p>
        </w:tc>
        <w:tc>
          <w:tcPr>
            <w:tcW w:w="1134" w:type="dxa"/>
            <w:vMerge w:val="restart"/>
            <w:shd w:val="clear" w:color="auto" w:fill="BDD7EE"/>
            <w:vAlign w:val="center"/>
            <w:hideMark/>
          </w:tcPr>
          <w:p w14:paraId="20745DD8" w14:textId="77777777" w:rsidR="00A00259" w:rsidRDefault="00371282">
            <w:pPr>
              <w:pStyle w:val="P68B1DB1-Normal10"/>
              <w:spacing w:after="0" w:line="240" w:lineRule="auto"/>
              <w:jc w:val="center"/>
              <w:rPr>
                <w:rFonts w:eastAsia="Times New Roman" w:cs="Times New Roman"/>
                <w:noProof/>
                <w:szCs w:val="18"/>
              </w:rPr>
            </w:pPr>
            <w:r>
              <w:rPr>
                <w:noProof/>
              </w:rPr>
              <w:t>Étape/cible</w:t>
            </w:r>
          </w:p>
        </w:tc>
        <w:tc>
          <w:tcPr>
            <w:tcW w:w="1134" w:type="dxa"/>
            <w:vMerge w:val="restart"/>
            <w:shd w:val="clear" w:color="auto" w:fill="BDD7EE"/>
            <w:vAlign w:val="center"/>
            <w:hideMark/>
          </w:tcPr>
          <w:p w14:paraId="2B40E091" w14:textId="77777777" w:rsidR="00A00259" w:rsidRDefault="00371282">
            <w:pPr>
              <w:pStyle w:val="P68B1DB1-Normal10"/>
              <w:spacing w:after="0" w:line="240" w:lineRule="auto"/>
              <w:jc w:val="center"/>
              <w:rPr>
                <w:rFonts w:eastAsia="Times New Roman" w:cs="Times New Roman"/>
                <w:noProof/>
                <w:szCs w:val="18"/>
              </w:rPr>
            </w:pPr>
            <w:r>
              <w:rPr>
                <w:noProof/>
              </w:rPr>
              <w:t>Nom</w:t>
            </w:r>
          </w:p>
        </w:tc>
        <w:tc>
          <w:tcPr>
            <w:tcW w:w="1701" w:type="dxa"/>
            <w:vMerge w:val="restart"/>
            <w:shd w:val="clear" w:color="auto" w:fill="BDD7EE"/>
            <w:vAlign w:val="center"/>
            <w:hideMark/>
          </w:tcPr>
          <w:p w14:paraId="72F3DDE2" w14:textId="77777777" w:rsidR="00A00259" w:rsidRDefault="00371282">
            <w:pPr>
              <w:pStyle w:val="P68B1DB1-Normal10"/>
              <w:spacing w:after="0" w:line="240" w:lineRule="auto"/>
              <w:jc w:val="center"/>
              <w:rPr>
                <w:rFonts w:eastAsia="Times New Roman" w:cs="Times New Roman"/>
                <w:noProof/>
                <w:szCs w:val="18"/>
              </w:rPr>
            </w:pPr>
            <w:r>
              <w:rPr>
                <w:noProof/>
              </w:rPr>
              <w:t>Indicateurs qualitatifs (pour les jalons)</w:t>
            </w:r>
          </w:p>
        </w:tc>
        <w:tc>
          <w:tcPr>
            <w:tcW w:w="2977" w:type="dxa"/>
            <w:gridSpan w:val="3"/>
            <w:shd w:val="clear" w:color="auto" w:fill="BDD7EE"/>
            <w:vAlign w:val="center"/>
            <w:hideMark/>
          </w:tcPr>
          <w:p w14:paraId="109424AF" w14:textId="77777777" w:rsidR="00A00259" w:rsidRDefault="00371282">
            <w:pPr>
              <w:pStyle w:val="P68B1DB1-Normal10"/>
              <w:spacing w:after="0" w:line="240" w:lineRule="auto"/>
              <w:jc w:val="center"/>
              <w:rPr>
                <w:rFonts w:eastAsia="Times New Roman" w:cs="Times New Roman"/>
                <w:noProof/>
                <w:szCs w:val="18"/>
              </w:rPr>
            </w:pPr>
            <w:r>
              <w:rPr>
                <w:noProof/>
              </w:rPr>
              <w:t>Indicateurs quantitatifs (pour les objectifs)</w:t>
            </w:r>
          </w:p>
        </w:tc>
        <w:tc>
          <w:tcPr>
            <w:tcW w:w="2551" w:type="dxa"/>
            <w:gridSpan w:val="2"/>
            <w:shd w:val="clear" w:color="auto" w:fill="BDD7EE"/>
            <w:vAlign w:val="center"/>
            <w:hideMark/>
          </w:tcPr>
          <w:p w14:paraId="1E501189" w14:textId="77777777" w:rsidR="00A00259" w:rsidRDefault="00371282">
            <w:pPr>
              <w:pStyle w:val="P68B1DB1-Normal10"/>
              <w:spacing w:after="0" w:line="240" w:lineRule="auto"/>
              <w:jc w:val="center"/>
              <w:rPr>
                <w:rFonts w:eastAsia="Times New Roman" w:cs="Times New Roman"/>
                <w:noProof/>
                <w:szCs w:val="18"/>
              </w:rPr>
            </w:pPr>
            <w:r>
              <w:rPr>
                <w:noProof/>
              </w:rPr>
              <w:t xml:space="preserve">Calendrier indicatif d'achèvement </w:t>
            </w:r>
          </w:p>
        </w:tc>
        <w:tc>
          <w:tcPr>
            <w:tcW w:w="3686" w:type="dxa"/>
            <w:vMerge w:val="restart"/>
            <w:shd w:val="clear" w:color="auto" w:fill="BDD7EE"/>
            <w:vAlign w:val="center"/>
            <w:hideMark/>
          </w:tcPr>
          <w:p w14:paraId="00BD84F2" w14:textId="77777777" w:rsidR="00A00259" w:rsidRDefault="00371282">
            <w:pPr>
              <w:pStyle w:val="P68B1DB1-Normal10"/>
              <w:spacing w:after="0" w:line="240" w:lineRule="auto"/>
              <w:jc w:val="center"/>
              <w:rPr>
                <w:rFonts w:eastAsia="Times New Roman" w:cs="Times New Roman"/>
                <w:noProof/>
                <w:szCs w:val="18"/>
              </w:rPr>
            </w:pPr>
            <w:r>
              <w:rPr>
                <w:noProof/>
              </w:rPr>
              <w:t>Description de chaque jalon et cible</w:t>
            </w:r>
          </w:p>
        </w:tc>
      </w:tr>
      <w:tr w:rsidR="00A00259" w14:paraId="53DDDF20" w14:textId="77777777">
        <w:trPr>
          <w:trHeight w:val="594"/>
          <w:tblHeader/>
        </w:trPr>
        <w:tc>
          <w:tcPr>
            <w:tcW w:w="568" w:type="dxa"/>
            <w:vMerge/>
            <w:vAlign w:val="center"/>
            <w:hideMark/>
          </w:tcPr>
          <w:p w14:paraId="3DDB5577" w14:textId="77777777" w:rsidR="00A00259" w:rsidRDefault="00A00259">
            <w:pPr>
              <w:spacing w:after="0" w:line="240" w:lineRule="auto"/>
              <w:rPr>
                <w:rFonts w:ascii="Times New Roman" w:eastAsia="Times New Roman" w:hAnsi="Times New Roman" w:cs="Times New Roman"/>
                <w:b/>
                <w:bCs/>
                <w:noProof/>
                <w:sz w:val="18"/>
                <w:szCs w:val="18"/>
              </w:rPr>
            </w:pPr>
          </w:p>
        </w:tc>
        <w:tc>
          <w:tcPr>
            <w:tcW w:w="1701" w:type="dxa"/>
            <w:vMerge/>
            <w:vAlign w:val="center"/>
            <w:hideMark/>
          </w:tcPr>
          <w:p w14:paraId="226A85FE" w14:textId="77777777" w:rsidR="00A00259" w:rsidRDefault="00A00259">
            <w:pPr>
              <w:spacing w:after="0" w:line="240" w:lineRule="auto"/>
              <w:rPr>
                <w:rFonts w:ascii="Times New Roman" w:eastAsia="Times New Roman" w:hAnsi="Times New Roman" w:cs="Times New Roman"/>
                <w:b/>
                <w:bCs/>
                <w:noProof/>
                <w:sz w:val="18"/>
                <w:szCs w:val="18"/>
              </w:rPr>
            </w:pPr>
          </w:p>
        </w:tc>
        <w:tc>
          <w:tcPr>
            <w:tcW w:w="1134" w:type="dxa"/>
            <w:vMerge/>
            <w:vAlign w:val="center"/>
            <w:hideMark/>
          </w:tcPr>
          <w:p w14:paraId="6BA31EA3" w14:textId="77777777" w:rsidR="00A00259" w:rsidRDefault="00A00259">
            <w:pPr>
              <w:spacing w:after="0" w:line="240" w:lineRule="auto"/>
              <w:rPr>
                <w:rFonts w:ascii="Times New Roman" w:eastAsia="Times New Roman" w:hAnsi="Times New Roman" w:cs="Times New Roman"/>
                <w:b/>
                <w:bCs/>
                <w:noProof/>
                <w:sz w:val="18"/>
                <w:szCs w:val="18"/>
              </w:rPr>
            </w:pPr>
          </w:p>
        </w:tc>
        <w:tc>
          <w:tcPr>
            <w:tcW w:w="1134" w:type="dxa"/>
            <w:vMerge/>
            <w:vAlign w:val="center"/>
            <w:hideMark/>
          </w:tcPr>
          <w:p w14:paraId="6BDB4A59" w14:textId="77777777" w:rsidR="00A00259" w:rsidRDefault="00A00259">
            <w:pPr>
              <w:spacing w:after="0" w:line="240" w:lineRule="auto"/>
              <w:rPr>
                <w:rFonts w:ascii="Times New Roman" w:eastAsia="Times New Roman" w:hAnsi="Times New Roman" w:cs="Times New Roman"/>
                <w:b/>
                <w:bCs/>
                <w:noProof/>
                <w:sz w:val="18"/>
                <w:szCs w:val="18"/>
              </w:rPr>
            </w:pPr>
          </w:p>
        </w:tc>
        <w:tc>
          <w:tcPr>
            <w:tcW w:w="1701" w:type="dxa"/>
            <w:vMerge/>
            <w:vAlign w:val="center"/>
            <w:hideMark/>
          </w:tcPr>
          <w:p w14:paraId="56C03157" w14:textId="77777777" w:rsidR="00A00259" w:rsidRDefault="00A00259">
            <w:pPr>
              <w:spacing w:after="0" w:line="240" w:lineRule="auto"/>
              <w:rPr>
                <w:rFonts w:ascii="Times New Roman" w:eastAsia="Times New Roman" w:hAnsi="Times New Roman" w:cs="Times New Roman"/>
                <w:b/>
                <w:bCs/>
                <w:noProof/>
                <w:sz w:val="18"/>
                <w:szCs w:val="18"/>
              </w:rPr>
            </w:pPr>
          </w:p>
        </w:tc>
        <w:tc>
          <w:tcPr>
            <w:tcW w:w="1134" w:type="dxa"/>
            <w:shd w:val="clear" w:color="auto" w:fill="BDD7EE"/>
            <w:vAlign w:val="center"/>
            <w:hideMark/>
          </w:tcPr>
          <w:p w14:paraId="2631BDEF" w14:textId="77777777" w:rsidR="00A00259" w:rsidRDefault="00371282">
            <w:pPr>
              <w:pStyle w:val="P68B1DB1-Normal10"/>
              <w:spacing w:after="0" w:line="240" w:lineRule="auto"/>
              <w:jc w:val="center"/>
              <w:rPr>
                <w:rFonts w:eastAsia="Times New Roman" w:cs="Times New Roman"/>
                <w:noProof/>
                <w:szCs w:val="18"/>
              </w:rPr>
            </w:pPr>
            <w:r>
              <w:rPr>
                <w:noProof/>
              </w:rPr>
              <w:t>Unité de mesure</w:t>
            </w:r>
          </w:p>
        </w:tc>
        <w:tc>
          <w:tcPr>
            <w:tcW w:w="992" w:type="dxa"/>
            <w:shd w:val="clear" w:color="auto" w:fill="BDD7EE"/>
            <w:vAlign w:val="center"/>
            <w:hideMark/>
          </w:tcPr>
          <w:p w14:paraId="5D503FCE" w14:textId="77777777" w:rsidR="00A00259" w:rsidRDefault="00371282">
            <w:pPr>
              <w:pStyle w:val="P68B1DB1-Normal10"/>
              <w:spacing w:after="0" w:line="240" w:lineRule="auto"/>
              <w:jc w:val="center"/>
              <w:rPr>
                <w:rFonts w:eastAsia="Times New Roman" w:cs="Times New Roman"/>
                <w:noProof/>
                <w:szCs w:val="18"/>
              </w:rPr>
            </w:pPr>
            <w:r>
              <w:rPr>
                <w:noProof/>
              </w:rPr>
              <w:t xml:space="preserve">Données de référence </w:t>
            </w:r>
          </w:p>
        </w:tc>
        <w:tc>
          <w:tcPr>
            <w:tcW w:w="851" w:type="dxa"/>
            <w:shd w:val="clear" w:color="auto" w:fill="BDD7EE"/>
            <w:vAlign w:val="center"/>
            <w:hideMark/>
          </w:tcPr>
          <w:p w14:paraId="6AACB4B3" w14:textId="77777777" w:rsidR="00A00259" w:rsidRDefault="00371282">
            <w:pPr>
              <w:pStyle w:val="P68B1DB1-Normal10"/>
              <w:spacing w:after="0" w:line="240" w:lineRule="auto"/>
              <w:jc w:val="center"/>
              <w:rPr>
                <w:rFonts w:eastAsia="Times New Roman" w:cs="Times New Roman"/>
                <w:noProof/>
                <w:szCs w:val="18"/>
              </w:rPr>
            </w:pPr>
            <w:r>
              <w:rPr>
                <w:noProof/>
              </w:rPr>
              <w:t xml:space="preserve">Objectif </w:t>
            </w:r>
          </w:p>
        </w:tc>
        <w:tc>
          <w:tcPr>
            <w:tcW w:w="1559" w:type="dxa"/>
            <w:shd w:val="clear" w:color="auto" w:fill="BDD7EE"/>
            <w:vAlign w:val="center"/>
            <w:hideMark/>
          </w:tcPr>
          <w:p w14:paraId="7E9D2252" w14:textId="77777777" w:rsidR="00A00259" w:rsidRDefault="00371282">
            <w:pPr>
              <w:pStyle w:val="P68B1DB1-Normal10"/>
              <w:spacing w:after="0" w:line="240" w:lineRule="auto"/>
              <w:jc w:val="center"/>
              <w:rPr>
                <w:rFonts w:eastAsia="Times New Roman" w:cs="Times New Roman"/>
                <w:noProof/>
                <w:szCs w:val="18"/>
              </w:rPr>
            </w:pPr>
            <w:r>
              <w:rPr>
                <w:noProof/>
              </w:rPr>
              <w:t>Trimestre</w:t>
            </w:r>
          </w:p>
        </w:tc>
        <w:tc>
          <w:tcPr>
            <w:tcW w:w="992" w:type="dxa"/>
            <w:shd w:val="clear" w:color="auto" w:fill="BDD7EE"/>
            <w:vAlign w:val="center"/>
            <w:hideMark/>
          </w:tcPr>
          <w:p w14:paraId="6D3AA82F" w14:textId="77777777" w:rsidR="00A00259" w:rsidRDefault="00371282">
            <w:pPr>
              <w:pStyle w:val="P68B1DB1-Normal10"/>
              <w:spacing w:after="0" w:line="240" w:lineRule="auto"/>
              <w:jc w:val="center"/>
              <w:rPr>
                <w:rFonts w:eastAsia="Times New Roman" w:cs="Times New Roman"/>
                <w:noProof/>
                <w:szCs w:val="18"/>
              </w:rPr>
            </w:pPr>
            <w:r>
              <w:rPr>
                <w:noProof/>
              </w:rPr>
              <w:t>Année</w:t>
            </w:r>
          </w:p>
        </w:tc>
        <w:tc>
          <w:tcPr>
            <w:tcW w:w="3686" w:type="dxa"/>
            <w:vMerge/>
            <w:vAlign w:val="center"/>
            <w:hideMark/>
          </w:tcPr>
          <w:p w14:paraId="7E5311C6"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573B1FB2" w14:textId="77777777">
        <w:trPr>
          <w:trHeight w:val="313"/>
        </w:trPr>
        <w:tc>
          <w:tcPr>
            <w:tcW w:w="568" w:type="dxa"/>
            <w:shd w:val="clear" w:color="auto" w:fill="C6EFCE"/>
            <w:noWrap/>
          </w:tcPr>
          <w:p w14:paraId="01C5B4C2" w14:textId="77777777" w:rsidR="00A00259" w:rsidRDefault="00371282">
            <w:pPr>
              <w:pStyle w:val="P68B1DB1-Normal12"/>
              <w:spacing w:after="0" w:line="240" w:lineRule="auto"/>
              <w:rPr>
                <w:rFonts w:eastAsia="Times New Roman"/>
                <w:noProof/>
              </w:rPr>
            </w:pPr>
            <w:r>
              <w:rPr>
                <w:noProof/>
              </w:rPr>
              <w:t>257</w:t>
            </w:r>
          </w:p>
        </w:tc>
        <w:tc>
          <w:tcPr>
            <w:tcW w:w="1701" w:type="dxa"/>
            <w:shd w:val="clear" w:color="auto" w:fill="C6EFCE"/>
            <w:noWrap/>
          </w:tcPr>
          <w:p w14:paraId="18B419B2"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- 16631_Renforcement de la sécurité routière</w:t>
            </w:r>
          </w:p>
        </w:tc>
        <w:tc>
          <w:tcPr>
            <w:tcW w:w="1134" w:type="dxa"/>
            <w:shd w:val="clear" w:color="auto" w:fill="C6EFCE"/>
            <w:noWrap/>
          </w:tcPr>
          <w:p w14:paraId="504A8361" w14:textId="77777777" w:rsidR="00A00259" w:rsidRDefault="00371282">
            <w:pPr>
              <w:pStyle w:val="P68B1DB1-Normal12"/>
              <w:spacing w:after="0" w:line="240" w:lineRule="auto"/>
              <w:rPr>
                <w:rFonts w:eastAsia="Times New Roman"/>
                <w:noProof/>
              </w:rPr>
            </w:pPr>
            <w:r>
              <w:rPr>
                <w:noProof/>
              </w:rPr>
              <w:t>Étape</w:t>
            </w:r>
          </w:p>
        </w:tc>
        <w:tc>
          <w:tcPr>
            <w:tcW w:w="1134" w:type="dxa"/>
            <w:shd w:val="clear" w:color="auto" w:fill="C6EFCE"/>
            <w:noWrap/>
          </w:tcPr>
          <w:p w14:paraId="559EF62E" w14:textId="77777777" w:rsidR="00A00259" w:rsidRDefault="00371282">
            <w:pPr>
              <w:pStyle w:val="P68B1DB1-Normal12"/>
              <w:spacing w:after="0" w:line="240" w:lineRule="auto"/>
              <w:rPr>
                <w:rFonts w:eastAsia="Times New Roman"/>
                <w:noProof/>
              </w:rPr>
            </w:pPr>
            <w:r>
              <w:rPr>
                <w:noProof/>
              </w:rPr>
              <w:t>Attribution du marché pour la sécurité routière – premier lot de marchés</w:t>
            </w:r>
          </w:p>
        </w:tc>
        <w:tc>
          <w:tcPr>
            <w:tcW w:w="1701" w:type="dxa"/>
            <w:shd w:val="clear" w:color="auto" w:fill="C6EFCE"/>
            <w:noWrap/>
          </w:tcPr>
          <w:p w14:paraId="4E5729A9" w14:textId="77777777" w:rsidR="00A00259" w:rsidRDefault="00371282">
            <w:pPr>
              <w:pStyle w:val="P68B1DB1-Normal12"/>
              <w:spacing w:after="0" w:line="240" w:lineRule="auto"/>
              <w:rPr>
                <w:rFonts w:eastAsia="Times New Roman"/>
                <w:noProof/>
              </w:rPr>
            </w:pPr>
            <w:r>
              <w:rPr>
                <w:noProof/>
              </w:rPr>
              <w:t>Notification de l’attribution de marchés pour au moins 2 300 sites.</w:t>
            </w:r>
          </w:p>
        </w:tc>
        <w:tc>
          <w:tcPr>
            <w:tcW w:w="1134" w:type="dxa"/>
            <w:shd w:val="clear" w:color="auto" w:fill="C6EFCE"/>
            <w:noWrap/>
          </w:tcPr>
          <w:p w14:paraId="00E6284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8A3737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5190C5D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3A029DE3" w14:textId="77777777" w:rsidR="00A00259" w:rsidRDefault="00371282">
            <w:pPr>
              <w:pStyle w:val="P68B1DB1-Normal12"/>
              <w:spacing w:after="0" w:line="240" w:lineRule="auto"/>
              <w:rPr>
                <w:rFonts w:eastAsia="Times New Roman"/>
                <w:noProof/>
              </w:rPr>
            </w:pPr>
            <w:r>
              <w:rPr>
                <w:noProof/>
              </w:rPr>
              <w:t>T2</w:t>
            </w:r>
          </w:p>
        </w:tc>
        <w:tc>
          <w:tcPr>
            <w:tcW w:w="992" w:type="dxa"/>
            <w:shd w:val="clear" w:color="auto" w:fill="C6EFCE"/>
            <w:noWrap/>
          </w:tcPr>
          <w:p w14:paraId="116FE848" w14:textId="77777777" w:rsidR="00A00259" w:rsidRDefault="00371282">
            <w:pPr>
              <w:pStyle w:val="P68B1DB1-Normal12"/>
              <w:spacing w:after="0" w:line="240" w:lineRule="auto"/>
              <w:rPr>
                <w:rFonts w:eastAsia="Times New Roman"/>
                <w:noProof/>
              </w:rPr>
            </w:pPr>
            <w:r>
              <w:rPr>
                <w:noProof/>
              </w:rPr>
              <w:t>2023</w:t>
            </w:r>
          </w:p>
        </w:tc>
        <w:tc>
          <w:tcPr>
            <w:tcW w:w="3686" w:type="dxa"/>
            <w:shd w:val="clear" w:color="auto" w:fill="C6EFCE"/>
            <w:noWrap/>
          </w:tcPr>
          <w:p w14:paraId="0D2ECB54" w14:textId="77777777" w:rsidR="00A00259" w:rsidRDefault="00371282">
            <w:pPr>
              <w:pStyle w:val="P68B1DB1-Normal12"/>
              <w:spacing w:after="0" w:line="240" w:lineRule="auto"/>
              <w:rPr>
                <w:rFonts w:eastAsia="Times New Roman"/>
                <w:noProof/>
              </w:rPr>
            </w:pPr>
            <w:r>
              <w:rPr>
                <w:noProof/>
              </w:rPr>
              <w:t>marchés attribués pour au moins 2 300 sites garantissant a) l’amélioration de la sécurité routière dans le cadre du programme «Programme d’amélioration de la sécurité routière (PEVOA)» sur environ 7 000 sites dangereux; b) améliorations mineures pour le reste des 2 500 km</w:t>
            </w:r>
          </w:p>
        </w:tc>
      </w:tr>
      <w:tr w:rsidR="00A00259" w14:paraId="31485F84" w14:textId="77777777">
        <w:trPr>
          <w:trHeight w:val="313"/>
        </w:trPr>
        <w:tc>
          <w:tcPr>
            <w:tcW w:w="568" w:type="dxa"/>
            <w:shd w:val="clear" w:color="auto" w:fill="C6EFCE"/>
            <w:noWrap/>
          </w:tcPr>
          <w:p w14:paraId="123BC2C3" w14:textId="77777777" w:rsidR="00A00259" w:rsidRDefault="00371282">
            <w:pPr>
              <w:pStyle w:val="P68B1DB1-Normal12"/>
              <w:spacing w:after="0" w:line="240" w:lineRule="auto"/>
              <w:rPr>
                <w:rFonts w:eastAsia="Times New Roman"/>
                <w:noProof/>
              </w:rPr>
            </w:pPr>
            <w:r>
              <w:rPr>
                <w:noProof/>
              </w:rPr>
              <w:t>258</w:t>
            </w:r>
          </w:p>
        </w:tc>
        <w:tc>
          <w:tcPr>
            <w:tcW w:w="1701" w:type="dxa"/>
            <w:shd w:val="clear" w:color="auto" w:fill="C6EFCE"/>
            <w:noWrap/>
          </w:tcPr>
          <w:p w14:paraId="19AB772D"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- 16631_Renforcement de la sécurité routière</w:t>
            </w:r>
          </w:p>
        </w:tc>
        <w:tc>
          <w:tcPr>
            <w:tcW w:w="1134" w:type="dxa"/>
            <w:shd w:val="clear" w:color="auto" w:fill="C6EFCE"/>
            <w:noWrap/>
          </w:tcPr>
          <w:p w14:paraId="6207C5FF" w14:textId="77777777" w:rsidR="00A00259" w:rsidRDefault="00371282">
            <w:pPr>
              <w:pStyle w:val="P68B1DB1-Normal12"/>
              <w:spacing w:after="0" w:line="240" w:lineRule="auto"/>
              <w:rPr>
                <w:rFonts w:eastAsia="Times New Roman"/>
                <w:noProof/>
              </w:rPr>
            </w:pPr>
            <w:r>
              <w:rPr>
                <w:noProof/>
              </w:rPr>
              <w:t>Étape</w:t>
            </w:r>
          </w:p>
        </w:tc>
        <w:tc>
          <w:tcPr>
            <w:tcW w:w="1134" w:type="dxa"/>
            <w:shd w:val="clear" w:color="auto" w:fill="C6EFCE"/>
            <w:noWrap/>
          </w:tcPr>
          <w:p w14:paraId="5F43C0DE" w14:textId="77777777" w:rsidR="00A00259" w:rsidRDefault="00371282">
            <w:pPr>
              <w:pStyle w:val="P68B1DB1-Normal12"/>
              <w:spacing w:after="0" w:line="240" w:lineRule="auto"/>
              <w:rPr>
                <w:rFonts w:eastAsia="Times New Roman"/>
                <w:noProof/>
              </w:rPr>
            </w:pPr>
            <w:r>
              <w:rPr>
                <w:noProof/>
              </w:rPr>
              <w:t>Attribution du marché pour la sécurité routière – tous les marchés</w:t>
            </w:r>
          </w:p>
        </w:tc>
        <w:tc>
          <w:tcPr>
            <w:tcW w:w="1701" w:type="dxa"/>
            <w:shd w:val="clear" w:color="auto" w:fill="C6EFCE"/>
            <w:noWrap/>
          </w:tcPr>
          <w:p w14:paraId="454B00CE" w14:textId="77777777" w:rsidR="00A00259" w:rsidRDefault="00371282">
            <w:pPr>
              <w:pStyle w:val="P68B1DB1-Normal12"/>
              <w:spacing w:after="0" w:line="240" w:lineRule="auto"/>
              <w:rPr>
                <w:rFonts w:eastAsia="Times New Roman"/>
                <w:noProof/>
              </w:rPr>
            </w:pPr>
            <w:r>
              <w:rPr>
                <w:noProof/>
              </w:rPr>
              <w:t>Notification de l'attribution de 100 % des marchés</w:t>
            </w:r>
          </w:p>
        </w:tc>
        <w:tc>
          <w:tcPr>
            <w:tcW w:w="1134" w:type="dxa"/>
            <w:shd w:val="clear" w:color="auto" w:fill="C6EFCE"/>
            <w:noWrap/>
          </w:tcPr>
          <w:p w14:paraId="696AB7D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3E1BF7F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5203B8E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73D98CBF" w14:textId="77777777" w:rsidR="00A00259" w:rsidRDefault="00371282">
            <w:pPr>
              <w:pStyle w:val="P68B1DB1-Normal12"/>
              <w:spacing w:after="0" w:line="240" w:lineRule="auto"/>
              <w:rPr>
                <w:rFonts w:eastAsia="Times New Roman"/>
                <w:noProof/>
              </w:rPr>
            </w:pPr>
            <w:r>
              <w:rPr>
                <w:noProof/>
              </w:rPr>
              <w:t>T2</w:t>
            </w:r>
          </w:p>
        </w:tc>
        <w:tc>
          <w:tcPr>
            <w:tcW w:w="992" w:type="dxa"/>
            <w:shd w:val="clear" w:color="auto" w:fill="C6EFCE"/>
            <w:noWrap/>
          </w:tcPr>
          <w:p w14:paraId="7BF96DE0" w14:textId="77777777" w:rsidR="00A00259" w:rsidRDefault="00371282">
            <w:pPr>
              <w:pStyle w:val="P68B1DB1-Normal12"/>
              <w:spacing w:after="0" w:line="240" w:lineRule="auto"/>
              <w:rPr>
                <w:rFonts w:eastAsia="Times New Roman"/>
                <w:noProof/>
              </w:rPr>
            </w:pPr>
            <w:r>
              <w:rPr>
                <w:noProof/>
              </w:rPr>
              <w:t>2024</w:t>
            </w:r>
          </w:p>
        </w:tc>
        <w:tc>
          <w:tcPr>
            <w:tcW w:w="3686" w:type="dxa"/>
            <w:shd w:val="clear" w:color="auto" w:fill="C6EFCE"/>
            <w:noWrap/>
          </w:tcPr>
          <w:p w14:paraId="2AF91932" w14:textId="77777777" w:rsidR="00A00259" w:rsidRDefault="00371282">
            <w:pPr>
              <w:pStyle w:val="P68B1DB1-Normal12"/>
              <w:spacing w:after="0" w:line="240" w:lineRule="auto"/>
              <w:rPr>
                <w:rFonts w:eastAsia="Times New Roman"/>
                <w:noProof/>
              </w:rPr>
            </w:pPr>
            <w:r>
              <w:rPr>
                <w:noProof/>
              </w:rPr>
              <w:t>Marchés attribués pour a) l'amélioration de la sécurité routière sur au moins 7 780 emplacements dangereux; b) infrastructure d'éclairage à led intelligente pour 31 938 pôles</w:t>
            </w:r>
          </w:p>
        </w:tc>
      </w:tr>
      <w:tr w:rsidR="00A00259" w14:paraId="0CA67026" w14:textId="77777777">
        <w:trPr>
          <w:trHeight w:val="313"/>
        </w:trPr>
        <w:tc>
          <w:tcPr>
            <w:tcW w:w="568" w:type="dxa"/>
            <w:shd w:val="clear" w:color="auto" w:fill="C6EFCE"/>
            <w:noWrap/>
            <w:hideMark/>
          </w:tcPr>
          <w:p w14:paraId="40852850" w14:textId="77777777" w:rsidR="00A00259" w:rsidRDefault="00371282">
            <w:pPr>
              <w:pStyle w:val="P68B1DB1-Normal12"/>
              <w:spacing w:after="0" w:line="240" w:lineRule="auto"/>
              <w:rPr>
                <w:noProof/>
              </w:rPr>
            </w:pPr>
            <w:r>
              <w:rPr>
                <w:noProof/>
              </w:rPr>
              <w:t>259</w:t>
            </w:r>
          </w:p>
          <w:p w14:paraId="4F686B57" w14:textId="77777777" w:rsidR="00A00259" w:rsidRDefault="00A00259">
            <w:pPr>
              <w:rPr>
                <w:rFonts w:ascii="Times New Roman" w:eastAsia="Times New Roman" w:hAnsi="Times New Roman" w:cs="Times New Roman"/>
                <w:noProof/>
                <w:sz w:val="18"/>
                <w:szCs w:val="18"/>
              </w:rPr>
            </w:pPr>
          </w:p>
        </w:tc>
        <w:tc>
          <w:tcPr>
            <w:tcW w:w="1701" w:type="dxa"/>
            <w:shd w:val="clear" w:color="auto" w:fill="C6EFCE"/>
            <w:noWrap/>
            <w:hideMark/>
          </w:tcPr>
          <w:p w14:paraId="73EAC01E"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- 16631_Renforcement de la sécurité routière</w:t>
            </w:r>
          </w:p>
        </w:tc>
        <w:tc>
          <w:tcPr>
            <w:tcW w:w="1134" w:type="dxa"/>
            <w:shd w:val="clear" w:color="auto" w:fill="C6EFCE"/>
            <w:noWrap/>
            <w:hideMark/>
          </w:tcPr>
          <w:p w14:paraId="0FD94519" w14:textId="77777777" w:rsidR="00A00259" w:rsidRDefault="00371282">
            <w:pPr>
              <w:pStyle w:val="P68B1DB1-Normal12"/>
              <w:spacing w:after="0" w:line="240" w:lineRule="auto"/>
              <w:rPr>
                <w:rFonts w:eastAsia="Times New Roman"/>
                <w:noProof/>
              </w:rPr>
            </w:pPr>
            <w:r>
              <w:rPr>
                <w:noProof/>
              </w:rPr>
              <w:t>Étape</w:t>
            </w:r>
          </w:p>
        </w:tc>
        <w:tc>
          <w:tcPr>
            <w:tcW w:w="1134" w:type="dxa"/>
            <w:shd w:val="clear" w:color="auto" w:fill="C6EFCE"/>
            <w:noWrap/>
            <w:hideMark/>
          </w:tcPr>
          <w:p w14:paraId="1D3C8FD9" w14:textId="77777777" w:rsidR="00A00259" w:rsidRDefault="00371282">
            <w:pPr>
              <w:pStyle w:val="P68B1DB1-Normal12"/>
              <w:spacing w:after="0" w:line="240" w:lineRule="auto"/>
              <w:rPr>
                <w:rFonts w:eastAsia="Times New Roman"/>
                <w:noProof/>
              </w:rPr>
            </w:pPr>
            <w:r>
              <w:rPr>
                <w:noProof/>
              </w:rPr>
              <w:t>Achèvement du projet de sécurité routière</w:t>
            </w:r>
          </w:p>
        </w:tc>
        <w:tc>
          <w:tcPr>
            <w:tcW w:w="1701" w:type="dxa"/>
            <w:shd w:val="clear" w:color="auto" w:fill="C6EFCE"/>
            <w:noWrap/>
            <w:hideMark/>
          </w:tcPr>
          <w:p w14:paraId="3767416A" w14:textId="77777777" w:rsidR="00A00259" w:rsidRDefault="00371282">
            <w:pPr>
              <w:pStyle w:val="P68B1DB1-Normal23"/>
              <w:spacing w:after="0" w:line="240" w:lineRule="auto"/>
              <w:rPr>
                <w:noProof/>
                <w:highlight w:val="yellow"/>
              </w:rPr>
            </w:pPr>
            <w:r>
              <w:rPr>
                <w:noProof/>
              </w:rPr>
              <w:t>Interventions dans des endroits dangereux exécutées et installation de poteaux d'éclairage</w:t>
            </w:r>
          </w:p>
        </w:tc>
        <w:tc>
          <w:tcPr>
            <w:tcW w:w="1134" w:type="dxa"/>
            <w:shd w:val="clear" w:color="auto" w:fill="C6EFCE"/>
            <w:noWrap/>
            <w:hideMark/>
          </w:tcPr>
          <w:p w14:paraId="0F454139" w14:textId="77777777" w:rsidR="00A00259" w:rsidRDefault="00371282">
            <w:pPr>
              <w:pStyle w:val="P68B1DB1-Normal12"/>
              <w:spacing w:after="0" w:line="240" w:lineRule="auto"/>
              <w:rPr>
                <w:rFonts w:eastAsia="Times New Roman"/>
                <w:noProof/>
              </w:rPr>
            </w:pPr>
            <w:r>
              <w:rPr>
                <w:noProof/>
              </w:rPr>
              <w:t xml:space="preserve"> </w:t>
            </w:r>
          </w:p>
        </w:tc>
        <w:tc>
          <w:tcPr>
            <w:tcW w:w="992" w:type="dxa"/>
            <w:shd w:val="clear" w:color="auto" w:fill="C6EFCE"/>
            <w:noWrap/>
            <w:hideMark/>
          </w:tcPr>
          <w:p w14:paraId="6EE3E6A5" w14:textId="77777777" w:rsidR="00A00259" w:rsidRDefault="00371282">
            <w:pPr>
              <w:pStyle w:val="P68B1DB1-Normal12"/>
              <w:spacing w:after="0" w:line="240" w:lineRule="auto"/>
              <w:rPr>
                <w:rFonts w:eastAsia="Times New Roman"/>
                <w:noProof/>
              </w:rPr>
            </w:pPr>
            <w:r>
              <w:rPr>
                <w:noProof/>
              </w:rPr>
              <w:t xml:space="preserve"> </w:t>
            </w:r>
          </w:p>
        </w:tc>
        <w:tc>
          <w:tcPr>
            <w:tcW w:w="851" w:type="dxa"/>
            <w:shd w:val="clear" w:color="auto" w:fill="C6EFCE"/>
            <w:noWrap/>
            <w:hideMark/>
          </w:tcPr>
          <w:p w14:paraId="381437F6" w14:textId="77777777" w:rsidR="00A00259" w:rsidRDefault="00371282">
            <w:pPr>
              <w:pStyle w:val="P68B1DB1-Normal12"/>
              <w:spacing w:after="0" w:line="240" w:lineRule="auto"/>
              <w:rPr>
                <w:rFonts w:eastAsia="Times New Roman"/>
                <w:noProof/>
              </w:rPr>
            </w:pPr>
            <w:r>
              <w:rPr>
                <w:noProof/>
              </w:rPr>
              <w:t xml:space="preserve"> </w:t>
            </w:r>
          </w:p>
        </w:tc>
        <w:tc>
          <w:tcPr>
            <w:tcW w:w="1559" w:type="dxa"/>
            <w:shd w:val="clear" w:color="auto" w:fill="C6EFCE"/>
            <w:noWrap/>
            <w:hideMark/>
          </w:tcPr>
          <w:p w14:paraId="7AB3A11F" w14:textId="77777777" w:rsidR="00A00259" w:rsidRDefault="00371282">
            <w:pPr>
              <w:pStyle w:val="P68B1DB1-Normal12"/>
              <w:spacing w:after="0" w:line="240" w:lineRule="auto"/>
              <w:rPr>
                <w:rFonts w:eastAsia="Times New Roman"/>
                <w:noProof/>
              </w:rPr>
            </w:pPr>
            <w:r>
              <w:rPr>
                <w:noProof/>
              </w:rPr>
              <w:t>T4 </w:t>
            </w:r>
          </w:p>
        </w:tc>
        <w:tc>
          <w:tcPr>
            <w:tcW w:w="992" w:type="dxa"/>
            <w:shd w:val="clear" w:color="auto" w:fill="C6EFCE"/>
            <w:noWrap/>
            <w:hideMark/>
          </w:tcPr>
          <w:p w14:paraId="58390A69" w14:textId="77777777" w:rsidR="00A00259" w:rsidRDefault="00371282">
            <w:pPr>
              <w:pStyle w:val="P68B1DB1-Normal12"/>
              <w:spacing w:after="0" w:line="240" w:lineRule="auto"/>
              <w:rPr>
                <w:rFonts w:eastAsia="Times New Roman"/>
                <w:noProof/>
              </w:rPr>
            </w:pPr>
            <w:r>
              <w:rPr>
                <w:noProof/>
              </w:rPr>
              <w:t>2025</w:t>
            </w:r>
          </w:p>
        </w:tc>
        <w:tc>
          <w:tcPr>
            <w:tcW w:w="3686" w:type="dxa"/>
            <w:shd w:val="clear" w:color="auto" w:fill="C6EFCE"/>
            <w:noWrap/>
            <w:hideMark/>
          </w:tcPr>
          <w:p w14:paraId="1F514A91" w14:textId="1D60EBA0" w:rsidR="00A00259" w:rsidRDefault="00371282">
            <w:pPr>
              <w:pStyle w:val="P68B1DB1-Normal12"/>
              <w:spacing w:after="0" w:line="240" w:lineRule="auto"/>
              <w:rPr>
                <w:rFonts w:eastAsia="Times New Roman"/>
                <w:noProof/>
              </w:rPr>
            </w:pPr>
            <w:r>
              <w:rPr>
                <w:noProof/>
              </w:rPr>
              <w:t>a) Interventions dans au moins 8 693 endroits dangereux exécutés; b) 29 938 poteaux d'éclairage à LED intelligents installés</w:t>
            </w:r>
          </w:p>
        </w:tc>
      </w:tr>
    </w:tbl>
    <w:p w14:paraId="6829229E" w14:textId="77777777" w:rsidR="00A00259" w:rsidRDefault="00371282">
      <w:pPr>
        <w:pStyle w:val="P68B1DB1-Normal9"/>
        <w:keepNext/>
        <w:keepLines/>
        <w:spacing w:before="240" w:after="240" w:line="240" w:lineRule="auto"/>
        <w:jc w:val="both"/>
        <w:outlineLvl w:val="4"/>
        <w:rPr>
          <w:rFonts w:eastAsia="Times New Roman"/>
          <w:noProof/>
        </w:rPr>
      </w:pPr>
      <w:r>
        <w:rPr>
          <w:noProof/>
        </w:rPr>
        <w:t>Principaux investissements 8: Route du Nord crétoise (Β.Ο.Α.Κ.)</w:t>
      </w:r>
    </w:p>
    <w:tbl>
      <w:tblPr>
        <w:tblW w:w="153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1680"/>
        <w:gridCol w:w="1080"/>
        <w:gridCol w:w="1299"/>
        <w:gridCol w:w="1461"/>
        <w:gridCol w:w="1374"/>
        <w:gridCol w:w="1249"/>
        <w:gridCol w:w="846"/>
        <w:gridCol w:w="1350"/>
        <w:gridCol w:w="1166"/>
        <w:gridCol w:w="3582"/>
      </w:tblGrid>
      <w:tr w:rsidR="00A00259" w14:paraId="45BCA588" w14:textId="77777777">
        <w:trPr>
          <w:trHeight w:val="939"/>
          <w:tblHeader/>
          <w:jc w:val="center"/>
        </w:trPr>
        <w:tc>
          <w:tcPr>
            <w:tcW w:w="566" w:type="dxa"/>
            <w:vMerge w:val="restart"/>
            <w:shd w:val="clear" w:color="auto" w:fill="BDD7EE"/>
            <w:vAlign w:val="center"/>
            <w:hideMark/>
          </w:tcPr>
          <w:p w14:paraId="0D21E5D0" w14:textId="77777777" w:rsidR="00A00259" w:rsidRDefault="00371282">
            <w:pPr>
              <w:pStyle w:val="P68B1DB1-Normal10"/>
              <w:spacing w:after="0" w:line="240" w:lineRule="auto"/>
              <w:jc w:val="center"/>
              <w:rPr>
                <w:rFonts w:eastAsia="Times New Roman" w:cs="Times New Roman"/>
                <w:noProof/>
                <w:szCs w:val="18"/>
              </w:rPr>
            </w:pPr>
            <w:r>
              <w:rPr>
                <w:noProof/>
              </w:rPr>
              <w:t>Seq. Non.</w:t>
            </w:r>
          </w:p>
        </w:tc>
        <w:tc>
          <w:tcPr>
            <w:tcW w:w="1680" w:type="dxa"/>
            <w:vMerge w:val="restart"/>
            <w:shd w:val="clear" w:color="auto" w:fill="BDD7EE"/>
            <w:vAlign w:val="center"/>
            <w:hideMark/>
          </w:tcPr>
          <w:p w14:paraId="687A0AF1" w14:textId="77777777" w:rsidR="00A00259" w:rsidRDefault="00371282">
            <w:pPr>
              <w:pStyle w:val="P68B1DB1-Normal10"/>
              <w:spacing w:after="0" w:line="240" w:lineRule="auto"/>
              <w:jc w:val="center"/>
              <w:rPr>
                <w:rFonts w:eastAsia="Times New Roman" w:cs="Times New Roman"/>
                <w:noProof/>
                <w:szCs w:val="18"/>
              </w:rPr>
            </w:pPr>
            <w:r>
              <w:rPr>
                <w:noProof/>
              </w:rPr>
              <w:t>Mesure connexe (réforme ou investissement)</w:t>
            </w:r>
          </w:p>
        </w:tc>
        <w:tc>
          <w:tcPr>
            <w:tcW w:w="1080" w:type="dxa"/>
            <w:vMerge w:val="restart"/>
            <w:shd w:val="clear" w:color="auto" w:fill="BDD7EE"/>
            <w:vAlign w:val="center"/>
            <w:hideMark/>
          </w:tcPr>
          <w:p w14:paraId="2D02AA1A" w14:textId="77777777" w:rsidR="00A00259" w:rsidRDefault="00371282">
            <w:pPr>
              <w:pStyle w:val="P68B1DB1-Normal10"/>
              <w:spacing w:after="0" w:line="240" w:lineRule="auto"/>
              <w:jc w:val="center"/>
              <w:rPr>
                <w:rFonts w:eastAsia="Times New Roman" w:cs="Times New Roman"/>
                <w:noProof/>
                <w:szCs w:val="18"/>
              </w:rPr>
            </w:pPr>
            <w:r>
              <w:rPr>
                <w:noProof/>
              </w:rPr>
              <w:t>Étape/cible</w:t>
            </w:r>
          </w:p>
        </w:tc>
        <w:tc>
          <w:tcPr>
            <w:tcW w:w="1299" w:type="dxa"/>
            <w:vMerge w:val="restart"/>
            <w:shd w:val="clear" w:color="auto" w:fill="BDD7EE"/>
            <w:vAlign w:val="center"/>
            <w:hideMark/>
          </w:tcPr>
          <w:p w14:paraId="5A446629" w14:textId="77777777" w:rsidR="00A00259" w:rsidRDefault="00371282">
            <w:pPr>
              <w:pStyle w:val="P68B1DB1-Normal10"/>
              <w:spacing w:after="0" w:line="240" w:lineRule="auto"/>
              <w:jc w:val="center"/>
              <w:rPr>
                <w:rFonts w:eastAsia="Times New Roman" w:cs="Times New Roman"/>
                <w:noProof/>
                <w:szCs w:val="18"/>
              </w:rPr>
            </w:pPr>
            <w:r>
              <w:rPr>
                <w:noProof/>
              </w:rPr>
              <w:t>Nom</w:t>
            </w:r>
          </w:p>
        </w:tc>
        <w:tc>
          <w:tcPr>
            <w:tcW w:w="1461" w:type="dxa"/>
            <w:vMerge w:val="restart"/>
            <w:shd w:val="clear" w:color="auto" w:fill="BDD7EE"/>
            <w:vAlign w:val="center"/>
            <w:hideMark/>
          </w:tcPr>
          <w:p w14:paraId="0D100E03" w14:textId="77777777" w:rsidR="00A00259" w:rsidRDefault="00371282">
            <w:pPr>
              <w:pStyle w:val="P68B1DB1-Normal10"/>
              <w:spacing w:after="0" w:line="240" w:lineRule="auto"/>
              <w:jc w:val="center"/>
              <w:rPr>
                <w:rFonts w:eastAsia="Times New Roman" w:cs="Times New Roman"/>
                <w:noProof/>
                <w:szCs w:val="18"/>
              </w:rPr>
            </w:pPr>
            <w:r>
              <w:rPr>
                <w:noProof/>
              </w:rPr>
              <w:t>Indicateurs qualitatifs (pour les jalons)</w:t>
            </w:r>
          </w:p>
        </w:tc>
        <w:tc>
          <w:tcPr>
            <w:tcW w:w="3210" w:type="dxa"/>
            <w:gridSpan w:val="3"/>
            <w:shd w:val="clear" w:color="auto" w:fill="BDD7EE"/>
            <w:vAlign w:val="center"/>
            <w:hideMark/>
          </w:tcPr>
          <w:p w14:paraId="3BF637C5" w14:textId="77777777" w:rsidR="00A00259" w:rsidRDefault="00371282">
            <w:pPr>
              <w:pStyle w:val="P68B1DB1-Normal10"/>
              <w:spacing w:after="0" w:line="240" w:lineRule="auto"/>
              <w:jc w:val="center"/>
              <w:rPr>
                <w:rFonts w:eastAsia="Times New Roman" w:cs="Times New Roman"/>
                <w:noProof/>
                <w:szCs w:val="18"/>
              </w:rPr>
            </w:pPr>
            <w:r>
              <w:rPr>
                <w:noProof/>
              </w:rPr>
              <w:t>Indicateurs quantitatifs (pour les objectifs)</w:t>
            </w:r>
          </w:p>
        </w:tc>
        <w:tc>
          <w:tcPr>
            <w:tcW w:w="2516" w:type="dxa"/>
            <w:gridSpan w:val="2"/>
            <w:shd w:val="clear" w:color="auto" w:fill="BDD7EE"/>
            <w:vAlign w:val="center"/>
            <w:hideMark/>
          </w:tcPr>
          <w:p w14:paraId="6FC6609F" w14:textId="77777777" w:rsidR="00A00259" w:rsidRDefault="00371282">
            <w:pPr>
              <w:pStyle w:val="P68B1DB1-Normal10"/>
              <w:spacing w:after="0" w:line="240" w:lineRule="auto"/>
              <w:jc w:val="center"/>
              <w:rPr>
                <w:rFonts w:eastAsia="Times New Roman" w:cs="Times New Roman"/>
                <w:noProof/>
                <w:szCs w:val="18"/>
              </w:rPr>
            </w:pPr>
            <w:r>
              <w:rPr>
                <w:noProof/>
              </w:rPr>
              <w:t xml:space="preserve">Calendrier indicatif d'achèvement </w:t>
            </w:r>
          </w:p>
        </w:tc>
        <w:tc>
          <w:tcPr>
            <w:tcW w:w="3582" w:type="dxa"/>
            <w:vMerge w:val="restart"/>
            <w:shd w:val="clear" w:color="auto" w:fill="BDD7EE"/>
            <w:vAlign w:val="center"/>
            <w:hideMark/>
          </w:tcPr>
          <w:p w14:paraId="2875AEB9" w14:textId="77777777" w:rsidR="00A00259" w:rsidRDefault="00371282">
            <w:pPr>
              <w:pStyle w:val="P68B1DB1-Normal10"/>
              <w:spacing w:after="0" w:line="240" w:lineRule="auto"/>
              <w:jc w:val="center"/>
              <w:rPr>
                <w:rFonts w:eastAsia="Times New Roman" w:cs="Times New Roman"/>
                <w:noProof/>
                <w:szCs w:val="18"/>
              </w:rPr>
            </w:pPr>
            <w:r>
              <w:rPr>
                <w:noProof/>
              </w:rPr>
              <w:t>Description de chaque jalon et cible</w:t>
            </w:r>
          </w:p>
        </w:tc>
      </w:tr>
      <w:tr w:rsidR="00A00259" w14:paraId="1C517AFA" w14:textId="77777777">
        <w:trPr>
          <w:trHeight w:val="431"/>
          <w:tblHeader/>
          <w:jc w:val="center"/>
        </w:trPr>
        <w:tc>
          <w:tcPr>
            <w:tcW w:w="566" w:type="dxa"/>
            <w:vMerge/>
            <w:vAlign w:val="center"/>
            <w:hideMark/>
          </w:tcPr>
          <w:p w14:paraId="71272054" w14:textId="77777777" w:rsidR="00A00259" w:rsidRDefault="00A00259">
            <w:pPr>
              <w:spacing w:after="0" w:line="240" w:lineRule="auto"/>
              <w:rPr>
                <w:rFonts w:ascii="Times New Roman" w:eastAsia="Times New Roman" w:hAnsi="Times New Roman" w:cs="Times New Roman"/>
                <w:b/>
                <w:bCs/>
                <w:noProof/>
                <w:sz w:val="18"/>
                <w:szCs w:val="18"/>
              </w:rPr>
            </w:pPr>
          </w:p>
        </w:tc>
        <w:tc>
          <w:tcPr>
            <w:tcW w:w="1680" w:type="dxa"/>
            <w:vMerge/>
            <w:vAlign w:val="center"/>
            <w:hideMark/>
          </w:tcPr>
          <w:p w14:paraId="05103320" w14:textId="77777777" w:rsidR="00A00259" w:rsidRDefault="00A00259">
            <w:pPr>
              <w:spacing w:after="0" w:line="240" w:lineRule="auto"/>
              <w:rPr>
                <w:rFonts w:ascii="Times New Roman" w:eastAsia="Times New Roman" w:hAnsi="Times New Roman" w:cs="Times New Roman"/>
                <w:b/>
                <w:bCs/>
                <w:noProof/>
                <w:sz w:val="18"/>
                <w:szCs w:val="18"/>
              </w:rPr>
            </w:pPr>
          </w:p>
        </w:tc>
        <w:tc>
          <w:tcPr>
            <w:tcW w:w="1080" w:type="dxa"/>
            <w:vMerge/>
            <w:vAlign w:val="center"/>
            <w:hideMark/>
          </w:tcPr>
          <w:p w14:paraId="598608CC" w14:textId="77777777" w:rsidR="00A00259" w:rsidRDefault="00A00259">
            <w:pPr>
              <w:spacing w:after="0" w:line="240" w:lineRule="auto"/>
              <w:rPr>
                <w:rFonts w:ascii="Times New Roman" w:eastAsia="Times New Roman" w:hAnsi="Times New Roman" w:cs="Times New Roman"/>
                <w:b/>
                <w:bCs/>
                <w:noProof/>
                <w:sz w:val="18"/>
                <w:szCs w:val="18"/>
              </w:rPr>
            </w:pPr>
          </w:p>
        </w:tc>
        <w:tc>
          <w:tcPr>
            <w:tcW w:w="1299" w:type="dxa"/>
            <w:vMerge/>
            <w:vAlign w:val="center"/>
            <w:hideMark/>
          </w:tcPr>
          <w:p w14:paraId="060C6077" w14:textId="77777777" w:rsidR="00A00259" w:rsidRDefault="00A00259">
            <w:pPr>
              <w:spacing w:after="0" w:line="240" w:lineRule="auto"/>
              <w:rPr>
                <w:rFonts w:ascii="Times New Roman" w:eastAsia="Times New Roman" w:hAnsi="Times New Roman" w:cs="Times New Roman"/>
                <w:b/>
                <w:bCs/>
                <w:noProof/>
                <w:sz w:val="18"/>
                <w:szCs w:val="18"/>
              </w:rPr>
            </w:pPr>
          </w:p>
        </w:tc>
        <w:tc>
          <w:tcPr>
            <w:tcW w:w="1461" w:type="dxa"/>
            <w:vMerge/>
            <w:vAlign w:val="center"/>
            <w:hideMark/>
          </w:tcPr>
          <w:p w14:paraId="23DD6D5B" w14:textId="77777777" w:rsidR="00A00259" w:rsidRDefault="00A00259">
            <w:pPr>
              <w:spacing w:after="0" w:line="240" w:lineRule="auto"/>
              <w:rPr>
                <w:rFonts w:ascii="Times New Roman" w:eastAsia="Times New Roman" w:hAnsi="Times New Roman" w:cs="Times New Roman"/>
                <w:b/>
                <w:bCs/>
                <w:noProof/>
                <w:sz w:val="18"/>
                <w:szCs w:val="18"/>
              </w:rPr>
            </w:pPr>
          </w:p>
        </w:tc>
        <w:tc>
          <w:tcPr>
            <w:tcW w:w="1374" w:type="dxa"/>
            <w:shd w:val="clear" w:color="auto" w:fill="BDD7EE"/>
            <w:vAlign w:val="center"/>
            <w:hideMark/>
          </w:tcPr>
          <w:p w14:paraId="00B8F169" w14:textId="77777777" w:rsidR="00A00259" w:rsidRDefault="00371282">
            <w:pPr>
              <w:pStyle w:val="P68B1DB1-Normal10"/>
              <w:spacing w:after="0" w:line="240" w:lineRule="auto"/>
              <w:jc w:val="center"/>
              <w:rPr>
                <w:rFonts w:eastAsia="Times New Roman" w:cs="Times New Roman"/>
                <w:noProof/>
                <w:szCs w:val="18"/>
              </w:rPr>
            </w:pPr>
            <w:r>
              <w:rPr>
                <w:noProof/>
              </w:rPr>
              <w:t>Unité de mesure</w:t>
            </w:r>
          </w:p>
        </w:tc>
        <w:tc>
          <w:tcPr>
            <w:tcW w:w="1249" w:type="dxa"/>
            <w:shd w:val="clear" w:color="auto" w:fill="BDD7EE"/>
            <w:vAlign w:val="center"/>
            <w:hideMark/>
          </w:tcPr>
          <w:p w14:paraId="52120935" w14:textId="77777777" w:rsidR="00A00259" w:rsidRDefault="00371282">
            <w:pPr>
              <w:pStyle w:val="P68B1DB1-Normal10"/>
              <w:spacing w:after="0" w:line="240" w:lineRule="auto"/>
              <w:jc w:val="center"/>
              <w:rPr>
                <w:rFonts w:eastAsia="Times New Roman" w:cs="Times New Roman"/>
                <w:noProof/>
                <w:szCs w:val="18"/>
              </w:rPr>
            </w:pPr>
            <w:r>
              <w:rPr>
                <w:noProof/>
              </w:rPr>
              <w:t xml:space="preserve">Données de référence </w:t>
            </w:r>
          </w:p>
        </w:tc>
        <w:tc>
          <w:tcPr>
            <w:tcW w:w="587" w:type="dxa"/>
            <w:shd w:val="clear" w:color="auto" w:fill="BDD7EE"/>
            <w:vAlign w:val="center"/>
            <w:hideMark/>
          </w:tcPr>
          <w:p w14:paraId="18F81BB6" w14:textId="77777777" w:rsidR="00A00259" w:rsidRDefault="00371282">
            <w:pPr>
              <w:pStyle w:val="P68B1DB1-Normal10"/>
              <w:spacing w:after="0" w:line="240" w:lineRule="auto"/>
              <w:jc w:val="center"/>
              <w:rPr>
                <w:rFonts w:eastAsia="Times New Roman" w:cs="Times New Roman"/>
                <w:noProof/>
                <w:szCs w:val="18"/>
              </w:rPr>
            </w:pPr>
            <w:r>
              <w:rPr>
                <w:noProof/>
              </w:rPr>
              <w:t xml:space="preserve">Objectif </w:t>
            </w:r>
          </w:p>
        </w:tc>
        <w:tc>
          <w:tcPr>
            <w:tcW w:w="1350" w:type="dxa"/>
            <w:shd w:val="clear" w:color="auto" w:fill="BDD7EE"/>
            <w:vAlign w:val="center"/>
            <w:hideMark/>
          </w:tcPr>
          <w:p w14:paraId="014BD1D0" w14:textId="77777777" w:rsidR="00A00259" w:rsidRDefault="00371282">
            <w:pPr>
              <w:pStyle w:val="P68B1DB1-Normal10"/>
              <w:spacing w:after="0" w:line="240" w:lineRule="auto"/>
              <w:jc w:val="center"/>
              <w:rPr>
                <w:rFonts w:eastAsia="Times New Roman" w:cs="Times New Roman"/>
                <w:noProof/>
                <w:szCs w:val="18"/>
              </w:rPr>
            </w:pPr>
            <w:r>
              <w:rPr>
                <w:noProof/>
              </w:rPr>
              <w:t>Trimestre</w:t>
            </w:r>
          </w:p>
        </w:tc>
        <w:tc>
          <w:tcPr>
            <w:tcW w:w="1166" w:type="dxa"/>
            <w:shd w:val="clear" w:color="auto" w:fill="BDD7EE"/>
            <w:vAlign w:val="center"/>
            <w:hideMark/>
          </w:tcPr>
          <w:p w14:paraId="54BCD0FC" w14:textId="77777777" w:rsidR="00A00259" w:rsidRDefault="00371282">
            <w:pPr>
              <w:pStyle w:val="P68B1DB1-Normal10"/>
              <w:spacing w:after="0" w:line="240" w:lineRule="auto"/>
              <w:jc w:val="center"/>
              <w:rPr>
                <w:rFonts w:eastAsia="Times New Roman" w:cs="Times New Roman"/>
                <w:noProof/>
                <w:szCs w:val="18"/>
              </w:rPr>
            </w:pPr>
            <w:r>
              <w:rPr>
                <w:noProof/>
              </w:rPr>
              <w:t>Année</w:t>
            </w:r>
          </w:p>
        </w:tc>
        <w:tc>
          <w:tcPr>
            <w:tcW w:w="3582" w:type="dxa"/>
            <w:vMerge/>
            <w:vAlign w:val="center"/>
            <w:hideMark/>
          </w:tcPr>
          <w:p w14:paraId="6AAA24C5"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3D711D23" w14:textId="77777777">
        <w:trPr>
          <w:trHeight w:val="1766"/>
          <w:jc w:val="center"/>
        </w:trPr>
        <w:tc>
          <w:tcPr>
            <w:tcW w:w="566" w:type="dxa"/>
            <w:shd w:val="clear" w:color="auto" w:fill="C6EFCE"/>
            <w:noWrap/>
          </w:tcPr>
          <w:p w14:paraId="7CE78163" w14:textId="77777777" w:rsidR="00A00259" w:rsidRDefault="00371282">
            <w:pPr>
              <w:pStyle w:val="P68B1DB1-Normal12"/>
              <w:spacing w:after="0" w:line="240" w:lineRule="auto"/>
              <w:rPr>
                <w:rFonts w:eastAsia="Times New Roman"/>
                <w:noProof/>
              </w:rPr>
            </w:pPr>
            <w:r>
              <w:rPr>
                <w:noProof/>
              </w:rPr>
              <w:t>260</w:t>
            </w:r>
          </w:p>
        </w:tc>
        <w:tc>
          <w:tcPr>
            <w:tcW w:w="1680" w:type="dxa"/>
            <w:shd w:val="clear" w:color="auto" w:fill="C6EFCE"/>
            <w:noWrap/>
          </w:tcPr>
          <w:p w14:paraId="585BB87C"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- 16630_Cretan Northern Highway (Β.Ο.Α.Κ.)</w:t>
            </w:r>
          </w:p>
        </w:tc>
        <w:tc>
          <w:tcPr>
            <w:tcW w:w="1080" w:type="dxa"/>
            <w:shd w:val="clear" w:color="auto" w:fill="C6EFCE"/>
            <w:noWrap/>
          </w:tcPr>
          <w:p w14:paraId="51C16143" w14:textId="77777777" w:rsidR="00A00259" w:rsidRDefault="00371282">
            <w:pPr>
              <w:pStyle w:val="P68B1DB1-Normal12"/>
              <w:spacing w:after="0" w:line="240" w:lineRule="auto"/>
              <w:rPr>
                <w:rFonts w:eastAsia="Times New Roman"/>
                <w:noProof/>
              </w:rPr>
            </w:pPr>
            <w:r>
              <w:rPr>
                <w:noProof/>
              </w:rPr>
              <w:t>Étape</w:t>
            </w:r>
          </w:p>
        </w:tc>
        <w:tc>
          <w:tcPr>
            <w:tcW w:w="1299" w:type="dxa"/>
            <w:shd w:val="clear" w:color="auto" w:fill="C6EFCE"/>
            <w:noWrap/>
          </w:tcPr>
          <w:p w14:paraId="02BD169E" w14:textId="77777777" w:rsidR="00A00259" w:rsidRDefault="00371282">
            <w:pPr>
              <w:pStyle w:val="P68B1DB1-Normal12"/>
              <w:spacing w:after="0" w:line="240" w:lineRule="auto"/>
              <w:rPr>
                <w:rFonts w:eastAsia="Times New Roman"/>
                <w:noProof/>
              </w:rPr>
            </w:pPr>
            <w:r>
              <w:rPr>
                <w:noProof/>
              </w:rPr>
              <w:t>Notification de l’attribution de marchés pour trois sous-projets du BOAK</w:t>
            </w:r>
          </w:p>
        </w:tc>
        <w:tc>
          <w:tcPr>
            <w:tcW w:w="1461" w:type="dxa"/>
            <w:shd w:val="clear" w:color="auto" w:fill="C6EFCE"/>
            <w:noWrap/>
          </w:tcPr>
          <w:p w14:paraId="2B19659F" w14:textId="77777777" w:rsidR="00A00259" w:rsidRDefault="00371282">
            <w:pPr>
              <w:pStyle w:val="P68B1DB1-Normal12"/>
              <w:spacing w:after="0" w:line="240" w:lineRule="auto"/>
              <w:rPr>
                <w:rFonts w:eastAsia="Times New Roman"/>
                <w:noProof/>
              </w:rPr>
            </w:pPr>
            <w:r>
              <w:rPr>
                <w:noProof/>
              </w:rPr>
              <w:t>Notification de l'attribution des marchés</w:t>
            </w:r>
          </w:p>
        </w:tc>
        <w:tc>
          <w:tcPr>
            <w:tcW w:w="1374" w:type="dxa"/>
            <w:shd w:val="clear" w:color="auto" w:fill="C6EFCE"/>
            <w:noWrap/>
          </w:tcPr>
          <w:p w14:paraId="085C3D6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249" w:type="dxa"/>
            <w:shd w:val="clear" w:color="auto" w:fill="C6EFCE"/>
            <w:noWrap/>
          </w:tcPr>
          <w:p w14:paraId="55ACBBE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shd w:val="clear" w:color="auto" w:fill="C6EFCE"/>
            <w:noWrap/>
          </w:tcPr>
          <w:p w14:paraId="5EB1C08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350" w:type="dxa"/>
            <w:shd w:val="clear" w:color="auto" w:fill="C6EFCE"/>
            <w:noWrap/>
          </w:tcPr>
          <w:p w14:paraId="64339737" w14:textId="77777777" w:rsidR="00A00259" w:rsidRDefault="00371282">
            <w:pPr>
              <w:pStyle w:val="P68B1DB1-Normal12"/>
              <w:spacing w:after="0" w:line="240" w:lineRule="auto"/>
              <w:rPr>
                <w:rFonts w:eastAsia="Times New Roman"/>
                <w:noProof/>
              </w:rPr>
            </w:pPr>
            <w:r>
              <w:rPr>
                <w:noProof/>
              </w:rPr>
              <w:t>T2</w:t>
            </w:r>
          </w:p>
        </w:tc>
        <w:tc>
          <w:tcPr>
            <w:tcW w:w="1166" w:type="dxa"/>
            <w:shd w:val="clear" w:color="auto" w:fill="C6EFCE"/>
            <w:noWrap/>
          </w:tcPr>
          <w:p w14:paraId="2A3CFE36" w14:textId="77777777" w:rsidR="00A00259" w:rsidRDefault="00371282">
            <w:pPr>
              <w:pStyle w:val="P68B1DB1-Normal12"/>
              <w:spacing w:after="0" w:line="240" w:lineRule="auto"/>
              <w:rPr>
                <w:rFonts w:eastAsia="Times New Roman"/>
                <w:noProof/>
              </w:rPr>
            </w:pPr>
            <w:r>
              <w:rPr>
                <w:noProof/>
              </w:rPr>
              <w:t>2023</w:t>
            </w:r>
          </w:p>
        </w:tc>
        <w:tc>
          <w:tcPr>
            <w:tcW w:w="3582" w:type="dxa"/>
            <w:shd w:val="clear" w:color="auto" w:fill="C6EFCE"/>
            <w:noWrap/>
          </w:tcPr>
          <w:p w14:paraId="00F1204F" w14:textId="77777777" w:rsidR="00A00259" w:rsidRDefault="00371282">
            <w:pPr>
              <w:pStyle w:val="P68B1DB1-Normal12"/>
              <w:spacing w:after="0" w:line="240" w:lineRule="auto"/>
              <w:rPr>
                <w:rFonts w:eastAsia="Times New Roman"/>
                <w:noProof/>
              </w:rPr>
            </w:pPr>
            <w:r>
              <w:rPr>
                <w:noProof/>
              </w:rPr>
              <w:t>Notification de l’attribution de marchés pour a) la convention de concession; b) le partenariat public-privé; et c) Travaux publics.</w:t>
            </w:r>
          </w:p>
        </w:tc>
      </w:tr>
      <w:tr w:rsidR="00A00259" w14:paraId="388E4B90" w14:textId="77777777">
        <w:trPr>
          <w:trHeight w:val="313"/>
          <w:jc w:val="center"/>
        </w:trPr>
        <w:tc>
          <w:tcPr>
            <w:tcW w:w="566" w:type="dxa"/>
            <w:shd w:val="clear" w:color="auto" w:fill="C6EFCE"/>
            <w:noWrap/>
            <w:hideMark/>
          </w:tcPr>
          <w:p w14:paraId="3777A886" w14:textId="77777777" w:rsidR="00A00259" w:rsidRDefault="00371282">
            <w:pPr>
              <w:pStyle w:val="P68B1DB1-Normal12"/>
              <w:spacing w:after="0" w:line="240" w:lineRule="auto"/>
              <w:rPr>
                <w:rFonts w:eastAsia="Times New Roman"/>
                <w:noProof/>
              </w:rPr>
            </w:pPr>
            <w:r>
              <w:rPr>
                <w:noProof/>
              </w:rPr>
              <w:t>262</w:t>
            </w:r>
          </w:p>
        </w:tc>
        <w:tc>
          <w:tcPr>
            <w:tcW w:w="1680" w:type="dxa"/>
            <w:shd w:val="clear" w:color="auto" w:fill="C6EFCE"/>
            <w:noWrap/>
            <w:hideMark/>
          </w:tcPr>
          <w:p w14:paraId="0488F5B3"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- 16630_Cretan Northern Highway (Β.Ο.Α.Κ.)</w:t>
            </w:r>
          </w:p>
        </w:tc>
        <w:tc>
          <w:tcPr>
            <w:tcW w:w="1080" w:type="dxa"/>
            <w:shd w:val="clear" w:color="auto" w:fill="C6EFCE"/>
            <w:noWrap/>
            <w:hideMark/>
          </w:tcPr>
          <w:p w14:paraId="15467F6A" w14:textId="77777777" w:rsidR="00A00259" w:rsidRDefault="00371282">
            <w:pPr>
              <w:pStyle w:val="P68B1DB1-Normal12"/>
              <w:spacing w:after="0" w:line="240" w:lineRule="auto"/>
              <w:rPr>
                <w:rFonts w:eastAsia="Times New Roman"/>
                <w:noProof/>
              </w:rPr>
            </w:pPr>
            <w:r>
              <w:rPr>
                <w:noProof/>
              </w:rPr>
              <w:t>Étape</w:t>
            </w:r>
          </w:p>
        </w:tc>
        <w:tc>
          <w:tcPr>
            <w:tcW w:w="1299" w:type="dxa"/>
            <w:shd w:val="clear" w:color="auto" w:fill="C6EFCE"/>
            <w:noWrap/>
            <w:hideMark/>
          </w:tcPr>
          <w:p w14:paraId="4C92BF80" w14:textId="77777777" w:rsidR="00A00259" w:rsidRDefault="00371282">
            <w:pPr>
              <w:pStyle w:val="P68B1DB1-Normal12"/>
              <w:spacing w:after="0" w:line="240" w:lineRule="auto"/>
              <w:rPr>
                <w:rFonts w:eastAsia="Times New Roman"/>
                <w:noProof/>
              </w:rPr>
            </w:pPr>
            <w:r>
              <w:rPr>
                <w:noProof/>
              </w:rPr>
              <w:t>Travaux exécutés financés par la FRR</w:t>
            </w:r>
          </w:p>
        </w:tc>
        <w:tc>
          <w:tcPr>
            <w:tcW w:w="1461" w:type="dxa"/>
            <w:shd w:val="clear" w:color="auto" w:fill="C6EFCE"/>
            <w:noWrap/>
            <w:hideMark/>
          </w:tcPr>
          <w:p w14:paraId="34C981F8" w14:textId="2A3C148B" w:rsidR="00A00259" w:rsidRDefault="00371282">
            <w:pPr>
              <w:pStyle w:val="P68B1DB1-Normal12"/>
              <w:spacing w:after="0" w:line="240" w:lineRule="auto"/>
              <w:rPr>
                <w:rFonts w:eastAsia="Times New Roman"/>
                <w:noProof/>
              </w:rPr>
            </w:pPr>
            <w:r>
              <w:rPr>
                <w:noProof/>
              </w:rPr>
              <w:t xml:space="preserve">Travaux prédéfinis exécutés sur les tronçons Kissamos-Héraklion et Neapolis-Agios Nikolaos </w:t>
            </w:r>
          </w:p>
        </w:tc>
        <w:tc>
          <w:tcPr>
            <w:tcW w:w="1374" w:type="dxa"/>
            <w:shd w:val="clear" w:color="auto" w:fill="C6EFCE"/>
            <w:noWrap/>
            <w:hideMark/>
          </w:tcPr>
          <w:p w14:paraId="318BD33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249" w:type="dxa"/>
            <w:shd w:val="clear" w:color="auto" w:fill="C6EFCE"/>
            <w:noWrap/>
            <w:hideMark/>
          </w:tcPr>
          <w:p w14:paraId="5C32FA2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shd w:val="clear" w:color="auto" w:fill="C6EFCE"/>
            <w:noWrap/>
            <w:hideMark/>
          </w:tcPr>
          <w:p w14:paraId="2AB3E98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350" w:type="dxa"/>
            <w:shd w:val="clear" w:color="auto" w:fill="C6EFCE"/>
            <w:noWrap/>
            <w:hideMark/>
          </w:tcPr>
          <w:p w14:paraId="53130329" w14:textId="77777777" w:rsidR="00A00259" w:rsidRDefault="00371282">
            <w:pPr>
              <w:pStyle w:val="P68B1DB1-Normal12"/>
              <w:spacing w:after="0" w:line="240" w:lineRule="auto"/>
              <w:rPr>
                <w:rFonts w:eastAsia="Times New Roman"/>
                <w:noProof/>
              </w:rPr>
            </w:pPr>
            <w:r>
              <w:rPr>
                <w:noProof/>
              </w:rPr>
              <w:t>T4</w:t>
            </w:r>
          </w:p>
        </w:tc>
        <w:tc>
          <w:tcPr>
            <w:tcW w:w="1166" w:type="dxa"/>
            <w:shd w:val="clear" w:color="auto" w:fill="C6EFCE"/>
            <w:noWrap/>
            <w:hideMark/>
          </w:tcPr>
          <w:p w14:paraId="1B6D264C" w14:textId="77777777" w:rsidR="00A00259" w:rsidRDefault="00371282">
            <w:pPr>
              <w:pStyle w:val="P68B1DB1-Normal12"/>
              <w:spacing w:after="0" w:line="240" w:lineRule="auto"/>
              <w:rPr>
                <w:rFonts w:eastAsia="Times New Roman"/>
                <w:noProof/>
              </w:rPr>
            </w:pPr>
            <w:r>
              <w:rPr>
                <w:noProof/>
              </w:rPr>
              <w:t>2025</w:t>
            </w:r>
          </w:p>
        </w:tc>
        <w:tc>
          <w:tcPr>
            <w:tcW w:w="3582" w:type="dxa"/>
            <w:shd w:val="clear" w:color="auto" w:fill="C6EFCE"/>
            <w:noWrap/>
            <w:hideMark/>
          </w:tcPr>
          <w:p w14:paraId="4562E263" w14:textId="5DECF3E8" w:rsidR="00A00259" w:rsidRDefault="00371282">
            <w:pPr>
              <w:pStyle w:val="P68B1DB1-Normal12"/>
              <w:spacing w:after="0" w:line="240" w:lineRule="auto"/>
              <w:rPr>
                <w:noProof/>
              </w:rPr>
            </w:pPr>
            <w:r>
              <w:rPr>
                <w:noProof/>
              </w:rPr>
              <w:t xml:space="preserve">Sous-projet 3 (Neapolis-Agios Nikolaos): Exécution des travaux depuis la fin du contournement de Naples jusqu’au début du contournement d’Agios Nikolaos (chaîne 1+800 jusqu’au chaînage </w:t>
            </w:r>
            <w:bookmarkStart w:id="6" w:name="_Hlk234311340"/>
            <w:r>
              <w:rPr>
                <w:noProof/>
              </w:rPr>
              <w:t>12+000)</w:t>
            </w:r>
            <w:bookmarkEnd w:id="6"/>
            <w:r>
              <w:rPr>
                <w:noProof/>
              </w:rPr>
              <w:t xml:space="preserve"> pour la construction de la chaussée principale de l’autoroute.</w:t>
            </w:r>
          </w:p>
          <w:p w14:paraId="7D93D351" w14:textId="65F986F9" w:rsidR="00A00259" w:rsidRDefault="00A00259">
            <w:pPr>
              <w:spacing w:after="0" w:line="240" w:lineRule="auto"/>
              <w:rPr>
                <w:rFonts w:ascii="Times New Roman" w:hAnsi="Times New Roman" w:cs="Times New Roman"/>
                <w:noProof/>
                <w:color w:val="006100"/>
                <w:sz w:val="18"/>
                <w:szCs w:val="18"/>
              </w:rPr>
            </w:pPr>
          </w:p>
          <w:p w14:paraId="2B1EC516" w14:textId="6655FC32" w:rsidR="00A00259" w:rsidRDefault="00371282">
            <w:pPr>
              <w:pStyle w:val="P68B1DB1-Normal12"/>
              <w:spacing w:after="0" w:line="240" w:lineRule="auto"/>
              <w:rPr>
                <w:rFonts w:eastAsia="Times New Roman"/>
                <w:noProof/>
              </w:rPr>
            </w:pPr>
            <w:r>
              <w:rPr>
                <w:noProof/>
              </w:rPr>
              <w:t>Pour le premier sous-projet (Kissamos-Héraklion), les travaux suivants ont été exécutés:</w:t>
            </w:r>
          </w:p>
          <w:p w14:paraId="567B9DCE" w14:textId="0BB9001B" w:rsidR="00A00259" w:rsidRDefault="00371282">
            <w:pPr>
              <w:pStyle w:val="P68B1DB1-Normal12"/>
              <w:spacing w:after="0" w:line="240" w:lineRule="auto"/>
              <w:rPr>
                <w:noProof/>
              </w:rPr>
            </w:pPr>
            <w:r>
              <w:rPr>
                <w:noProof/>
              </w:rPr>
              <w:t>1. Tous les travaux dans les contournements existants, à l’exclusion des installations électromécaniques (telles que poteaux d’éclairage routier, panneaux réfléchissants, câbles d’alimentation électrique), de la couche de chaussée antidérapante (finale) et de l’installation de la barrière de sécurité, comme suit:</w:t>
            </w:r>
          </w:p>
          <w:p w14:paraId="5F61C63E" w14:textId="77777777" w:rsidR="00A00259" w:rsidRDefault="00371282">
            <w:pPr>
              <w:pStyle w:val="P68B1DB1-Normal12"/>
              <w:spacing w:after="0" w:line="240" w:lineRule="auto"/>
              <w:rPr>
                <w:noProof/>
              </w:rPr>
            </w:pPr>
            <w:r>
              <w:rPr>
                <w:noProof/>
              </w:rPr>
              <w:t>a) Contournement de Chania (1Y,2Y), longueur des sections: 8,0 km,</w:t>
            </w:r>
          </w:p>
          <w:p w14:paraId="44FF33A1" w14:textId="77777777" w:rsidR="00A00259" w:rsidRDefault="00371282">
            <w:pPr>
              <w:pStyle w:val="P68B1DB1-Normal12"/>
              <w:spacing w:after="0" w:line="240" w:lineRule="auto"/>
              <w:rPr>
                <w:noProof/>
              </w:rPr>
            </w:pPr>
            <w:r>
              <w:rPr>
                <w:noProof/>
              </w:rPr>
              <w:t xml:space="preserve">b) Contournement de Réthymnon (10Y,11Y), longueur des sections: 6,8 km et </w:t>
            </w:r>
          </w:p>
          <w:p w14:paraId="0D6C920A" w14:textId="77777777" w:rsidR="00A00259" w:rsidRDefault="00371282">
            <w:pPr>
              <w:pStyle w:val="P68B1DB1-Normal12"/>
              <w:spacing w:after="0" w:line="240" w:lineRule="auto"/>
              <w:rPr>
                <w:noProof/>
              </w:rPr>
            </w:pPr>
            <w:r>
              <w:rPr>
                <w:noProof/>
              </w:rPr>
              <w:t xml:space="preserve">c) Contournement d'Héraklion (23Y), longueur de la section: 8,5 km. </w:t>
            </w:r>
          </w:p>
          <w:p w14:paraId="192B485A" w14:textId="77777777" w:rsidR="00A00259" w:rsidRDefault="00371282">
            <w:pPr>
              <w:pStyle w:val="P68B1DB1-Normal12"/>
              <w:spacing w:after="0" w:line="240" w:lineRule="auto"/>
              <w:rPr>
                <w:noProof/>
              </w:rPr>
            </w:pPr>
            <w:r>
              <w:rPr>
                <w:noProof/>
              </w:rPr>
              <w:t>Les travaux de l'unité géographique 23Y n'incluent pas la construction du tunnel de Kako Oros.</w:t>
            </w:r>
          </w:p>
          <w:p w14:paraId="2C835972" w14:textId="5345BB89" w:rsidR="00A00259" w:rsidRDefault="00A00259">
            <w:pPr>
              <w:spacing w:after="0" w:line="240" w:lineRule="auto"/>
              <w:rPr>
                <w:rFonts w:ascii="Times New Roman" w:hAnsi="Times New Roman" w:cs="Times New Roman"/>
                <w:noProof/>
                <w:color w:val="006100"/>
                <w:sz w:val="18"/>
                <w:szCs w:val="18"/>
              </w:rPr>
            </w:pPr>
          </w:p>
          <w:p w14:paraId="460B3F75" w14:textId="643E55E3" w:rsidR="00A00259" w:rsidRDefault="00371282">
            <w:pPr>
              <w:pStyle w:val="P68B1DB1-Normal12"/>
              <w:spacing w:after="0" w:line="240" w:lineRule="auto"/>
              <w:rPr>
                <w:rFonts w:eastAsia="Times New Roman"/>
                <w:noProof/>
              </w:rPr>
            </w:pPr>
            <w:r>
              <w:rPr>
                <w:noProof/>
              </w:rPr>
              <w:t>2. Interventions de sécurité routière sur 412 sites.</w:t>
            </w:r>
          </w:p>
        </w:tc>
      </w:tr>
      <w:tr w:rsidR="00A00259" w14:paraId="186503E5" w14:textId="77777777">
        <w:trPr>
          <w:trHeight w:val="313"/>
          <w:jc w:val="center"/>
        </w:trPr>
        <w:tc>
          <w:tcPr>
            <w:tcW w:w="566" w:type="dxa"/>
            <w:shd w:val="clear" w:color="auto" w:fill="C6EFCE"/>
            <w:noWrap/>
          </w:tcPr>
          <w:p w14:paraId="45F5A7E8" w14:textId="77777777" w:rsidR="00A00259" w:rsidRDefault="00371282">
            <w:pPr>
              <w:pStyle w:val="P68B1DB1-Normal12"/>
              <w:spacing w:after="0" w:line="240" w:lineRule="auto"/>
              <w:rPr>
                <w:noProof/>
              </w:rPr>
            </w:pPr>
            <w:r>
              <w:rPr>
                <w:noProof/>
              </w:rPr>
              <w:t>262a</w:t>
            </w:r>
          </w:p>
        </w:tc>
        <w:tc>
          <w:tcPr>
            <w:tcW w:w="1680" w:type="dxa"/>
            <w:shd w:val="clear" w:color="auto" w:fill="C6EFCE"/>
            <w:noWrap/>
          </w:tcPr>
          <w:p w14:paraId="7C374BE4" w14:textId="77777777" w:rsidR="00A00259" w:rsidRDefault="00371282">
            <w:pPr>
              <w:pStyle w:val="P68B1DB1-Normal12"/>
              <w:spacing w:after="0" w:line="240" w:lineRule="auto"/>
              <w:rPr>
                <w:noProof/>
              </w:rPr>
            </w:pPr>
            <w:r>
              <w:rPr>
                <w:noProof/>
              </w:rPr>
              <w:t>17 - 4.6. Moderniser et améliorer la résilience des secteurs économiques clés - 16630_Cretan Northern Highway (Β.Ο.Α.Κ.)</w:t>
            </w:r>
          </w:p>
        </w:tc>
        <w:tc>
          <w:tcPr>
            <w:tcW w:w="1080" w:type="dxa"/>
            <w:shd w:val="clear" w:color="auto" w:fill="C6EFCE"/>
            <w:noWrap/>
          </w:tcPr>
          <w:p w14:paraId="70675725" w14:textId="77777777" w:rsidR="00A00259" w:rsidRDefault="00371282">
            <w:pPr>
              <w:pStyle w:val="P68B1DB1-Normal12"/>
              <w:spacing w:after="0" w:line="240" w:lineRule="auto"/>
              <w:rPr>
                <w:noProof/>
              </w:rPr>
            </w:pPr>
            <w:r>
              <w:rPr>
                <w:noProof/>
              </w:rPr>
              <w:t>Étape</w:t>
            </w:r>
          </w:p>
        </w:tc>
        <w:tc>
          <w:tcPr>
            <w:tcW w:w="1299" w:type="dxa"/>
            <w:shd w:val="clear" w:color="auto" w:fill="C6EFCE"/>
            <w:noWrap/>
          </w:tcPr>
          <w:p w14:paraId="4787273E" w14:textId="77777777" w:rsidR="00A00259" w:rsidRDefault="00371282">
            <w:pPr>
              <w:pStyle w:val="P68B1DB1-Normal12"/>
              <w:spacing w:after="0" w:line="240" w:lineRule="auto"/>
              <w:rPr>
                <w:noProof/>
              </w:rPr>
            </w:pPr>
            <w:r>
              <w:rPr>
                <w:noProof/>
              </w:rPr>
              <w:t>Travaux exécutés financés par la FRR</w:t>
            </w:r>
          </w:p>
        </w:tc>
        <w:tc>
          <w:tcPr>
            <w:tcW w:w="1461" w:type="dxa"/>
            <w:shd w:val="clear" w:color="auto" w:fill="C6EFCE"/>
            <w:noWrap/>
          </w:tcPr>
          <w:p w14:paraId="26F958A8" w14:textId="77777777" w:rsidR="00A00259" w:rsidRDefault="00371282">
            <w:pPr>
              <w:pStyle w:val="P68B1DB1-Normal12"/>
              <w:spacing w:after="0" w:line="240" w:lineRule="auto"/>
              <w:rPr>
                <w:noProof/>
              </w:rPr>
            </w:pPr>
            <w:r>
              <w:rPr>
                <w:noProof/>
              </w:rPr>
              <w:t>Travaux prédéfinis exécutés sur la section Hersonisos – Neapolis</w:t>
            </w:r>
          </w:p>
        </w:tc>
        <w:tc>
          <w:tcPr>
            <w:tcW w:w="1374" w:type="dxa"/>
            <w:shd w:val="clear" w:color="auto" w:fill="C6EFCE"/>
            <w:noWrap/>
          </w:tcPr>
          <w:p w14:paraId="46CAE46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249" w:type="dxa"/>
            <w:shd w:val="clear" w:color="auto" w:fill="C6EFCE"/>
            <w:noWrap/>
          </w:tcPr>
          <w:p w14:paraId="70A9D05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shd w:val="clear" w:color="auto" w:fill="C6EFCE"/>
            <w:noWrap/>
          </w:tcPr>
          <w:p w14:paraId="3DAA498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350" w:type="dxa"/>
            <w:shd w:val="clear" w:color="auto" w:fill="C6EFCE"/>
            <w:noWrap/>
          </w:tcPr>
          <w:p w14:paraId="48D4D661" w14:textId="77777777" w:rsidR="00A00259" w:rsidRDefault="00371282">
            <w:pPr>
              <w:pStyle w:val="P68B1DB1-Normal12"/>
              <w:spacing w:after="0" w:line="240" w:lineRule="auto"/>
              <w:rPr>
                <w:noProof/>
              </w:rPr>
            </w:pPr>
            <w:r>
              <w:rPr>
                <w:noProof/>
              </w:rPr>
              <w:t>T4</w:t>
            </w:r>
          </w:p>
        </w:tc>
        <w:tc>
          <w:tcPr>
            <w:tcW w:w="1166" w:type="dxa"/>
            <w:shd w:val="clear" w:color="auto" w:fill="C6EFCE"/>
            <w:noWrap/>
          </w:tcPr>
          <w:p w14:paraId="28312281" w14:textId="77777777" w:rsidR="00A00259" w:rsidRDefault="00371282">
            <w:pPr>
              <w:pStyle w:val="P68B1DB1-Normal12"/>
              <w:spacing w:after="0" w:line="240" w:lineRule="auto"/>
              <w:rPr>
                <w:noProof/>
              </w:rPr>
            </w:pPr>
            <w:r>
              <w:rPr>
                <w:noProof/>
              </w:rPr>
              <w:t>2025</w:t>
            </w:r>
          </w:p>
        </w:tc>
        <w:tc>
          <w:tcPr>
            <w:tcW w:w="3582" w:type="dxa"/>
            <w:shd w:val="clear" w:color="auto" w:fill="C6EFCE"/>
            <w:noWrap/>
          </w:tcPr>
          <w:p w14:paraId="00056B7C" w14:textId="77777777" w:rsidR="00A00259" w:rsidRDefault="00371282">
            <w:pPr>
              <w:pStyle w:val="P68B1DB1-Normal12"/>
              <w:spacing w:after="0" w:line="240" w:lineRule="auto"/>
              <w:rPr>
                <w:noProof/>
              </w:rPr>
            </w:pPr>
            <w:r>
              <w:rPr>
                <w:noProof/>
              </w:rPr>
              <w:t>Sous-projet 2 (Hersonisos – Neapolis): les travaux suivants exécutés:</w:t>
            </w:r>
          </w:p>
          <w:p w14:paraId="6AF9257F" w14:textId="77777777" w:rsidR="00A00259" w:rsidRDefault="00371282">
            <w:pPr>
              <w:pStyle w:val="P68B1DB1-Normal12"/>
              <w:spacing w:after="0" w:line="240" w:lineRule="auto"/>
              <w:rPr>
                <w:noProof/>
              </w:rPr>
            </w:pPr>
            <w:r>
              <w:rPr>
                <w:noProof/>
              </w:rPr>
              <w:t>a) toutes les conceptions et enquêtes pour le sous-projet,</w:t>
            </w:r>
          </w:p>
          <w:p w14:paraId="732074D8" w14:textId="160C9644" w:rsidR="00A00259" w:rsidRDefault="00371282">
            <w:pPr>
              <w:pStyle w:val="P68B1DB1-Normal12"/>
              <w:spacing w:after="0" w:line="240" w:lineRule="auto"/>
              <w:rPr>
                <w:noProof/>
              </w:rPr>
            </w:pPr>
            <w:r>
              <w:rPr>
                <w:noProof/>
              </w:rPr>
              <w:t>b) Phases A et B des travaux d'excavation et d'appui temporaire du tunnel T1 ,</w:t>
            </w:r>
          </w:p>
          <w:p w14:paraId="3F2F65E6" w14:textId="77777777" w:rsidR="00A00259" w:rsidRDefault="00371282">
            <w:pPr>
              <w:pStyle w:val="P68B1DB1-Normal12"/>
              <w:spacing w:after="0" w:line="240" w:lineRule="auto"/>
              <w:rPr>
                <w:noProof/>
              </w:rPr>
            </w:pPr>
            <w:r>
              <w:rPr>
                <w:noProof/>
              </w:rPr>
              <w:t>c) pont C6.</w:t>
            </w:r>
          </w:p>
        </w:tc>
      </w:tr>
    </w:tbl>
    <w:p w14:paraId="76532BC6" w14:textId="77777777" w:rsidR="00A00259" w:rsidRDefault="00A00259">
      <w:pPr>
        <w:spacing w:before="120" w:after="0" w:line="240" w:lineRule="auto"/>
        <w:jc w:val="both"/>
        <w:rPr>
          <w:rFonts w:ascii="Times New Roman" w:hAnsi="Times New Roman" w:cs="Times New Roman"/>
          <w:noProof/>
          <w:sz w:val="24"/>
        </w:rPr>
      </w:pPr>
    </w:p>
    <w:p w14:paraId="6FC344FC" w14:textId="77777777" w:rsidR="00A00259" w:rsidRDefault="00371282">
      <w:pPr>
        <w:pStyle w:val="P68B1DB1-Normal50"/>
        <w:rPr>
          <w:noProof/>
        </w:rPr>
      </w:pPr>
      <w:r>
        <w:rPr>
          <w:noProof/>
        </w:rPr>
        <w:br w:type="page"/>
      </w:r>
    </w:p>
    <w:p w14:paraId="313A73B4" w14:textId="77777777" w:rsidR="00A00259" w:rsidRDefault="00371282">
      <w:pPr>
        <w:pStyle w:val="P68B1DB1-Normal9"/>
        <w:keepNext/>
        <w:keepLines/>
        <w:spacing w:before="40" w:after="0" w:line="240" w:lineRule="auto"/>
        <w:jc w:val="both"/>
        <w:outlineLvl w:val="4"/>
        <w:rPr>
          <w:rFonts w:eastAsia="Times New Roman"/>
          <w:noProof/>
        </w:rPr>
      </w:pPr>
      <w:r>
        <w:rPr>
          <w:noProof/>
        </w:rPr>
        <w:t>Groupe 24: Infrastructures</w:t>
      </w:r>
    </w:p>
    <w:p w14:paraId="2A75997B" w14:textId="77777777" w:rsidR="00A00259" w:rsidRDefault="00371282">
      <w:pPr>
        <w:pStyle w:val="P68B1DB1-Normal51"/>
        <w:spacing w:after="0" w:line="240" w:lineRule="auto"/>
        <w:rPr>
          <w:rFonts w:cs="Times New Roman"/>
          <w:noProof/>
          <w:sz w:val="28"/>
          <w:szCs w:val="28"/>
        </w:rPr>
      </w:pPr>
      <w:r>
        <w:rPr>
          <w:noProof/>
        </w:rPr>
        <w:t>Sous-groupe 1 (transformation numérique)</w:t>
      </w:r>
    </w:p>
    <w:p w14:paraId="7C8DDC65" w14:textId="77777777" w:rsidR="00A00259" w:rsidRDefault="00371282">
      <w:pPr>
        <w:pStyle w:val="P68B1DB1-Normal52"/>
        <w:numPr>
          <w:ilvl w:val="0"/>
          <w:numId w:val="77"/>
        </w:numPr>
        <w:spacing w:before="120" w:after="0" w:line="240" w:lineRule="auto"/>
        <w:jc w:val="both"/>
        <w:rPr>
          <w:rFonts w:cs="Times New Roman"/>
          <w:noProof/>
        </w:rPr>
      </w:pPr>
      <w:r>
        <w:rPr>
          <w:noProof/>
        </w:rPr>
        <w:t>Infrastructure intelligente axée sur l’environnement et la culture (ID: 16960)</w:t>
      </w:r>
    </w:p>
    <w:p w14:paraId="694D114A" w14:textId="77777777" w:rsidR="00A00259" w:rsidRDefault="00371282">
      <w:pPr>
        <w:pStyle w:val="P68B1DB1-Normal52"/>
        <w:numPr>
          <w:ilvl w:val="0"/>
          <w:numId w:val="77"/>
        </w:numPr>
        <w:spacing w:before="120" w:after="0" w:line="240" w:lineRule="auto"/>
        <w:jc w:val="both"/>
        <w:rPr>
          <w:rFonts w:cs="Times New Roman"/>
          <w:noProof/>
        </w:rPr>
      </w:pPr>
      <w:r>
        <w:rPr>
          <w:noProof/>
        </w:rPr>
        <w:t>Ponts intelligents (ID: 16949)</w:t>
      </w:r>
    </w:p>
    <w:p w14:paraId="4C9D34CD" w14:textId="77777777" w:rsidR="00A00259" w:rsidRDefault="00371282">
      <w:pPr>
        <w:pStyle w:val="P68B1DB1-Normal52"/>
        <w:numPr>
          <w:ilvl w:val="0"/>
          <w:numId w:val="77"/>
        </w:numPr>
        <w:spacing w:before="120" w:after="0" w:line="240" w:lineRule="auto"/>
        <w:ind w:left="714" w:hanging="357"/>
        <w:jc w:val="both"/>
        <w:rPr>
          <w:rFonts w:cs="Times New Roman"/>
          <w:noProof/>
        </w:rPr>
      </w:pPr>
      <w:r>
        <w:rPr>
          <w:noProof/>
        </w:rPr>
        <w:t>Simplification des procédures du ministère des infrastructures et des transports (ID: 16786)</w:t>
      </w:r>
    </w:p>
    <w:p w14:paraId="45FF6C0C" w14:textId="77777777" w:rsidR="00A00259" w:rsidRDefault="00371282">
      <w:pPr>
        <w:pStyle w:val="P68B1DB1-Normal52"/>
        <w:numPr>
          <w:ilvl w:val="0"/>
          <w:numId w:val="77"/>
        </w:numPr>
        <w:spacing w:before="120" w:after="120" w:line="240" w:lineRule="auto"/>
        <w:jc w:val="both"/>
        <w:rPr>
          <w:rFonts w:cs="Times New Roman"/>
          <w:noProof/>
        </w:rPr>
      </w:pPr>
      <w:r>
        <w:rPr>
          <w:noProof/>
        </w:rPr>
        <w:t>Système numérique intégré de gestion des programmes pour l'administration des travaux techniques et des biens structurels du ministère des Infrastructures et des Transports (ID:16937)</w:t>
      </w:r>
    </w:p>
    <w:p w14:paraId="72E0DE73" w14:textId="77777777" w:rsidR="00A00259" w:rsidRDefault="00371282">
      <w:pPr>
        <w:pStyle w:val="P68B1DB1-Normal51"/>
        <w:spacing w:after="0" w:line="240" w:lineRule="auto"/>
        <w:rPr>
          <w:rFonts w:cs="Times New Roman"/>
          <w:noProof/>
          <w:sz w:val="28"/>
          <w:szCs w:val="28"/>
        </w:rPr>
      </w:pPr>
      <w:r>
        <w:rPr>
          <w:noProof/>
        </w:rPr>
        <w:t>Sous-groupe 2 (chemins de fer et aéroports)</w:t>
      </w:r>
    </w:p>
    <w:p w14:paraId="37C2D6AB" w14:textId="61209F3D" w:rsidR="00A00259" w:rsidRDefault="00371282">
      <w:pPr>
        <w:pStyle w:val="P68B1DB1-Normal52"/>
        <w:numPr>
          <w:ilvl w:val="0"/>
          <w:numId w:val="78"/>
        </w:numPr>
        <w:spacing w:before="120" w:after="0" w:line="240" w:lineRule="auto"/>
        <w:jc w:val="both"/>
        <w:rPr>
          <w:rFonts w:cs="Times New Roman"/>
          <w:noProof/>
        </w:rPr>
      </w:pPr>
      <w:r>
        <w:rPr>
          <w:noProof/>
        </w:rPr>
        <w:t>Travaux de restauration suite aux effets dévastateurs des tempêtes "DANIEL", "ELIAS" et "IANOS" (mesure ID 16999)</w:t>
      </w:r>
    </w:p>
    <w:p w14:paraId="48B21F62" w14:textId="77777777" w:rsidR="00A00259" w:rsidRDefault="00371282">
      <w:pPr>
        <w:pStyle w:val="P68B1DB1-Normal52"/>
        <w:numPr>
          <w:ilvl w:val="0"/>
          <w:numId w:val="78"/>
        </w:numPr>
        <w:spacing w:before="120" w:after="0" w:line="240" w:lineRule="auto"/>
        <w:jc w:val="both"/>
        <w:rPr>
          <w:rFonts w:cs="Times New Roman"/>
          <w:noProof/>
        </w:rPr>
      </w:pPr>
      <w:r>
        <w:rPr>
          <w:noProof/>
        </w:rPr>
        <w:t>Réforme organisationnelle dans le secteur ferroviaire (ID: 16982)</w:t>
      </w:r>
    </w:p>
    <w:p w14:paraId="746AD474" w14:textId="77777777" w:rsidR="00A00259" w:rsidRDefault="00371282">
      <w:pPr>
        <w:pStyle w:val="P68B1DB1-Normal52"/>
        <w:numPr>
          <w:ilvl w:val="0"/>
          <w:numId w:val="78"/>
        </w:numPr>
        <w:spacing w:before="120" w:after="0" w:line="240" w:lineRule="auto"/>
        <w:jc w:val="both"/>
        <w:rPr>
          <w:rFonts w:cs="Times New Roman"/>
          <w:noProof/>
        </w:rPr>
      </w:pPr>
      <w:r>
        <w:rPr>
          <w:noProof/>
        </w:rPr>
        <w:t>Transformation numérique des chemins de fer grecs (ID: 16959)</w:t>
      </w:r>
    </w:p>
    <w:p w14:paraId="6B5BC0F8" w14:textId="2FAE7C41" w:rsidR="00A00259" w:rsidRDefault="00371282">
      <w:pPr>
        <w:pStyle w:val="P68B1DB1-Normal52"/>
        <w:numPr>
          <w:ilvl w:val="0"/>
          <w:numId w:val="78"/>
        </w:numPr>
        <w:spacing w:before="120" w:after="0" w:line="240" w:lineRule="auto"/>
        <w:jc w:val="both"/>
        <w:rPr>
          <w:rFonts w:cs="Times New Roman"/>
          <w:noProof/>
        </w:rPr>
      </w:pPr>
      <w:r>
        <w:rPr>
          <w:noProof/>
        </w:rPr>
        <w:t>Modernisation des aéroports régionaux - retrait du DAAD (ID: 16833)</w:t>
      </w: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2665"/>
        <w:gridCol w:w="1134"/>
        <w:gridCol w:w="1842"/>
        <w:gridCol w:w="2127"/>
        <w:gridCol w:w="992"/>
        <w:gridCol w:w="936"/>
        <w:gridCol w:w="846"/>
        <w:gridCol w:w="986"/>
        <w:gridCol w:w="713"/>
        <w:gridCol w:w="3402"/>
      </w:tblGrid>
      <w:tr w:rsidR="00A00259" w14:paraId="3AFA13A0" w14:textId="77777777">
        <w:trPr>
          <w:trHeight w:val="659"/>
          <w:tblHeader/>
          <w:jc w:val="center"/>
        </w:trPr>
        <w:tc>
          <w:tcPr>
            <w:tcW w:w="591" w:type="dxa"/>
            <w:vMerge w:val="restart"/>
            <w:shd w:val="clear" w:color="auto" w:fill="BDD7EE"/>
            <w:vAlign w:val="center"/>
            <w:hideMark/>
          </w:tcPr>
          <w:p w14:paraId="3A06E760" w14:textId="77777777" w:rsidR="00A00259" w:rsidRDefault="00371282">
            <w:pPr>
              <w:pStyle w:val="P68B1DB1-Normal15"/>
              <w:spacing w:after="0" w:line="240" w:lineRule="auto"/>
              <w:jc w:val="center"/>
              <w:rPr>
                <w:rFonts w:eastAsia="Times New Roman"/>
                <w:noProof/>
              </w:rPr>
            </w:pPr>
            <w:r>
              <w:rPr>
                <w:noProof/>
              </w:rPr>
              <w:t xml:space="preserve">Seq. </w:t>
            </w:r>
            <w:r>
              <w:rPr>
                <w:noProof/>
              </w:rPr>
              <w:br/>
              <w:t>Non.</w:t>
            </w:r>
          </w:p>
        </w:tc>
        <w:tc>
          <w:tcPr>
            <w:tcW w:w="2665" w:type="dxa"/>
            <w:vMerge w:val="restart"/>
            <w:shd w:val="clear" w:color="auto" w:fill="BDD7EE"/>
            <w:vAlign w:val="center"/>
            <w:hideMark/>
          </w:tcPr>
          <w:p w14:paraId="35E71C53" w14:textId="77777777" w:rsidR="00A00259" w:rsidRDefault="00371282">
            <w:pPr>
              <w:pStyle w:val="P68B1DB1-Normal10"/>
              <w:spacing w:after="0" w:line="240" w:lineRule="auto"/>
              <w:jc w:val="center"/>
              <w:rPr>
                <w:rFonts w:eastAsia="Times New Roman" w:cs="Times New Roman"/>
                <w:noProof/>
                <w:szCs w:val="18"/>
              </w:rPr>
            </w:pPr>
            <w:r>
              <w:rPr>
                <w:noProof/>
              </w:rPr>
              <w:t>Mesure connexe (réforme ou investissement)</w:t>
            </w:r>
          </w:p>
        </w:tc>
        <w:tc>
          <w:tcPr>
            <w:tcW w:w="1134" w:type="dxa"/>
            <w:vMerge w:val="restart"/>
            <w:shd w:val="clear" w:color="auto" w:fill="BDD7EE"/>
            <w:vAlign w:val="center"/>
            <w:hideMark/>
          </w:tcPr>
          <w:p w14:paraId="7E367CCE" w14:textId="77777777" w:rsidR="00A00259" w:rsidRDefault="00371282">
            <w:pPr>
              <w:pStyle w:val="P68B1DB1-Normal10"/>
              <w:spacing w:after="0" w:line="240" w:lineRule="auto"/>
              <w:jc w:val="center"/>
              <w:rPr>
                <w:rFonts w:eastAsia="Times New Roman" w:cs="Times New Roman"/>
                <w:noProof/>
                <w:szCs w:val="18"/>
              </w:rPr>
            </w:pPr>
            <w:r>
              <w:rPr>
                <w:noProof/>
              </w:rPr>
              <w:t>Étape/cible</w:t>
            </w:r>
          </w:p>
        </w:tc>
        <w:tc>
          <w:tcPr>
            <w:tcW w:w="1842" w:type="dxa"/>
            <w:vMerge w:val="restart"/>
            <w:shd w:val="clear" w:color="auto" w:fill="BDD7EE"/>
            <w:vAlign w:val="center"/>
            <w:hideMark/>
          </w:tcPr>
          <w:p w14:paraId="0B5EF72E" w14:textId="77777777" w:rsidR="00A00259" w:rsidRDefault="00371282">
            <w:pPr>
              <w:pStyle w:val="P68B1DB1-Normal10"/>
              <w:spacing w:after="0" w:line="240" w:lineRule="auto"/>
              <w:jc w:val="center"/>
              <w:rPr>
                <w:rFonts w:eastAsia="Times New Roman" w:cs="Times New Roman"/>
                <w:noProof/>
                <w:szCs w:val="18"/>
              </w:rPr>
            </w:pPr>
            <w:r>
              <w:rPr>
                <w:noProof/>
              </w:rPr>
              <w:t>Nom</w:t>
            </w:r>
          </w:p>
        </w:tc>
        <w:tc>
          <w:tcPr>
            <w:tcW w:w="2127" w:type="dxa"/>
            <w:vMerge w:val="restart"/>
            <w:shd w:val="clear" w:color="auto" w:fill="BDD7EE"/>
            <w:vAlign w:val="center"/>
            <w:hideMark/>
          </w:tcPr>
          <w:p w14:paraId="553D5B6E" w14:textId="77777777" w:rsidR="00A00259" w:rsidRDefault="00371282">
            <w:pPr>
              <w:pStyle w:val="P68B1DB1-Normal10"/>
              <w:spacing w:after="0" w:line="240" w:lineRule="auto"/>
              <w:jc w:val="center"/>
              <w:rPr>
                <w:rFonts w:eastAsia="Times New Roman" w:cs="Times New Roman"/>
                <w:noProof/>
                <w:szCs w:val="18"/>
              </w:rPr>
            </w:pPr>
            <w:r>
              <w:rPr>
                <w:noProof/>
              </w:rPr>
              <w:t>Indicateurs qualitatifs (pour les jalons)</w:t>
            </w:r>
          </w:p>
        </w:tc>
        <w:tc>
          <w:tcPr>
            <w:tcW w:w="2693" w:type="dxa"/>
            <w:gridSpan w:val="3"/>
            <w:shd w:val="clear" w:color="auto" w:fill="BDD7EE"/>
            <w:vAlign w:val="center"/>
            <w:hideMark/>
          </w:tcPr>
          <w:p w14:paraId="2DE95BE3" w14:textId="77777777" w:rsidR="00A00259" w:rsidRDefault="00371282">
            <w:pPr>
              <w:pStyle w:val="P68B1DB1-Normal10"/>
              <w:spacing w:after="0" w:line="240" w:lineRule="auto"/>
              <w:jc w:val="center"/>
              <w:rPr>
                <w:rFonts w:eastAsia="Times New Roman" w:cs="Times New Roman"/>
                <w:noProof/>
                <w:szCs w:val="18"/>
              </w:rPr>
            </w:pPr>
            <w:r>
              <w:rPr>
                <w:noProof/>
              </w:rPr>
              <w:t>Indicateurs quantitatifs (pour les objectifs)</w:t>
            </w:r>
          </w:p>
        </w:tc>
        <w:tc>
          <w:tcPr>
            <w:tcW w:w="1559" w:type="dxa"/>
            <w:gridSpan w:val="2"/>
            <w:shd w:val="clear" w:color="auto" w:fill="BDD7EE"/>
            <w:vAlign w:val="center"/>
            <w:hideMark/>
          </w:tcPr>
          <w:p w14:paraId="6C76CD88" w14:textId="77777777" w:rsidR="00A00259" w:rsidRDefault="00371282">
            <w:pPr>
              <w:pStyle w:val="P68B1DB1-Normal10"/>
              <w:spacing w:after="0" w:line="240" w:lineRule="auto"/>
              <w:jc w:val="center"/>
              <w:rPr>
                <w:rFonts w:eastAsia="Times New Roman" w:cs="Times New Roman"/>
                <w:noProof/>
                <w:szCs w:val="18"/>
              </w:rPr>
            </w:pPr>
            <w:r>
              <w:rPr>
                <w:noProof/>
              </w:rPr>
              <w:t xml:space="preserve">Calendrier indicatif d'achèvement </w:t>
            </w:r>
          </w:p>
        </w:tc>
        <w:tc>
          <w:tcPr>
            <w:tcW w:w="3402" w:type="dxa"/>
            <w:vMerge w:val="restart"/>
            <w:shd w:val="clear" w:color="auto" w:fill="BDD7EE"/>
            <w:vAlign w:val="center"/>
            <w:hideMark/>
          </w:tcPr>
          <w:p w14:paraId="24B7D1D8" w14:textId="77777777" w:rsidR="00A00259" w:rsidRDefault="00371282">
            <w:pPr>
              <w:pStyle w:val="P68B1DB1-Normal10"/>
              <w:spacing w:after="0" w:line="240" w:lineRule="auto"/>
              <w:jc w:val="center"/>
              <w:rPr>
                <w:rFonts w:eastAsia="Times New Roman" w:cs="Times New Roman"/>
                <w:noProof/>
                <w:szCs w:val="18"/>
              </w:rPr>
            </w:pPr>
            <w:r>
              <w:rPr>
                <w:noProof/>
              </w:rPr>
              <w:t>Description de chaque jalon et cible</w:t>
            </w:r>
          </w:p>
        </w:tc>
      </w:tr>
      <w:tr w:rsidR="00A00259" w14:paraId="183FC853" w14:textId="77777777">
        <w:trPr>
          <w:trHeight w:val="701"/>
          <w:tblHeader/>
          <w:jc w:val="center"/>
        </w:trPr>
        <w:tc>
          <w:tcPr>
            <w:tcW w:w="591" w:type="dxa"/>
            <w:vMerge/>
            <w:vAlign w:val="center"/>
            <w:hideMark/>
          </w:tcPr>
          <w:p w14:paraId="26CFB7E5" w14:textId="77777777" w:rsidR="00A00259" w:rsidRDefault="00A00259">
            <w:pPr>
              <w:spacing w:after="0" w:line="240" w:lineRule="auto"/>
              <w:rPr>
                <w:rFonts w:ascii="Times New Roman" w:eastAsia="Times New Roman" w:hAnsi="Times New Roman" w:cs="Times New Roman"/>
                <w:b/>
                <w:bCs/>
                <w:noProof/>
                <w:sz w:val="18"/>
                <w:szCs w:val="18"/>
              </w:rPr>
            </w:pPr>
          </w:p>
        </w:tc>
        <w:tc>
          <w:tcPr>
            <w:tcW w:w="2665" w:type="dxa"/>
            <w:vMerge/>
            <w:vAlign w:val="center"/>
            <w:hideMark/>
          </w:tcPr>
          <w:p w14:paraId="09CE8CB5" w14:textId="77777777" w:rsidR="00A00259" w:rsidRDefault="00A00259">
            <w:pPr>
              <w:spacing w:after="0" w:line="240" w:lineRule="auto"/>
              <w:rPr>
                <w:rFonts w:ascii="Times New Roman" w:eastAsia="Times New Roman" w:hAnsi="Times New Roman" w:cs="Times New Roman"/>
                <w:b/>
                <w:bCs/>
                <w:noProof/>
                <w:sz w:val="18"/>
                <w:szCs w:val="18"/>
              </w:rPr>
            </w:pPr>
          </w:p>
        </w:tc>
        <w:tc>
          <w:tcPr>
            <w:tcW w:w="1134" w:type="dxa"/>
            <w:vMerge/>
            <w:vAlign w:val="center"/>
            <w:hideMark/>
          </w:tcPr>
          <w:p w14:paraId="53F8BE4A" w14:textId="77777777" w:rsidR="00A00259" w:rsidRDefault="00A00259">
            <w:pPr>
              <w:spacing w:after="0" w:line="240" w:lineRule="auto"/>
              <w:rPr>
                <w:rFonts w:ascii="Times New Roman" w:eastAsia="Times New Roman" w:hAnsi="Times New Roman" w:cs="Times New Roman"/>
                <w:b/>
                <w:bCs/>
                <w:noProof/>
                <w:sz w:val="18"/>
                <w:szCs w:val="18"/>
              </w:rPr>
            </w:pPr>
          </w:p>
        </w:tc>
        <w:tc>
          <w:tcPr>
            <w:tcW w:w="1842" w:type="dxa"/>
            <w:vMerge/>
            <w:vAlign w:val="center"/>
            <w:hideMark/>
          </w:tcPr>
          <w:p w14:paraId="08A9021D" w14:textId="77777777" w:rsidR="00A00259" w:rsidRDefault="00A00259">
            <w:pPr>
              <w:spacing w:after="0" w:line="240" w:lineRule="auto"/>
              <w:rPr>
                <w:rFonts w:ascii="Times New Roman" w:eastAsia="Times New Roman" w:hAnsi="Times New Roman" w:cs="Times New Roman"/>
                <w:b/>
                <w:bCs/>
                <w:noProof/>
                <w:sz w:val="18"/>
                <w:szCs w:val="18"/>
              </w:rPr>
            </w:pPr>
          </w:p>
        </w:tc>
        <w:tc>
          <w:tcPr>
            <w:tcW w:w="2127" w:type="dxa"/>
            <w:vMerge/>
            <w:vAlign w:val="center"/>
            <w:hideMark/>
          </w:tcPr>
          <w:p w14:paraId="56C2D538" w14:textId="77777777" w:rsidR="00A00259" w:rsidRDefault="00A00259">
            <w:pPr>
              <w:spacing w:after="0" w:line="240" w:lineRule="auto"/>
              <w:rPr>
                <w:rFonts w:ascii="Times New Roman" w:eastAsia="Times New Roman" w:hAnsi="Times New Roman" w:cs="Times New Roman"/>
                <w:b/>
                <w:bCs/>
                <w:noProof/>
                <w:sz w:val="18"/>
                <w:szCs w:val="18"/>
              </w:rPr>
            </w:pPr>
          </w:p>
        </w:tc>
        <w:tc>
          <w:tcPr>
            <w:tcW w:w="992" w:type="dxa"/>
            <w:shd w:val="clear" w:color="auto" w:fill="BDD7EE"/>
            <w:vAlign w:val="center"/>
            <w:hideMark/>
          </w:tcPr>
          <w:p w14:paraId="0B7AB883" w14:textId="77777777" w:rsidR="00A00259" w:rsidRDefault="00371282">
            <w:pPr>
              <w:pStyle w:val="P68B1DB1-Normal10"/>
              <w:spacing w:after="0" w:line="240" w:lineRule="auto"/>
              <w:jc w:val="center"/>
              <w:rPr>
                <w:rFonts w:eastAsia="Times New Roman" w:cs="Times New Roman"/>
                <w:noProof/>
                <w:szCs w:val="18"/>
              </w:rPr>
            </w:pPr>
            <w:r>
              <w:rPr>
                <w:noProof/>
              </w:rPr>
              <w:t>Unité de mesure</w:t>
            </w:r>
          </w:p>
        </w:tc>
        <w:tc>
          <w:tcPr>
            <w:tcW w:w="857" w:type="dxa"/>
            <w:shd w:val="clear" w:color="auto" w:fill="BDD7EE"/>
            <w:vAlign w:val="center"/>
            <w:hideMark/>
          </w:tcPr>
          <w:p w14:paraId="7E053408" w14:textId="77777777" w:rsidR="00A00259" w:rsidRDefault="00371282">
            <w:pPr>
              <w:pStyle w:val="P68B1DB1-Normal10"/>
              <w:spacing w:after="0" w:line="240" w:lineRule="auto"/>
              <w:jc w:val="center"/>
              <w:rPr>
                <w:rFonts w:eastAsia="Times New Roman" w:cs="Times New Roman"/>
                <w:noProof/>
                <w:szCs w:val="18"/>
              </w:rPr>
            </w:pPr>
            <w:r>
              <w:rPr>
                <w:noProof/>
              </w:rPr>
              <w:t xml:space="preserve">Données de référence </w:t>
            </w:r>
          </w:p>
        </w:tc>
        <w:tc>
          <w:tcPr>
            <w:tcW w:w="844" w:type="dxa"/>
            <w:shd w:val="clear" w:color="auto" w:fill="BDD7EE"/>
            <w:vAlign w:val="center"/>
            <w:hideMark/>
          </w:tcPr>
          <w:p w14:paraId="28AA0AD2" w14:textId="77777777" w:rsidR="00A00259" w:rsidRDefault="00371282">
            <w:pPr>
              <w:pStyle w:val="P68B1DB1-Normal10"/>
              <w:spacing w:after="0" w:line="240" w:lineRule="auto"/>
              <w:jc w:val="center"/>
              <w:rPr>
                <w:rFonts w:eastAsia="Times New Roman" w:cs="Times New Roman"/>
                <w:noProof/>
                <w:szCs w:val="18"/>
              </w:rPr>
            </w:pPr>
            <w:r>
              <w:rPr>
                <w:noProof/>
              </w:rPr>
              <w:t xml:space="preserve">Objectif </w:t>
            </w:r>
          </w:p>
        </w:tc>
        <w:tc>
          <w:tcPr>
            <w:tcW w:w="846" w:type="dxa"/>
            <w:shd w:val="clear" w:color="auto" w:fill="BDD7EE"/>
            <w:vAlign w:val="center"/>
            <w:hideMark/>
          </w:tcPr>
          <w:p w14:paraId="1E6DF421" w14:textId="77777777" w:rsidR="00A00259" w:rsidRDefault="00371282">
            <w:pPr>
              <w:pStyle w:val="P68B1DB1-Normal10"/>
              <w:spacing w:after="0" w:line="240" w:lineRule="auto"/>
              <w:jc w:val="center"/>
              <w:rPr>
                <w:rFonts w:eastAsia="Times New Roman" w:cs="Times New Roman"/>
                <w:noProof/>
                <w:szCs w:val="18"/>
              </w:rPr>
            </w:pPr>
            <w:r>
              <w:rPr>
                <w:noProof/>
              </w:rPr>
              <w:t>Trimestre</w:t>
            </w:r>
          </w:p>
        </w:tc>
        <w:tc>
          <w:tcPr>
            <w:tcW w:w="713" w:type="dxa"/>
            <w:shd w:val="clear" w:color="auto" w:fill="BDD7EE"/>
            <w:vAlign w:val="center"/>
            <w:hideMark/>
          </w:tcPr>
          <w:p w14:paraId="7B3B67A8" w14:textId="77777777" w:rsidR="00A00259" w:rsidRDefault="00371282">
            <w:pPr>
              <w:pStyle w:val="P68B1DB1-Normal10"/>
              <w:spacing w:after="0" w:line="240" w:lineRule="auto"/>
              <w:jc w:val="center"/>
              <w:rPr>
                <w:rFonts w:eastAsia="Times New Roman" w:cs="Times New Roman"/>
                <w:noProof/>
                <w:szCs w:val="18"/>
              </w:rPr>
            </w:pPr>
            <w:r>
              <w:rPr>
                <w:noProof/>
              </w:rPr>
              <w:t>Année</w:t>
            </w:r>
          </w:p>
        </w:tc>
        <w:tc>
          <w:tcPr>
            <w:tcW w:w="3402" w:type="dxa"/>
            <w:vMerge/>
            <w:vAlign w:val="center"/>
            <w:hideMark/>
          </w:tcPr>
          <w:p w14:paraId="310497C9"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145E7A64" w14:textId="77777777">
        <w:trPr>
          <w:trHeight w:val="313"/>
          <w:jc w:val="center"/>
        </w:trPr>
        <w:tc>
          <w:tcPr>
            <w:tcW w:w="591" w:type="dxa"/>
            <w:shd w:val="clear" w:color="auto" w:fill="C6EFCE"/>
            <w:noWrap/>
          </w:tcPr>
          <w:p w14:paraId="61F4C482" w14:textId="77777777" w:rsidR="00A00259" w:rsidRDefault="00371282">
            <w:pPr>
              <w:pStyle w:val="P68B1DB1-Normal12"/>
              <w:spacing w:after="0" w:line="240" w:lineRule="auto"/>
              <w:rPr>
                <w:rFonts w:eastAsia="Times New Roman"/>
                <w:noProof/>
              </w:rPr>
            </w:pPr>
            <w:r>
              <w:rPr>
                <w:noProof/>
              </w:rPr>
              <w:t>263</w:t>
            </w:r>
          </w:p>
        </w:tc>
        <w:tc>
          <w:tcPr>
            <w:tcW w:w="2665" w:type="dxa"/>
            <w:shd w:val="clear" w:color="auto" w:fill="C6EFCE"/>
            <w:noWrap/>
          </w:tcPr>
          <w:p w14:paraId="06239D73"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- 16982_Réforme organisationnelle dans le secteur ferroviaire</w:t>
            </w:r>
          </w:p>
        </w:tc>
        <w:tc>
          <w:tcPr>
            <w:tcW w:w="1134" w:type="dxa"/>
            <w:shd w:val="clear" w:color="auto" w:fill="C6EFCE"/>
            <w:noWrap/>
          </w:tcPr>
          <w:p w14:paraId="1F5BFFAC" w14:textId="77777777" w:rsidR="00A00259" w:rsidRDefault="00371282">
            <w:pPr>
              <w:pStyle w:val="P68B1DB1-Normal12"/>
              <w:spacing w:after="0" w:line="240" w:lineRule="auto"/>
              <w:rPr>
                <w:rFonts w:eastAsia="Times New Roman"/>
                <w:noProof/>
              </w:rPr>
            </w:pPr>
            <w:r>
              <w:rPr>
                <w:noProof/>
              </w:rPr>
              <w:t>Étape</w:t>
            </w:r>
          </w:p>
        </w:tc>
        <w:tc>
          <w:tcPr>
            <w:tcW w:w="1842" w:type="dxa"/>
            <w:shd w:val="clear" w:color="auto" w:fill="C6EFCE"/>
            <w:noWrap/>
          </w:tcPr>
          <w:p w14:paraId="276C3A7C" w14:textId="77777777" w:rsidR="00A00259" w:rsidRDefault="00371282">
            <w:pPr>
              <w:pStyle w:val="P68B1DB1-Normal12"/>
              <w:spacing w:after="0" w:line="240" w:lineRule="auto"/>
              <w:rPr>
                <w:rFonts w:eastAsia="Times New Roman"/>
                <w:noProof/>
              </w:rPr>
            </w:pPr>
            <w:r>
              <w:rPr>
                <w:noProof/>
              </w:rPr>
              <w:t>Feuille de route pour la réforme des chemins de fer</w:t>
            </w:r>
          </w:p>
        </w:tc>
        <w:tc>
          <w:tcPr>
            <w:tcW w:w="2127" w:type="dxa"/>
            <w:shd w:val="clear" w:color="auto" w:fill="C6EFCE"/>
            <w:noWrap/>
          </w:tcPr>
          <w:p w14:paraId="7E0C6815" w14:textId="77777777" w:rsidR="00A00259" w:rsidRDefault="00371282">
            <w:pPr>
              <w:pStyle w:val="P68B1DB1-Normal12"/>
              <w:spacing w:after="0" w:line="240" w:lineRule="auto"/>
              <w:rPr>
                <w:rFonts w:eastAsia="Times New Roman"/>
                <w:noProof/>
              </w:rPr>
            </w:pPr>
            <w:r>
              <w:rPr>
                <w:noProof/>
              </w:rPr>
              <w:t>Feuille de route</w:t>
            </w:r>
          </w:p>
        </w:tc>
        <w:tc>
          <w:tcPr>
            <w:tcW w:w="992" w:type="dxa"/>
            <w:shd w:val="clear" w:color="auto" w:fill="C6EFCE"/>
            <w:noWrap/>
          </w:tcPr>
          <w:p w14:paraId="3D01E0F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0C1F6C6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2C8D44C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4294CFC6" w14:textId="77777777" w:rsidR="00A00259" w:rsidRDefault="00371282">
            <w:pPr>
              <w:pStyle w:val="P68B1DB1-Normal12"/>
              <w:spacing w:after="0" w:line="240" w:lineRule="auto"/>
              <w:rPr>
                <w:rFonts w:eastAsia="Times New Roman"/>
                <w:noProof/>
              </w:rPr>
            </w:pPr>
            <w:r>
              <w:rPr>
                <w:noProof/>
              </w:rPr>
              <w:t>T3</w:t>
            </w:r>
          </w:p>
        </w:tc>
        <w:tc>
          <w:tcPr>
            <w:tcW w:w="713" w:type="dxa"/>
            <w:shd w:val="clear" w:color="auto" w:fill="C6EFCE"/>
            <w:noWrap/>
          </w:tcPr>
          <w:p w14:paraId="61F3C953" w14:textId="77777777" w:rsidR="00A00259" w:rsidRDefault="00371282">
            <w:pPr>
              <w:pStyle w:val="P68B1DB1-Normal12"/>
              <w:spacing w:after="0" w:line="240" w:lineRule="auto"/>
              <w:rPr>
                <w:rFonts w:eastAsia="Times New Roman"/>
                <w:noProof/>
              </w:rPr>
            </w:pPr>
            <w:r>
              <w:rPr>
                <w:noProof/>
              </w:rPr>
              <w:t>2021</w:t>
            </w:r>
          </w:p>
        </w:tc>
        <w:tc>
          <w:tcPr>
            <w:tcW w:w="3402" w:type="dxa"/>
            <w:shd w:val="clear" w:color="auto" w:fill="C6EFCE"/>
            <w:noWrap/>
          </w:tcPr>
          <w:p w14:paraId="607F72A8" w14:textId="77777777" w:rsidR="00A00259" w:rsidRDefault="00371282">
            <w:pPr>
              <w:pStyle w:val="P68B1DB1-Normal12"/>
              <w:spacing w:after="0" w:line="240" w:lineRule="auto"/>
              <w:rPr>
                <w:rFonts w:eastAsia="Times New Roman"/>
                <w:noProof/>
              </w:rPr>
            </w:pPr>
            <w:r>
              <w:rPr>
                <w:noProof/>
              </w:rPr>
              <w:t>Feuille de route avec les étapes pour la réorganisation complète des entreprises OSE et ERGOSE.</w:t>
            </w:r>
          </w:p>
        </w:tc>
      </w:tr>
      <w:tr w:rsidR="00A00259" w14:paraId="1824A7E7" w14:textId="77777777">
        <w:trPr>
          <w:trHeight w:val="313"/>
          <w:jc w:val="center"/>
        </w:trPr>
        <w:tc>
          <w:tcPr>
            <w:tcW w:w="591" w:type="dxa"/>
            <w:shd w:val="clear" w:color="auto" w:fill="C6EFCE"/>
            <w:noWrap/>
          </w:tcPr>
          <w:p w14:paraId="0789FC43" w14:textId="77777777" w:rsidR="00A00259" w:rsidRDefault="00371282">
            <w:pPr>
              <w:pStyle w:val="P68B1DB1-Normal12"/>
              <w:spacing w:after="0" w:line="240" w:lineRule="auto"/>
              <w:rPr>
                <w:rFonts w:eastAsia="Times New Roman"/>
                <w:noProof/>
              </w:rPr>
            </w:pPr>
            <w:r>
              <w:rPr>
                <w:noProof/>
              </w:rPr>
              <w:t>264</w:t>
            </w:r>
          </w:p>
        </w:tc>
        <w:tc>
          <w:tcPr>
            <w:tcW w:w="2665" w:type="dxa"/>
            <w:shd w:val="clear" w:color="auto" w:fill="C6EFCE"/>
            <w:noWrap/>
          </w:tcPr>
          <w:p w14:paraId="539F5714"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- 16982_Réforme organisationnelle dans le secteur ferroviaire</w:t>
            </w:r>
          </w:p>
        </w:tc>
        <w:tc>
          <w:tcPr>
            <w:tcW w:w="1134" w:type="dxa"/>
            <w:shd w:val="clear" w:color="auto" w:fill="C6EFCE"/>
            <w:noWrap/>
          </w:tcPr>
          <w:p w14:paraId="22DC71B6" w14:textId="77777777" w:rsidR="00A00259" w:rsidRDefault="00371282">
            <w:pPr>
              <w:pStyle w:val="P68B1DB1-Normal12"/>
              <w:spacing w:after="0" w:line="240" w:lineRule="auto"/>
              <w:rPr>
                <w:rFonts w:eastAsia="Times New Roman"/>
                <w:noProof/>
              </w:rPr>
            </w:pPr>
            <w:r>
              <w:rPr>
                <w:noProof/>
              </w:rPr>
              <w:t>Étape</w:t>
            </w:r>
          </w:p>
        </w:tc>
        <w:tc>
          <w:tcPr>
            <w:tcW w:w="1842" w:type="dxa"/>
            <w:shd w:val="clear" w:color="auto" w:fill="C6EFCE"/>
            <w:noWrap/>
          </w:tcPr>
          <w:p w14:paraId="7E03059E" w14:textId="77777777" w:rsidR="00A00259" w:rsidRDefault="00371282">
            <w:pPr>
              <w:pStyle w:val="P68B1DB1-Normal12"/>
              <w:spacing w:after="0" w:line="240" w:lineRule="auto"/>
              <w:rPr>
                <w:rFonts w:eastAsia="Times New Roman"/>
                <w:noProof/>
              </w:rPr>
            </w:pPr>
            <w:r>
              <w:rPr>
                <w:noProof/>
              </w:rPr>
              <w:t>Loi sur la réforme des chemins de fer</w:t>
            </w:r>
          </w:p>
        </w:tc>
        <w:tc>
          <w:tcPr>
            <w:tcW w:w="2127" w:type="dxa"/>
            <w:shd w:val="clear" w:color="auto" w:fill="C6EFCE"/>
            <w:noWrap/>
          </w:tcPr>
          <w:p w14:paraId="54FB6892" w14:textId="77777777" w:rsidR="00A00259" w:rsidRDefault="00371282">
            <w:pPr>
              <w:pStyle w:val="P68B1DB1-Normal12"/>
              <w:spacing w:after="0" w:line="240" w:lineRule="auto"/>
              <w:rPr>
                <w:rFonts w:eastAsia="Times New Roman"/>
                <w:noProof/>
              </w:rPr>
            </w:pPr>
            <w:r>
              <w:rPr>
                <w:noProof/>
              </w:rPr>
              <w:t xml:space="preserve">Entrée en vigueur du droit primaire et du droit dérivé </w:t>
            </w:r>
          </w:p>
        </w:tc>
        <w:tc>
          <w:tcPr>
            <w:tcW w:w="992" w:type="dxa"/>
            <w:shd w:val="clear" w:color="auto" w:fill="C6EFCE"/>
            <w:noWrap/>
          </w:tcPr>
          <w:p w14:paraId="4BE791B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0DCDE9C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2F8F52E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286B9A25" w14:textId="77777777" w:rsidR="00A00259" w:rsidRDefault="00371282">
            <w:pPr>
              <w:pStyle w:val="P68B1DB1-Normal12"/>
              <w:spacing w:after="0" w:line="240" w:lineRule="auto"/>
              <w:rPr>
                <w:rFonts w:eastAsia="Times New Roman"/>
                <w:noProof/>
              </w:rPr>
            </w:pPr>
            <w:r>
              <w:rPr>
                <w:noProof/>
              </w:rPr>
              <w:t>T2</w:t>
            </w:r>
          </w:p>
        </w:tc>
        <w:tc>
          <w:tcPr>
            <w:tcW w:w="713" w:type="dxa"/>
            <w:shd w:val="clear" w:color="auto" w:fill="C6EFCE"/>
            <w:noWrap/>
          </w:tcPr>
          <w:p w14:paraId="43054273" w14:textId="77777777" w:rsidR="00A00259" w:rsidRDefault="00371282">
            <w:pPr>
              <w:pStyle w:val="P68B1DB1-Normal12"/>
              <w:spacing w:after="0" w:line="240" w:lineRule="auto"/>
              <w:rPr>
                <w:rFonts w:eastAsia="Times New Roman"/>
                <w:noProof/>
              </w:rPr>
            </w:pPr>
            <w:r>
              <w:rPr>
                <w:noProof/>
              </w:rPr>
              <w:t>2022</w:t>
            </w:r>
          </w:p>
        </w:tc>
        <w:tc>
          <w:tcPr>
            <w:tcW w:w="3402" w:type="dxa"/>
            <w:shd w:val="clear" w:color="auto" w:fill="C6EFCE"/>
            <w:noWrap/>
          </w:tcPr>
          <w:p w14:paraId="3BD31AC8" w14:textId="77777777" w:rsidR="00A00259" w:rsidRDefault="00371282">
            <w:pPr>
              <w:pStyle w:val="P68B1DB1-Normal12"/>
              <w:spacing w:after="0" w:line="240" w:lineRule="auto"/>
              <w:rPr>
                <w:rFonts w:eastAsia="Times New Roman"/>
                <w:noProof/>
              </w:rPr>
            </w:pPr>
            <w:r>
              <w:rPr>
                <w:noProof/>
              </w:rPr>
              <w:t>Réforme organisationnelle dans le secteur ferroviaire;</w:t>
            </w:r>
          </w:p>
          <w:p w14:paraId="2CB73ECD" w14:textId="77777777" w:rsidR="00A00259" w:rsidRDefault="00A00259">
            <w:pPr>
              <w:spacing w:after="0" w:line="240" w:lineRule="auto"/>
              <w:rPr>
                <w:rFonts w:ascii="Times New Roman" w:eastAsia="Times New Roman" w:hAnsi="Times New Roman" w:cs="Times New Roman"/>
                <w:noProof/>
                <w:color w:val="006100"/>
                <w:sz w:val="18"/>
                <w:szCs w:val="18"/>
              </w:rPr>
            </w:pPr>
          </w:p>
          <w:p w14:paraId="0CF117A4" w14:textId="77777777" w:rsidR="00A00259" w:rsidRDefault="00371282">
            <w:pPr>
              <w:pStyle w:val="P68B1DB1-Normal12"/>
              <w:spacing w:after="0" w:line="240" w:lineRule="auto"/>
              <w:rPr>
                <w:rFonts w:eastAsia="Times New Roman"/>
                <w:noProof/>
              </w:rPr>
            </w:pPr>
            <w:r>
              <w:rPr>
                <w:noProof/>
              </w:rPr>
              <w:t>Entrée en vigueur du droit primaire et du droit dérivé pour la réforme des deux entreprises leur permettant de développer, d'exploiter et d'entretenir un réseau ferroviaire moderne.</w:t>
            </w:r>
          </w:p>
        </w:tc>
      </w:tr>
      <w:tr w:rsidR="00A00259" w14:paraId="01736EA8" w14:textId="77777777">
        <w:trPr>
          <w:trHeight w:val="313"/>
          <w:jc w:val="center"/>
        </w:trPr>
        <w:tc>
          <w:tcPr>
            <w:tcW w:w="591" w:type="dxa"/>
            <w:shd w:val="clear" w:color="auto" w:fill="C6EFCE"/>
            <w:noWrap/>
          </w:tcPr>
          <w:p w14:paraId="5149FAAB" w14:textId="77777777" w:rsidR="00A00259" w:rsidRDefault="00371282">
            <w:pPr>
              <w:pStyle w:val="P68B1DB1-Normal12"/>
              <w:spacing w:after="0" w:line="240" w:lineRule="auto"/>
              <w:rPr>
                <w:rFonts w:eastAsia="Times New Roman"/>
                <w:noProof/>
              </w:rPr>
            </w:pPr>
            <w:r>
              <w:rPr>
                <w:noProof/>
              </w:rPr>
              <w:t>267</w:t>
            </w:r>
          </w:p>
        </w:tc>
        <w:tc>
          <w:tcPr>
            <w:tcW w:w="2665" w:type="dxa"/>
            <w:shd w:val="clear" w:color="auto" w:fill="C6EFCE"/>
            <w:noWrap/>
          </w:tcPr>
          <w:p w14:paraId="1E226357"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- 16833_Mise en œuvre des travaux de rectification de la conformité de l'AESA</w:t>
            </w:r>
          </w:p>
        </w:tc>
        <w:tc>
          <w:tcPr>
            <w:tcW w:w="1134" w:type="dxa"/>
            <w:shd w:val="clear" w:color="auto" w:fill="C6EFCE"/>
            <w:noWrap/>
          </w:tcPr>
          <w:p w14:paraId="2849C5B1" w14:textId="77777777" w:rsidR="00A00259" w:rsidRDefault="00371282">
            <w:pPr>
              <w:pStyle w:val="P68B1DB1-Normal12"/>
              <w:spacing w:after="0" w:line="240" w:lineRule="auto"/>
              <w:rPr>
                <w:rFonts w:eastAsia="Times New Roman"/>
                <w:noProof/>
              </w:rPr>
            </w:pPr>
            <w:r>
              <w:rPr>
                <w:noProof/>
              </w:rPr>
              <w:t>Étape</w:t>
            </w:r>
          </w:p>
        </w:tc>
        <w:tc>
          <w:tcPr>
            <w:tcW w:w="1842" w:type="dxa"/>
            <w:shd w:val="clear" w:color="auto" w:fill="C6EFCE"/>
            <w:noWrap/>
          </w:tcPr>
          <w:p w14:paraId="3131DCE9" w14:textId="77777777" w:rsidR="00A00259" w:rsidRDefault="00371282">
            <w:pPr>
              <w:pStyle w:val="P68B1DB1-Normal12"/>
              <w:spacing w:after="0" w:line="240" w:lineRule="auto"/>
              <w:rPr>
                <w:rFonts w:eastAsia="Times New Roman"/>
                <w:noProof/>
              </w:rPr>
            </w:pPr>
            <w:r>
              <w:rPr>
                <w:noProof/>
              </w:rPr>
              <w:t>Notification de l’attribution du marché pour les travaux de l’Agence de l’Union européenne pour la sécurité aérienne (AESA) dans les aéroports régionaux</w:t>
            </w:r>
          </w:p>
        </w:tc>
        <w:tc>
          <w:tcPr>
            <w:tcW w:w="2127" w:type="dxa"/>
            <w:shd w:val="clear" w:color="auto" w:fill="C6EFCE"/>
            <w:noWrap/>
          </w:tcPr>
          <w:p w14:paraId="60F4A6AB" w14:textId="77777777" w:rsidR="00A00259" w:rsidRDefault="00371282">
            <w:pPr>
              <w:pStyle w:val="P68B1DB1-Normal12"/>
              <w:spacing w:after="0" w:line="240" w:lineRule="auto"/>
              <w:rPr>
                <w:rFonts w:eastAsia="Times New Roman"/>
                <w:noProof/>
              </w:rPr>
            </w:pPr>
            <w:r>
              <w:rPr>
                <w:noProof/>
              </w:rPr>
              <w:t>Notification de l'attribution des marchés</w:t>
            </w:r>
          </w:p>
        </w:tc>
        <w:tc>
          <w:tcPr>
            <w:tcW w:w="992" w:type="dxa"/>
            <w:shd w:val="clear" w:color="auto" w:fill="C6EFCE"/>
            <w:noWrap/>
          </w:tcPr>
          <w:p w14:paraId="24AAC7A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6BA7A8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7AFC837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444C1298" w14:textId="77777777" w:rsidR="00A00259" w:rsidRDefault="00371282">
            <w:pPr>
              <w:pStyle w:val="P68B1DB1-Normal12"/>
              <w:spacing w:after="0" w:line="240" w:lineRule="auto"/>
              <w:rPr>
                <w:rFonts w:eastAsia="Times New Roman"/>
                <w:noProof/>
              </w:rPr>
            </w:pPr>
            <w:r>
              <w:rPr>
                <w:noProof/>
              </w:rPr>
              <w:t>T2</w:t>
            </w:r>
          </w:p>
        </w:tc>
        <w:tc>
          <w:tcPr>
            <w:tcW w:w="713" w:type="dxa"/>
            <w:shd w:val="clear" w:color="auto" w:fill="C6EFCE"/>
            <w:noWrap/>
          </w:tcPr>
          <w:p w14:paraId="35722B0F" w14:textId="77777777" w:rsidR="00A00259" w:rsidRDefault="00371282">
            <w:pPr>
              <w:pStyle w:val="P68B1DB1-Normal12"/>
              <w:spacing w:after="0" w:line="240" w:lineRule="auto"/>
              <w:rPr>
                <w:rFonts w:eastAsia="Times New Roman"/>
                <w:noProof/>
              </w:rPr>
            </w:pPr>
            <w:r>
              <w:rPr>
                <w:noProof/>
              </w:rPr>
              <w:t>2023</w:t>
            </w:r>
          </w:p>
        </w:tc>
        <w:tc>
          <w:tcPr>
            <w:tcW w:w="3402" w:type="dxa"/>
            <w:shd w:val="clear" w:color="auto" w:fill="C6EFCE"/>
            <w:noWrap/>
          </w:tcPr>
          <w:p w14:paraId="77EAB01E" w14:textId="77777777" w:rsidR="00A00259" w:rsidRDefault="00371282">
            <w:pPr>
              <w:pStyle w:val="P68B1DB1-Normal12"/>
              <w:spacing w:after="0" w:line="240" w:lineRule="auto"/>
              <w:rPr>
                <w:rFonts w:eastAsia="Times New Roman"/>
                <w:noProof/>
              </w:rPr>
            </w:pPr>
            <w:r>
              <w:rPr>
                <w:noProof/>
              </w:rPr>
              <w:t>Programme de conformité de l'Agence de la sécurité aérienne de l'Union européenne (AESA): Signature de tous les contrats de travaux de rectification de 13 aéroports régionaux pour se conformer au nouveau règlement (UE) 2018/1139.</w:t>
            </w:r>
          </w:p>
        </w:tc>
      </w:tr>
      <w:tr w:rsidR="00A00259" w14:paraId="49F2F88D" w14:textId="77777777">
        <w:trPr>
          <w:trHeight w:val="1607"/>
          <w:jc w:val="center"/>
        </w:trPr>
        <w:tc>
          <w:tcPr>
            <w:tcW w:w="591" w:type="dxa"/>
            <w:shd w:val="clear" w:color="auto" w:fill="C6EFCE"/>
            <w:noWrap/>
          </w:tcPr>
          <w:p w14:paraId="4468CAF8" w14:textId="77777777" w:rsidR="00A00259" w:rsidRDefault="00371282">
            <w:pPr>
              <w:pStyle w:val="P68B1DB1-Normal12"/>
              <w:spacing w:after="0" w:line="240" w:lineRule="auto"/>
              <w:rPr>
                <w:rFonts w:eastAsia="Times New Roman"/>
                <w:noProof/>
              </w:rPr>
            </w:pPr>
            <w:r>
              <w:rPr>
                <w:noProof/>
              </w:rPr>
              <w:t>268</w:t>
            </w:r>
          </w:p>
        </w:tc>
        <w:tc>
          <w:tcPr>
            <w:tcW w:w="2665" w:type="dxa"/>
            <w:shd w:val="clear" w:color="auto" w:fill="C6EFCE"/>
            <w:noWrap/>
          </w:tcPr>
          <w:p w14:paraId="033F5ED2"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- 16982_Réforme organisationnelle dans le secteur ferroviaire</w:t>
            </w:r>
          </w:p>
        </w:tc>
        <w:tc>
          <w:tcPr>
            <w:tcW w:w="1134" w:type="dxa"/>
            <w:shd w:val="clear" w:color="auto" w:fill="C6EFCE"/>
            <w:noWrap/>
          </w:tcPr>
          <w:p w14:paraId="31254B3F" w14:textId="77777777" w:rsidR="00A00259" w:rsidRDefault="00371282">
            <w:pPr>
              <w:pStyle w:val="P68B1DB1-Normal12"/>
              <w:spacing w:after="0" w:line="240" w:lineRule="auto"/>
              <w:rPr>
                <w:rFonts w:eastAsia="Times New Roman"/>
                <w:noProof/>
              </w:rPr>
            </w:pPr>
            <w:r>
              <w:rPr>
                <w:noProof/>
              </w:rPr>
              <w:t>Étape</w:t>
            </w:r>
          </w:p>
        </w:tc>
        <w:tc>
          <w:tcPr>
            <w:tcW w:w="1842" w:type="dxa"/>
            <w:shd w:val="clear" w:color="auto" w:fill="C6EFCE"/>
            <w:noWrap/>
          </w:tcPr>
          <w:p w14:paraId="7EC48920" w14:textId="77777777" w:rsidR="00A00259" w:rsidRDefault="00371282">
            <w:pPr>
              <w:pStyle w:val="P68B1DB1-Normal12"/>
              <w:spacing w:after="0" w:line="240" w:lineRule="auto"/>
              <w:rPr>
                <w:rFonts w:eastAsia="Times New Roman"/>
                <w:noProof/>
              </w:rPr>
            </w:pPr>
            <w:r>
              <w:rPr>
                <w:noProof/>
              </w:rPr>
              <w:t>Plan de mise en œuvre des chemins de fer helléniques</w:t>
            </w:r>
          </w:p>
        </w:tc>
        <w:tc>
          <w:tcPr>
            <w:tcW w:w="2127" w:type="dxa"/>
            <w:shd w:val="clear" w:color="auto" w:fill="C6EFCE"/>
            <w:noWrap/>
          </w:tcPr>
          <w:p w14:paraId="54CD8E47" w14:textId="77777777" w:rsidR="00A00259" w:rsidRDefault="00371282">
            <w:pPr>
              <w:pStyle w:val="P68B1DB1-Normal12"/>
              <w:spacing w:after="0" w:line="240" w:lineRule="auto"/>
              <w:rPr>
                <w:rFonts w:eastAsia="Times New Roman"/>
                <w:noProof/>
              </w:rPr>
            </w:pPr>
            <w:r>
              <w:rPr>
                <w:noProof/>
              </w:rPr>
              <w:t xml:space="preserve">Publication du plan de mise en œuvre pour les chemins de fer grecs </w:t>
            </w:r>
          </w:p>
        </w:tc>
        <w:tc>
          <w:tcPr>
            <w:tcW w:w="992" w:type="dxa"/>
            <w:shd w:val="clear" w:color="auto" w:fill="C6EFCE"/>
            <w:noWrap/>
          </w:tcPr>
          <w:p w14:paraId="6CD82B2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3BFC96E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643672B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17DC8D70" w14:textId="77777777" w:rsidR="00A00259" w:rsidRDefault="00371282">
            <w:pPr>
              <w:pStyle w:val="P68B1DB1-Normal12"/>
              <w:spacing w:after="0" w:line="240" w:lineRule="auto"/>
              <w:rPr>
                <w:rFonts w:eastAsia="Times New Roman"/>
                <w:noProof/>
              </w:rPr>
            </w:pPr>
            <w:r>
              <w:rPr>
                <w:noProof/>
              </w:rPr>
              <w:t>T2</w:t>
            </w:r>
          </w:p>
          <w:p w14:paraId="032AADD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175B2A9B" w14:textId="77777777" w:rsidR="00A00259" w:rsidRDefault="00371282">
            <w:pPr>
              <w:pStyle w:val="P68B1DB1-Normal12"/>
              <w:spacing w:after="0" w:line="240" w:lineRule="auto"/>
              <w:rPr>
                <w:rFonts w:eastAsia="Times New Roman"/>
                <w:noProof/>
              </w:rPr>
            </w:pPr>
            <w:r>
              <w:rPr>
                <w:noProof/>
              </w:rPr>
              <w:t>2024</w:t>
            </w:r>
          </w:p>
        </w:tc>
        <w:tc>
          <w:tcPr>
            <w:tcW w:w="3402" w:type="dxa"/>
            <w:shd w:val="clear" w:color="auto" w:fill="C6EFCE"/>
            <w:noWrap/>
          </w:tcPr>
          <w:p w14:paraId="1F7E4392" w14:textId="77777777" w:rsidR="00A00259" w:rsidRDefault="00371282">
            <w:pPr>
              <w:pStyle w:val="P68B1DB1-Normal12"/>
              <w:spacing w:after="0" w:line="240" w:lineRule="auto"/>
              <w:rPr>
                <w:rFonts w:eastAsia="Times New Roman"/>
                <w:noProof/>
              </w:rPr>
            </w:pPr>
            <w:r>
              <w:rPr>
                <w:noProof/>
              </w:rPr>
              <w:t xml:space="preserve">Publication d'un plan de mise en œuvre pour la nouvelle société d'infrastructure ferroviaire unifiée (Hellenic Railways) </w:t>
            </w:r>
          </w:p>
        </w:tc>
      </w:tr>
      <w:tr w:rsidR="00A00259" w14:paraId="406509F1" w14:textId="77777777">
        <w:trPr>
          <w:trHeight w:val="313"/>
          <w:jc w:val="center"/>
        </w:trPr>
        <w:tc>
          <w:tcPr>
            <w:tcW w:w="591" w:type="dxa"/>
            <w:shd w:val="clear" w:color="auto" w:fill="C6EFCE"/>
            <w:noWrap/>
          </w:tcPr>
          <w:p w14:paraId="09362220" w14:textId="77777777" w:rsidR="00A00259" w:rsidRDefault="00371282">
            <w:pPr>
              <w:pStyle w:val="P68B1DB1-Normal12"/>
              <w:spacing w:line="240" w:lineRule="auto"/>
              <w:rPr>
                <w:rFonts w:eastAsia="Times New Roman"/>
                <w:noProof/>
              </w:rPr>
            </w:pPr>
            <w:r>
              <w:rPr>
                <w:noProof/>
              </w:rPr>
              <w:t>268a</w:t>
            </w:r>
          </w:p>
        </w:tc>
        <w:tc>
          <w:tcPr>
            <w:tcW w:w="2665" w:type="dxa"/>
            <w:shd w:val="clear" w:color="auto" w:fill="C6EFCE"/>
            <w:noWrap/>
          </w:tcPr>
          <w:p w14:paraId="7CC7E47D"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- 16982_Réforme organisationnelle dans le secteur ferroviaire</w:t>
            </w:r>
          </w:p>
        </w:tc>
        <w:tc>
          <w:tcPr>
            <w:tcW w:w="1134" w:type="dxa"/>
            <w:shd w:val="clear" w:color="auto" w:fill="C6EFCE"/>
            <w:noWrap/>
          </w:tcPr>
          <w:p w14:paraId="1B957876" w14:textId="77777777" w:rsidR="00A00259" w:rsidRDefault="00371282">
            <w:pPr>
              <w:pStyle w:val="P68B1DB1-Normal12"/>
              <w:spacing w:line="240" w:lineRule="auto"/>
              <w:rPr>
                <w:rFonts w:eastAsia="Times New Roman"/>
                <w:noProof/>
              </w:rPr>
            </w:pPr>
            <w:r>
              <w:rPr>
                <w:noProof/>
              </w:rPr>
              <w:t>Étape</w:t>
            </w:r>
          </w:p>
        </w:tc>
        <w:tc>
          <w:tcPr>
            <w:tcW w:w="1842" w:type="dxa"/>
            <w:shd w:val="clear" w:color="auto" w:fill="C6EFCE"/>
            <w:noWrap/>
          </w:tcPr>
          <w:p w14:paraId="503B13D1" w14:textId="77777777" w:rsidR="00A00259" w:rsidRDefault="00371282">
            <w:pPr>
              <w:pStyle w:val="P68B1DB1-Normal12"/>
              <w:spacing w:line="240" w:lineRule="auto"/>
              <w:rPr>
                <w:noProof/>
              </w:rPr>
            </w:pPr>
            <w:r>
              <w:rPr>
                <w:noProof/>
              </w:rPr>
              <w:t xml:space="preserve">Actes juridiques pour les chemins de fer helléniques </w:t>
            </w:r>
          </w:p>
        </w:tc>
        <w:tc>
          <w:tcPr>
            <w:tcW w:w="2127" w:type="dxa"/>
            <w:shd w:val="clear" w:color="auto" w:fill="C6EFCE"/>
            <w:noWrap/>
          </w:tcPr>
          <w:p w14:paraId="057427AC" w14:textId="77777777" w:rsidR="00A00259" w:rsidRDefault="00371282">
            <w:pPr>
              <w:pStyle w:val="P68B1DB1-Normal12"/>
              <w:spacing w:line="240" w:lineRule="auto"/>
              <w:rPr>
                <w:noProof/>
              </w:rPr>
            </w:pPr>
            <w:r>
              <w:rPr>
                <w:noProof/>
              </w:rPr>
              <w:t>Entrée en vigueur des actes juridiques pour les chemins de fer grecs</w:t>
            </w:r>
          </w:p>
          <w:p w14:paraId="5422B6CB" w14:textId="77777777" w:rsidR="00A00259" w:rsidRDefault="00A00259">
            <w:pPr>
              <w:spacing w:line="240" w:lineRule="auto"/>
              <w:rPr>
                <w:rFonts w:ascii="Times New Roman" w:hAnsi="Times New Roman" w:cs="Times New Roman"/>
                <w:noProof/>
                <w:color w:val="006100"/>
                <w:sz w:val="18"/>
                <w:szCs w:val="18"/>
              </w:rPr>
            </w:pPr>
          </w:p>
        </w:tc>
        <w:tc>
          <w:tcPr>
            <w:tcW w:w="992" w:type="dxa"/>
            <w:shd w:val="clear" w:color="auto" w:fill="C6EFCE"/>
            <w:noWrap/>
          </w:tcPr>
          <w:p w14:paraId="52CB6442" w14:textId="77777777" w:rsidR="00A00259" w:rsidRDefault="00A00259">
            <w:pPr>
              <w:spacing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5FD22200" w14:textId="77777777" w:rsidR="00A00259" w:rsidRDefault="00A00259">
            <w:pPr>
              <w:spacing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1B6F34AA" w14:textId="77777777" w:rsidR="00A00259" w:rsidRDefault="00A00259">
            <w:pPr>
              <w:spacing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14442F5C" w14:textId="77777777" w:rsidR="00A00259" w:rsidRDefault="00371282">
            <w:pPr>
              <w:pStyle w:val="P68B1DB1-Normal12"/>
              <w:spacing w:line="240" w:lineRule="auto"/>
              <w:rPr>
                <w:rFonts w:eastAsia="Times New Roman"/>
                <w:noProof/>
              </w:rPr>
            </w:pPr>
            <w:r>
              <w:rPr>
                <w:noProof/>
              </w:rPr>
              <w:t>T4</w:t>
            </w:r>
          </w:p>
        </w:tc>
        <w:tc>
          <w:tcPr>
            <w:tcW w:w="713" w:type="dxa"/>
            <w:shd w:val="clear" w:color="auto" w:fill="C6EFCE"/>
            <w:noWrap/>
          </w:tcPr>
          <w:p w14:paraId="16D9887C" w14:textId="77777777" w:rsidR="00A00259" w:rsidRDefault="00371282">
            <w:pPr>
              <w:pStyle w:val="P68B1DB1-Normal12"/>
              <w:spacing w:line="240" w:lineRule="auto"/>
              <w:rPr>
                <w:noProof/>
              </w:rPr>
            </w:pPr>
            <w:r>
              <w:rPr>
                <w:noProof/>
              </w:rPr>
              <w:t>2024</w:t>
            </w:r>
          </w:p>
        </w:tc>
        <w:tc>
          <w:tcPr>
            <w:tcW w:w="3402" w:type="dxa"/>
            <w:shd w:val="clear" w:color="auto" w:fill="C6EFCE"/>
            <w:noWrap/>
          </w:tcPr>
          <w:p w14:paraId="3255A908" w14:textId="77777777" w:rsidR="00A00259" w:rsidRDefault="00371282">
            <w:pPr>
              <w:pStyle w:val="P68B1DB1-Normal12"/>
              <w:spacing w:after="0"/>
              <w:rPr>
                <w:noProof/>
              </w:rPr>
            </w:pPr>
            <w:r>
              <w:rPr>
                <w:noProof/>
              </w:rPr>
              <w:t xml:space="preserve">Entrée en vigueur d’actes juridiques pour une nouvelle société unifiée d’infrastructure ferroviaire de pleine concurrence («Hellenic Railways»), à l’exception de l’acte juridique relatif à l’adoption du règlement général sur la circulation (RGT) et des actes juridiques en fonction du RTM. </w:t>
            </w:r>
          </w:p>
          <w:p w14:paraId="1B426349" w14:textId="77777777" w:rsidR="00A00259" w:rsidRDefault="00A00259">
            <w:pPr>
              <w:spacing w:after="0"/>
              <w:rPr>
                <w:rFonts w:ascii="Times New Roman" w:hAnsi="Times New Roman" w:cs="Times New Roman"/>
                <w:noProof/>
                <w:color w:val="006100"/>
                <w:sz w:val="18"/>
                <w:szCs w:val="18"/>
              </w:rPr>
            </w:pPr>
          </w:p>
          <w:p w14:paraId="5CE7B704" w14:textId="77777777" w:rsidR="00A00259" w:rsidRDefault="00371282">
            <w:pPr>
              <w:pStyle w:val="P68B1DB1-Normal12"/>
              <w:spacing w:after="0"/>
              <w:rPr>
                <w:rFonts w:eastAsiaTheme="minorEastAsia"/>
                <w:noProof/>
              </w:rPr>
            </w:pPr>
            <w:r>
              <w:rPr>
                <w:noProof/>
              </w:rPr>
              <w:t>La nouvelle société assumera la responsabilité des questions de sécurité ferroviaire liées à l'infrastructure et collaborera avec les entreprises ferroviaires à la mise en œuvre de mesures de contrôle des risques.</w:t>
            </w:r>
          </w:p>
        </w:tc>
      </w:tr>
      <w:tr w:rsidR="00A00259" w14:paraId="23B7C4DB" w14:textId="77777777">
        <w:trPr>
          <w:trHeight w:val="313"/>
          <w:jc w:val="center"/>
        </w:trPr>
        <w:tc>
          <w:tcPr>
            <w:tcW w:w="591" w:type="dxa"/>
            <w:shd w:val="clear" w:color="auto" w:fill="C6EFCE"/>
            <w:noWrap/>
          </w:tcPr>
          <w:p w14:paraId="7F3B3531" w14:textId="77777777" w:rsidR="00A00259" w:rsidRDefault="00371282">
            <w:pPr>
              <w:pStyle w:val="P68B1DB1-Normal12"/>
              <w:spacing w:line="240" w:lineRule="auto"/>
              <w:rPr>
                <w:rFonts w:eastAsia="Times New Roman"/>
                <w:noProof/>
              </w:rPr>
            </w:pPr>
            <w:r>
              <w:rPr>
                <w:noProof/>
              </w:rPr>
              <w:t>268b</w:t>
            </w:r>
          </w:p>
        </w:tc>
        <w:tc>
          <w:tcPr>
            <w:tcW w:w="2665" w:type="dxa"/>
            <w:shd w:val="clear" w:color="auto" w:fill="C6EFCE"/>
            <w:noWrap/>
          </w:tcPr>
          <w:p w14:paraId="1D74A66B"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- 16982_Réforme organisationnelle dans le secteur ferroviaire</w:t>
            </w:r>
          </w:p>
          <w:p w14:paraId="1F21160A" w14:textId="77777777" w:rsidR="00A00259" w:rsidRDefault="00A00259">
            <w:pPr>
              <w:spacing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535735D4" w14:textId="77777777" w:rsidR="00A00259" w:rsidRDefault="00371282">
            <w:pPr>
              <w:pStyle w:val="P68B1DB1-Normal12"/>
              <w:spacing w:line="240" w:lineRule="auto"/>
              <w:rPr>
                <w:rFonts w:eastAsia="Times New Roman"/>
                <w:noProof/>
              </w:rPr>
            </w:pPr>
            <w:r>
              <w:rPr>
                <w:noProof/>
              </w:rPr>
              <w:t>Étape</w:t>
            </w:r>
          </w:p>
        </w:tc>
        <w:tc>
          <w:tcPr>
            <w:tcW w:w="1842" w:type="dxa"/>
            <w:shd w:val="clear" w:color="auto" w:fill="C6EFCE"/>
            <w:noWrap/>
          </w:tcPr>
          <w:p w14:paraId="53B8E8B2" w14:textId="77777777" w:rsidR="00A00259" w:rsidRDefault="00371282">
            <w:pPr>
              <w:pStyle w:val="P68B1DB1-Normal12"/>
              <w:spacing w:line="240" w:lineRule="auto"/>
              <w:rPr>
                <w:noProof/>
              </w:rPr>
            </w:pPr>
            <w:r>
              <w:rPr>
                <w:noProof/>
              </w:rPr>
              <w:t>Programme d'investissement pluriannuel, nouvel accord contractuel et responsable technique</w:t>
            </w:r>
          </w:p>
          <w:p w14:paraId="77C3D6F8" w14:textId="77777777" w:rsidR="00A00259" w:rsidRDefault="00A00259">
            <w:pPr>
              <w:spacing w:line="240" w:lineRule="auto"/>
              <w:rPr>
                <w:rFonts w:ascii="Times New Roman" w:eastAsia="Times New Roman" w:hAnsi="Times New Roman" w:cs="Times New Roman"/>
                <w:noProof/>
                <w:color w:val="006100"/>
                <w:sz w:val="18"/>
                <w:szCs w:val="18"/>
              </w:rPr>
            </w:pPr>
          </w:p>
        </w:tc>
        <w:tc>
          <w:tcPr>
            <w:tcW w:w="2127" w:type="dxa"/>
            <w:shd w:val="clear" w:color="auto" w:fill="C6EFCE"/>
            <w:noWrap/>
          </w:tcPr>
          <w:p w14:paraId="2F1ACDEC" w14:textId="32732580" w:rsidR="00A00259" w:rsidRDefault="00371282">
            <w:pPr>
              <w:pStyle w:val="P68B1DB1-Normal12"/>
              <w:spacing w:line="240" w:lineRule="auto"/>
              <w:rPr>
                <w:noProof/>
              </w:rPr>
            </w:pPr>
            <w:r>
              <w:rPr>
                <w:noProof/>
              </w:rPr>
              <w:t>Entrée en vigueur d'un nouveau livret de signalisation.</w:t>
            </w:r>
          </w:p>
          <w:p w14:paraId="325AAAE1" w14:textId="77777777" w:rsidR="00A00259" w:rsidRDefault="00371282">
            <w:pPr>
              <w:pStyle w:val="P68B1DB1-Normal12"/>
              <w:spacing w:line="240" w:lineRule="auto"/>
              <w:rPr>
                <w:noProof/>
              </w:rPr>
            </w:pPr>
            <w:r>
              <w:rPr>
                <w:noProof/>
              </w:rPr>
              <w:t>Adoption d'un programme d'investissement pluriannuel.</w:t>
            </w:r>
          </w:p>
          <w:p w14:paraId="5B5A52E7" w14:textId="77777777" w:rsidR="00A00259" w:rsidRDefault="00371282">
            <w:pPr>
              <w:pStyle w:val="P68B1DB1-Normal12"/>
              <w:spacing w:line="240" w:lineRule="auto"/>
              <w:rPr>
                <w:noProof/>
              </w:rPr>
            </w:pPr>
            <w:r>
              <w:rPr>
                <w:noProof/>
              </w:rPr>
              <w:t>Signature d'un nouvel accord contractuel.</w:t>
            </w:r>
          </w:p>
          <w:p w14:paraId="332B479A" w14:textId="77777777" w:rsidR="00A00259" w:rsidRDefault="00371282">
            <w:pPr>
              <w:pStyle w:val="P68B1DB1-Normal12"/>
              <w:spacing w:line="240" w:lineRule="auto"/>
              <w:rPr>
                <w:rFonts w:eastAsia="Times New Roman"/>
                <w:noProof/>
              </w:rPr>
            </w:pPr>
            <w:r>
              <w:rPr>
                <w:noProof/>
              </w:rPr>
              <w:t>Gestionnaire technique nommé.</w:t>
            </w:r>
          </w:p>
        </w:tc>
        <w:tc>
          <w:tcPr>
            <w:tcW w:w="992" w:type="dxa"/>
            <w:shd w:val="clear" w:color="auto" w:fill="C6EFCE"/>
            <w:noWrap/>
          </w:tcPr>
          <w:p w14:paraId="1E66B710" w14:textId="77777777" w:rsidR="00A00259" w:rsidRDefault="00A00259">
            <w:pPr>
              <w:spacing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6589ABAA" w14:textId="77777777" w:rsidR="00A00259" w:rsidRDefault="00A00259">
            <w:pPr>
              <w:spacing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6D8B8434" w14:textId="77777777" w:rsidR="00A00259" w:rsidRDefault="00A00259">
            <w:pPr>
              <w:spacing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1C5BAADD" w14:textId="77777777" w:rsidR="00A00259" w:rsidRDefault="00371282">
            <w:pPr>
              <w:pStyle w:val="P68B1DB1-Normal12"/>
              <w:spacing w:line="240" w:lineRule="auto"/>
              <w:rPr>
                <w:rFonts w:eastAsia="Times New Roman"/>
                <w:noProof/>
              </w:rPr>
            </w:pPr>
            <w:r>
              <w:rPr>
                <w:noProof/>
              </w:rPr>
              <w:t>T2</w:t>
            </w:r>
          </w:p>
        </w:tc>
        <w:tc>
          <w:tcPr>
            <w:tcW w:w="713" w:type="dxa"/>
            <w:shd w:val="clear" w:color="auto" w:fill="C6EFCE"/>
            <w:noWrap/>
          </w:tcPr>
          <w:p w14:paraId="03B6B063" w14:textId="77777777" w:rsidR="00A00259" w:rsidRDefault="00371282">
            <w:pPr>
              <w:pStyle w:val="P68B1DB1-Normal12"/>
              <w:spacing w:line="240" w:lineRule="auto"/>
              <w:rPr>
                <w:rFonts w:eastAsia="Times New Roman"/>
                <w:noProof/>
              </w:rPr>
            </w:pPr>
            <w:r>
              <w:rPr>
                <w:noProof/>
              </w:rPr>
              <w:t>2025</w:t>
            </w:r>
          </w:p>
        </w:tc>
        <w:tc>
          <w:tcPr>
            <w:tcW w:w="3402" w:type="dxa"/>
            <w:shd w:val="clear" w:color="auto" w:fill="C6EFCE"/>
            <w:noWrap/>
          </w:tcPr>
          <w:p w14:paraId="25D48A37" w14:textId="46886946" w:rsidR="00A00259" w:rsidRDefault="00371282">
            <w:pPr>
              <w:pStyle w:val="P68B1DB1-Normal12"/>
              <w:spacing w:line="240" w:lineRule="auto"/>
              <w:rPr>
                <w:rFonts w:eastAsia="Times New Roman"/>
                <w:noProof/>
              </w:rPr>
            </w:pPr>
            <w:r>
              <w:rPr>
                <w:noProof/>
              </w:rPr>
              <w:t>Entrée en vigueur du livret de signalisation requis par la décision ministérielle adoptant des règles de circulation uniformes pour le réseau ferroviaire grec. Adoption par le Conseil d'administration des Chemins de fer helléniques, du programme pluriannuel avec les investissements stratégiques attendus et les travaux de maintenance; signature d'un accord contractuel, avec des jalons et des KPI spécifiques pour l'achèvement des investissements dans les principaux systèmes et infrastructures de sécurité, pour l'entretien régulier, pour la satisfaction du client, pour le renforcement de la qualité du recrutement et de la gouvernance d'entreprise de l'entreprise.</w:t>
            </w:r>
          </w:p>
          <w:p w14:paraId="65C723DD" w14:textId="77777777" w:rsidR="00A00259" w:rsidRDefault="00371282">
            <w:pPr>
              <w:pStyle w:val="P68B1DB1-Normal27"/>
              <w:spacing w:after="0" w:line="240" w:lineRule="auto"/>
              <w:rPr>
                <w:noProof/>
              </w:rPr>
            </w:pPr>
            <w:r>
              <w:rPr>
                <w:noProof/>
              </w:rPr>
              <w:t>Désignation contractuelle d'un responsable technique pour soutenir la mise en place opérationnelle des "chemins de fer helléniques".</w:t>
            </w:r>
          </w:p>
        </w:tc>
      </w:tr>
      <w:tr w:rsidR="00A00259" w14:paraId="51849B2F" w14:textId="77777777">
        <w:trPr>
          <w:trHeight w:val="1185"/>
          <w:jc w:val="center"/>
        </w:trPr>
        <w:tc>
          <w:tcPr>
            <w:tcW w:w="591" w:type="dxa"/>
            <w:shd w:val="clear" w:color="auto" w:fill="C6EFCE"/>
            <w:noWrap/>
          </w:tcPr>
          <w:p w14:paraId="5C07CACA" w14:textId="77777777" w:rsidR="00A00259" w:rsidRDefault="00371282">
            <w:pPr>
              <w:pStyle w:val="P68B1DB1-Normal12"/>
              <w:spacing w:line="240" w:lineRule="auto"/>
              <w:rPr>
                <w:rFonts w:eastAsia="Times New Roman"/>
                <w:noProof/>
              </w:rPr>
            </w:pPr>
            <w:r>
              <w:rPr>
                <w:noProof/>
              </w:rPr>
              <w:t>268c</w:t>
            </w:r>
          </w:p>
        </w:tc>
        <w:tc>
          <w:tcPr>
            <w:tcW w:w="2665" w:type="dxa"/>
            <w:shd w:val="clear" w:color="auto" w:fill="C6EFCE"/>
            <w:noWrap/>
          </w:tcPr>
          <w:p w14:paraId="31FBA14B"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- 16982_Réforme organisationnelle dans le secteur ferroviaire</w:t>
            </w:r>
          </w:p>
          <w:p w14:paraId="1D678208" w14:textId="77777777" w:rsidR="00A00259" w:rsidRDefault="00A00259">
            <w:pPr>
              <w:spacing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26F420D5" w14:textId="77777777" w:rsidR="00A00259" w:rsidRDefault="00371282">
            <w:pPr>
              <w:pStyle w:val="P68B1DB1-Normal12"/>
              <w:spacing w:line="240" w:lineRule="auto"/>
              <w:rPr>
                <w:rFonts w:eastAsia="Times New Roman"/>
                <w:noProof/>
              </w:rPr>
            </w:pPr>
            <w:r>
              <w:rPr>
                <w:noProof/>
              </w:rPr>
              <w:t>Étape</w:t>
            </w:r>
          </w:p>
        </w:tc>
        <w:tc>
          <w:tcPr>
            <w:tcW w:w="1842" w:type="dxa"/>
            <w:shd w:val="clear" w:color="auto" w:fill="C6EFCE"/>
            <w:noWrap/>
          </w:tcPr>
          <w:p w14:paraId="7E9C607E" w14:textId="6BB7F603" w:rsidR="00A00259" w:rsidRDefault="00371282">
            <w:pPr>
              <w:pStyle w:val="P68B1DB1-Normal23"/>
              <w:spacing w:line="240" w:lineRule="auto"/>
              <w:rPr>
                <w:noProof/>
              </w:rPr>
            </w:pPr>
            <w:r>
              <w:rPr>
                <w:noProof/>
              </w:rPr>
              <w:t>Nouvelle structure organisationnelle</w:t>
            </w:r>
          </w:p>
        </w:tc>
        <w:tc>
          <w:tcPr>
            <w:tcW w:w="2127" w:type="dxa"/>
            <w:shd w:val="clear" w:color="auto" w:fill="C6EFCE"/>
            <w:noWrap/>
          </w:tcPr>
          <w:p w14:paraId="3BB218CA" w14:textId="1343F102" w:rsidR="00A00259" w:rsidRDefault="00371282">
            <w:pPr>
              <w:pStyle w:val="P68B1DB1-Normal12"/>
              <w:spacing w:after="0" w:line="240" w:lineRule="auto"/>
              <w:rPr>
                <w:noProof/>
              </w:rPr>
            </w:pPr>
            <w:r>
              <w:rPr>
                <w:noProof/>
              </w:rPr>
              <w:t>Approbation d'une nouvelle structure organisationnelle.</w:t>
            </w:r>
          </w:p>
        </w:tc>
        <w:tc>
          <w:tcPr>
            <w:tcW w:w="992" w:type="dxa"/>
            <w:shd w:val="clear" w:color="auto" w:fill="C6EFCE"/>
            <w:noWrap/>
          </w:tcPr>
          <w:p w14:paraId="3A6DE310" w14:textId="77777777" w:rsidR="00A00259" w:rsidRDefault="00A00259">
            <w:pPr>
              <w:spacing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24ACA2F3" w14:textId="77777777" w:rsidR="00A00259" w:rsidRDefault="00A00259">
            <w:pPr>
              <w:spacing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0DF3F85B" w14:textId="77777777" w:rsidR="00A00259" w:rsidRDefault="00A00259">
            <w:pPr>
              <w:spacing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638B77C0" w14:textId="77777777" w:rsidR="00A00259" w:rsidRDefault="00371282">
            <w:pPr>
              <w:pStyle w:val="P68B1DB1-Normal12"/>
              <w:spacing w:line="240" w:lineRule="auto"/>
              <w:rPr>
                <w:rFonts w:eastAsia="Times New Roman"/>
                <w:noProof/>
              </w:rPr>
            </w:pPr>
            <w:r>
              <w:rPr>
                <w:noProof/>
              </w:rPr>
              <w:t>T4</w:t>
            </w:r>
          </w:p>
        </w:tc>
        <w:tc>
          <w:tcPr>
            <w:tcW w:w="713" w:type="dxa"/>
            <w:shd w:val="clear" w:color="auto" w:fill="C6EFCE"/>
            <w:noWrap/>
          </w:tcPr>
          <w:p w14:paraId="787DDF88" w14:textId="77777777" w:rsidR="00A00259" w:rsidRDefault="00371282">
            <w:pPr>
              <w:pStyle w:val="P68B1DB1-Normal12"/>
              <w:spacing w:line="240" w:lineRule="auto"/>
              <w:rPr>
                <w:rFonts w:eastAsia="Times New Roman"/>
                <w:noProof/>
              </w:rPr>
            </w:pPr>
            <w:r>
              <w:rPr>
                <w:noProof/>
              </w:rPr>
              <w:t>2025</w:t>
            </w:r>
          </w:p>
        </w:tc>
        <w:tc>
          <w:tcPr>
            <w:tcW w:w="3402" w:type="dxa"/>
            <w:shd w:val="clear" w:color="auto" w:fill="C6EFCE"/>
            <w:noWrap/>
          </w:tcPr>
          <w:p w14:paraId="2C07B8B2" w14:textId="45E137C5" w:rsidR="00A00259" w:rsidRDefault="00371282">
            <w:pPr>
              <w:pStyle w:val="P68B1DB1-Normal27"/>
              <w:spacing w:after="0" w:line="240" w:lineRule="auto"/>
              <w:rPr>
                <w:noProof/>
              </w:rPr>
            </w:pPr>
            <w:r>
              <w:rPr>
                <w:noProof/>
              </w:rPr>
              <w:t xml:space="preserve">Approbation par le conseil d'administration de Hellenic Railways de la nouvelle structure organisationnelle et des responsabilités du rôle. </w:t>
            </w:r>
          </w:p>
          <w:p w14:paraId="40E3D8FB" w14:textId="563DBF46" w:rsidR="00A00259" w:rsidRDefault="00371282">
            <w:pPr>
              <w:pStyle w:val="P68B1DB1-Normal27"/>
              <w:spacing w:after="0" w:line="240" w:lineRule="auto"/>
              <w:rPr>
                <w:noProof/>
              </w:rPr>
            </w:pPr>
            <w:r>
              <w:rPr>
                <w:noProof/>
              </w:rPr>
              <w:t>Élection du nouveau conseil d'administration de Hellenic Railways.</w:t>
            </w:r>
          </w:p>
          <w:p w14:paraId="6A65769F" w14:textId="299656D5" w:rsidR="00A00259" w:rsidRDefault="00A00259">
            <w:pPr>
              <w:spacing w:after="0" w:line="240" w:lineRule="auto"/>
              <w:rPr>
                <w:rFonts w:ascii="Times New Roman" w:eastAsiaTheme="minorEastAsia" w:hAnsi="Times New Roman" w:cs="Times New Roman"/>
                <w:noProof/>
                <w:color w:val="006100"/>
                <w:sz w:val="18"/>
                <w:szCs w:val="18"/>
              </w:rPr>
            </w:pPr>
          </w:p>
        </w:tc>
      </w:tr>
      <w:tr w:rsidR="00A00259" w14:paraId="72BBE501" w14:textId="77777777">
        <w:trPr>
          <w:trHeight w:val="313"/>
          <w:jc w:val="center"/>
        </w:trPr>
        <w:tc>
          <w:tcPr>
            <w:tcW w:w="591" w:type="dxa"/>
            <w:shd w:val="clear" w:color="auto" w:fill="C6EFCE"/>
            <w:noWrap/>
          </w:tcPr>
          <w:p w14:paraId="674249B7" w14:textId="77777777" w:rsidR="00A00259" w:rsidRDefault="00371282">
            <w:pPr>
              <w:pStyle w:val="P68B1DB1-Normal12"/>
              <w:spacing w:after="0" w:line="240" w:lineRule="auto"/>
              <w:rPr>
                <w:rFonts w:eastAsia="Times New Roman"/>
                <w:noProof/>
              </w:rPr>
            </w:pPr>
            <w:r>
              <w:rPr>
                <w:noProof/>
              </w:rPr>
              <w:t>269</w:t>
            </w:r>
          </w:p>
        </w:tc>
        <w:tc>
          <w:tcPr>
            <w:tcW w:w="2665" w:type="dxa"/>
            <w:shd w:val="clear" w:color="auto" w:fill="C6EFCE"/>
            <w:noWrap/>
          </w:tcPr>
          <w:p w14:paraId="7512E40B" w14:textId="77777777" w:rsidR="00A00259" w:rsidRDefault="00371282">
            <w:pPr>
              <w:pStyle w:val="P68B1DB1-Normal12"/>
              <w:spacing w:after="0" w:line="240" w:lineRule="auto"/>
              <w:rPr>
                <w:rFonts w:eastAsia="Times New Roman"/>
                <w:noProof/>
              </w:rPr>
            </w:pPr>
            <w:r>
              <w:rPr>
                <w:noProof/>
              </w:rPr>
              <w:t xml:space="preserve">17 - 4.6. Moderniser et améliorer la résilience des secteurs économiques clés – </w:t>
            </w:r>
          </w:p>
          <w:p w14:paraId="70C36FC8" w14:textId="19DFC6DC" w:rsidR="00A00259" w:rsidRDefault="00371282">
            <w:pPr>
              <w:pStyle w:val="P68B1DB1-Normal12"/>
              <w:spacing w:after="0" w:line="240" w:lineRule="auto"/>
              <w:rPr>
                <w:rFonts w:eastAsia="Times New Roman"/>
                <w:noProof/>
              </w:rPr>
            </w:pPr>
            <w:r>
              <w:rPr>
                <w:noProof/>
              </w:rPr>
              <w:t>16833_Amélioration de l'aéroport régional - retrait du DAAD</w:t>
            </w:r>
          </w:p>
        </w:tc>
        <w:tc>
          <w:tcPr>
            <w:tcW w:w="1134" w:type="dxa"/>
            <w:shd w:val="clear" w:color="auto" w:fill="C6EFCE"/>
            <w:noWrap/>
          </w:tcPr>
          <w:p w14:paraId="14A43A2E" w14:textId="77777777" w:rsidR="00A00259" w:rsidRDefault="00371282">
            <w:pPr>
              <w:pStyle w:val="P68B1DB1-Normal12"/>
              <w:spacing w:after="0" w:line="240" w:lineRule="auto"/>
              <w:rPr>
                <w:rFonts w:eastAsia="Times New Roman"/>
                <w:noProof/>
              </w:rPr>
            </w:pPr>
            <w:r>
              <w:rPr>
                <w:noProof/>
              </w:rPr>
              <w:t>Étape</w:t>
            </w:r>
          </w:p>
        </w:tc>
        <w:tc>
          <w:tcPr>
            <w:tcW w:w="1842" w:type="dxa"/>
            <w:shd w:val="clear" w:color="auto" w:fill="C6EFCE"/>
            <w:noWrap/>
          </w:tcPr>
          <w:p w14:paraId="7B58A730" w14:textId="77777777" w:rsidR="00A00259" w:rsidRDefault="00371282">
            <w:pPr>
              <w:pStyle w:val="P68B1DB1-Normal12"/>
              <w:spacing w:after="0" w:line="240" w:lineRule="auto"/>
              <w:rPr>
                <w:noProof/>
              </w:rPr>
            </w:pPr>
            <w:r>
              <w:rPr>
                <w:noProof/>
              </w:rPr>
              <w:t>Retrait des documents d'acceptation et d'action de déviation (DAAD)</w:t>
            </w:r>
          </w:p>
        </w:tc>
        <w:tc>
          <w:tcPr>
            <w:tcW w:w="2127" w:type="dxa"/>
            <w:shd w:val="clear" w:color="auto" w:fill="C6EFCE"/>
            <w:noWrap/>
          </w:tcPr>
          <w:p w14:paraId="1312CA49" w14:textId="38DCA503" w:rsidR="00A00259" w:rsidRDefault="00371282">
            <w:pPr>
              <w:pStyle w:val="P68B1DB1-Normal12"/>
              <w:spacing w:after="0" w:line="240" w:lineRule="auto"/>
              <w:rPr>
                <w:noProof/>
              </w:rPr>
            </w:pPr>
            <w:r>
              <w:rPr>
                <w:noProof/>
              </w:rPr>
              <w:t>Retrait de 97 documents d’acceptation et d’action en matière de dérogation (DAAD)</w:t>
            </w:r>
          </w:p>
        </w:tc>
        <w:tc>
          <w:tcPr>
            <w:tcW w:w="992" w:type="dxa"/>
            <w:shd w:val="clear" w:color="auto" w:fill="C6EFCE"/>
            <w:noWrap/>
          </w:tcPr>
          <w:p w14:paraId="52E7111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0587462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319BBCE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3EAAEF97" w14:textId="77777777" w:rsidR="00A00259" w:rsidRDefault="00371282">
            <w:pPr>
              <w:pStyle w:val="P68B1DB1-Normal12"/>
              <w:spacing w:after="0" w:line="240" w:lineRule="auto"/>
              <w:rPr>
                <w:rFonts w:eastAsia="Times New Roman"/>
                <w:noProof/>
              </w:rPr>
            </w:pPr>
            <w:r>
              <w:rPr>
                <w:noProof/>
              </w:rPr>
              <w:t>T4</w:t>
            </w:r>
          </w:p>
        </w:tc>
        <w:tc>
          <w:tcPr>
            <w:tcW w:w="713" w:type="dxa"/>
            <w:shd w:val="clear" w:color="auto" w:fill="C6EFCE"/>
            <w:noWrap/>
          </w:tcPr>
          <w:p w14:paraId="3EB64F7E" w14:textId="77777777" w:rsidR="00A00259" w:rsidRDefault="00371282">
            <w:pPr>
              <w:pStyle w:val="P68B1DB1-Normal12"/>
              <w:spacing w:after="0" w:line="240" w:lineRule="auto"/>
              <w:rPr>
                <w:rFonts w:eastAsia="Times New Roman"/>
                <w:noProof/>
              </w:rPr>
            </w:pPr>
            <w:r>
              <w:rPr>
                <w:noProof/>
              </w:rPr>
              <w:t>2025</w:t>
            </w:r>
          </w:p>
        </w:tc>
        <w:tc>
          <w:tcPr>
            <w:tcW w:w="3402" w:type="dxa"/>
            <w:shd w:val="clear" w:color="auto" w:fill="C6EFCE"/>
            <w:noWrap/>
          </w:tcPr>
          <w:p w14:paraId="7314743B" w14:textId="03B33BAF" w:rsidR="00A00259" w:rsidRDefault="00371282">
            <w:pPr>
              <w:pStyle w:val="P68B1DB1-Normal12"/>
              <w:spacing w:after="0" w:line="240" w:lineRule="auto"/>
              <w:rPr>
                <w:rFonts w:eastAsia="Times New Roman"/>
                <w:noProof/>
              </w:rPr>
            </w:pPr>
            <w:r>
              <w:rPr>
                <w:noProof/>
              </w:rPr>
              <w:t>Retrait de 97 documents d’acceptation et d’action en matière de dérogation (DAAD) de 13 aéroports par des décisions de l’autorité hellénique de l’aviation civile (HCAA).</w:t>
            </w:r>
          </w:p>
        </w:tc>
      </w:tr>
      <w:tr w:rsidR="00A00259" w14:paraId="268B077F" w14:textId="77777777">
        <w:trPr>
          <w:trHeight w:val="796"/>
          <w:jc w:val="center"/>
        </w:trPr>
        <w:tc>
          <w:tcPr>
            <w:tcW w:w="591" w:type="dxa"/>
            <w:shd w:val="clear" w:color="auto" w:fill="C6EFCE"/>
            <w:noWrap/>
          </w:tcPr>
          <w:p w14:paraId="4435C14B" w14:textId="77777777" w:rsidR="00A00259" w:rsidRDefault="00371282">
            <w:pPr>
              <w:pStyle w:val="P68B1DB1-Normal12"/>
              <w:spacing w:after="0" w:line="240" w:lineRule="auto"/>
              <w:rPr>
                <w:rFonts w:eastAsia="Times New Roman"/>
                <w:noProof/>
              </w:rPr>
            </w:pPr>
            <w:r>
              <w:rPr>
                <w:noProof/>
              </w:rPr>
              <w:t>272</w:t>
            </w:r>
          </w:p>
        </w:tc>
        <w:tc>
          <w:tcPr>
            <w:tcW w:w="2665" w:type="dxa"/>
            <w:shd w:val="clear" w:color="auto" w:fill="C6EFCE"/>
            <w:noWrap/>
          </w:tcPr>
          <w:p w14:paraId="5D4536DB"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- 16949_Smart Bridges</w:t>
            </w:r>
          </w:p>
        </w:tc>
        <w:tc>
          <w:tcPr>
            <w:tcW w:w="1134" w:type="dxa"/>
            <w:shd w:val="clear" w:color="auto" w:fill="C6EFCE"/>
            <w:noWrap/>
          </w:tcPr>
          <w:p w14:paraId="43565CE1" w14:textId="77777777" w:rsidR="00A00259" w:rsidRDefault="00371282">
            <w:pPr>
              <w:pStyle w:val="P68B1DB1-Normal12"/>
              <w:spacing w:after="0" w:line="240" w:lineRule="auto"/>
              <w:rPr>
                <w:rFonts w:eastAsia="Times New Roman"/>
                <w:noProof/>
              </w:rPr>
            </w:pPr>
            <w:r>
              <w:rPr>
                <w:noProof/>
              </w:rPr>
              <w:t>Étape</w:t>
            </w:r>
          </w:p>
        </w:tc>
        <w:tc>
          <w:tcPr>
            <w:tcW w:w="1842" w:type="dxa"/>
            <w:shd w:val="clear" w:color="auto" w:fill="C6EFCE"/>
            <w:noWrap/>
          </w:tcPr>
          <w:p w14:paraId="6335FE1A" w14:textId="0E056904" w:rsidR="00A00259" w:rsidRDefault="00371282">
            <w:pPr>
              <w:pStyle w:val="P68B1DB1-Normal12"/>
              <w:spacing w:after="0" w:line="240" w:lineRule="auto"/>
              <w:rPr>
                <w:rFonts w:eastAsia="Times New Roman"/>
                <w:noProof/>
              </w:rPr>
            </w:pPr>
            <w:r>
              <w:rPr>
                <w:noProof/>
              </w:rPr>
              <w:t>Installation d'équipements de ponts intelligents</w:t>
            </w:r>
          </w:p>
        </w:tc>
        <w:tc>
          <w:tcPr>
            <w:tcW w:w="2127" w:type="dxa"/>
            <w:shd w:val="clear" w:color="auto" w:fill="C6EFCE"/>
            <w:noWrap/>
          </w:tcPr>
          <w:p w14:paraId="29620789" w14:textId="009A7A06" w:rsidR="00A00259" w:rsidRDefault="00371282">
            <w:pPr>
              <w:pStyle w:val="P68B1DB1-Normal12"/>
              <w:spacing w:after="0" w:line="240" w:lineRule="auto"/>
              <w:rPr>
                <w:noProof/>
              </w:rPr>
            </w:pPr>
            <w:r>
              <w:rPr>
                <w:noProof/>
              </w:rPr>
              <w:t>Installation d'équipements de ponts intelligents</w:t>
            </w:r>
          </w:p>
        </w:tc>
        <w:tc>
          <w:tcPr>
            <w:tcW w:w="992" w:type="dxa"/>
            <w:shd w:val="clear" w:color="auto" w:fill="C6EFCE"/>
            <w:noWrap/>
          </w:tcPr>
          <w:p w14:paraId="30C7CF5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7C6900E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6354C41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45F43B84" w14:textId="77777777" w:rsidR="00A00259" w:rsidRDefault="00371282">
            <w:pPr>
              <w:pStyle w:val="P68B1DB1-Normal12"/>
              <w:spacing w:after="0" w:line="240" w:lineRule="auto"/>
              <w:rPr>
                <w:rFonts w:eastAsia="Times New Roman"/>
                <w:noProof/>
              </w:rPr>
            </w:pPr>
            <w:r>
              <w:rPr>
                <w:noProof/>
              </w:rPr>
              <w:t>T4</w:t>
            </w:r>
          </w:p>
        </w:tc>
        <w:tc>
          <w:tcPr>
            <w:tcW w:w="713" w:type="dxa"/>
            <w:shd w:val="clear" w:color="auto" w:fill="C6EFCE"/>
            <w:noWrap/>
          </w:tcPr>
          <w:p w14:paraId="459C0C85" w14:textId="77777777" w:rsidR="00A00259" w:rsidRDefault="00371282">
            <w:pPr>
              <w:pStyle w:val="P68B1DB1-Normal12"/>
              <w:spacing w:after="0" w:line="240" w:lineRule="auto"/>
              <w:rPr>
                <w:rFonts w:eastAsia="Times New Roman"/>
                <w:noProof/>
              </w:rPr>
            </w:pPr>
            <w:r>
              <w:rPr>
                <w:noProof/>
              </w:rPr>
              <w:t>2025</w:t>
            </w:r>
          </w:p>
        </w:tc>
        <w:tc>
          <w:tcPr>
            <w:tcW w:w="3402" w:type="dxa"/>
            <w:shd w:val="clear" w:color="auto" w:fill="C6EFCE"/>
            <w:noWrap/>
          </w:tcPr>
          <w:p w14:paraId="25ABF821" w14:textId="77777777" w:rsidR="00A00259" w:rsidRDefault="00371282">
            <w:pPr>
              <w:pStyle w:val="P68B1DB1-Normal12"/>
              <w:spacing w:after="0" w:line="240" w:lineRule="auto"/>
              <w:rPr>
                <w:noProof/>
              </w:rPr>
            </w:pPr>
            <w:r>
              <w:rPr>
                <w:noProof/>
              </w:rPr>
              <w:t>Installation de systèmes de surveillance structurelle de la santé en temps réel (RTSHM) sur les ponts avec:</w:t>
            </w:r>
          </w:p>
          <w:p w14:paraId="515ACF25" w14:textId="3499F8C1" w:rsidR="00A00259" w:rsidRDefault="00371282">
            <w:pPr>
              <w:pStyle w:val="P68B1DB1-Normal12"/>
              <w:spacing w:after="0" w:line="240" w:lineRule="auto"/>
              <w:rPr>
                <w:noProof/>
              </w:rPr>
            </w:pPr>
            <w:r>
              <w:rPr>
                <w:noProof/>
              </w:rPr>
              <w:t xml:space="preserve">i) capteurs de déformation à fibres optiques et autres capteurs de surveillance structurelle sur 271 ponts; </w:t>
            </w:r>
          </w:p>
          <w:p w14:paraId="0E9934CB" w14:textId="4FE8C664" w:rsidR="00A00259" w:rsidRDefault="00371282">
            <w:pPr>
              <w:pStyle w:val="P68B1DB1-Normal12"/>
              <w:spacing w:after="0" w:line="240" w:lineRule="auto"/>
              <w:rPr>
                <w:noProof/>
              </w:rPr>
            </w:pPr>
            <w:r>
              <w:rPr>
                <w:noProof/>
              </w:rPr>
              <w:t>ii) Capteurs sans fil autonomes de l'Internet des objets (IdO) avec batterie ou fonctionnement à l'énergie solaire sur 380 ponts.</w:t>
            </w:r>
          </w:p>
        </w:tc>
      </w:tr>
      <w:tr w:rsidR="00A00259" w14:paraId="3E6F5278" w14:textId="77777777">
        <w:trPr>
          <w:trHeight w:val="313"/>
          <w:jc w:val="center"/>
        </w:trPr>
        <w:tc>
          <w:tcPr>
            <w:tcW w:w="591" w:type="dxa"/>
            <w:shd w:val="clear" w:color="auto" w:fill="C6EFCE"/>
            <w:noWrap/>
          </w:tcPr>
          <w:p w14:paraId="2C2C832B" w14:textId="77777777" w:rsidR="00A00259" w:rsidRDefault="00371282">
            <w:pPr>
              <w:pStyle w:val="P68B1DB1-Normal12"/>
              <w:spacing w:after="0" w:line="240" w:lineRule="auto"/>
              <w:rPr>
                <w:rFonts w:eastAsia="Times New Roman"/>
                <w:noProof/>
              </w:rPr>
            </w:pPr>
            <w:r>
              <w:rPr>
                <w:noProof/>
              </w:rPr>
              <w:t>274</w:t>
            </w:r>
          </w:p>
        </w:tc>
        <w:tc>
          <w:tcPr>
            <w:tcW w:w="2665" w:type="dxa"/>
            <w:shd w:val="clear" w:color="auto" w:fill="C6EFCE"/>
            <w:noWrap/>
          </w:tcPr>
          <w:p w14:paraId="42B0DFA7" w14:textId="77777777" w:rsidR="00A00259" w:rsidRDefault="00371282">
            <w:pPr>
              <w:pStyle w:val="P68B1DB1-Normal12"/>
              <w:spacing w:after="0" w:line="240" w:lineRule="auto"/>
              <w:rPr>
                <w:rFonts w:eastAsia="Times New Roman"/>
                <w:noProof/>
              </w:rPr>
            </w:pPr>
            <w:r>
              <w:rPr>
                <w:noProof/>
              </w:rPr>
              <w:t xml:space="preserve">17 - 4.6. Moderniser et améliorer la résilience des secteurs économiques clés - 16959_Transformation numérique des chemins de fer grecs </w:t>
            </w:r>
          </w:p>
        </w:tc>
        <w:tc>
          <w:tcPr>
            <w:tcW w:w="1134" w:type="dxa"/>
            <w:shd w:val="clear" w:color="auto" w:fill="C6EFCE"/>
            <w:noWrap/>
          </w:tcPr>
          <w:p w14:paraId="1680CF64" w14:textId="77777777" w:rsidR="00A00259" w:rsidRDefault="00371282">
            <w:pPr>
              <w:pStyle w:val="P68B1DB1-Normal12"/>
              <w:spacing w:after="0" w:line="240" w:lineRule="auto"/>
              <w:rPr>
                <w:rFonts w:eastAsia="Times New Roman"/>
                <w:noProof/>
              </w:rPr>
            </w:pPr>
            <w:r>
              <w:rPr>
                <w:noProof/>
              </w:rPr>
              <w:t>Étape</w:t>
            </w:r>
          </w:p>
        </w:tc>
        <w:tc>
          <w:tcPr>
            <w:tcW w:w="1842" w:type="dxa"/>
            <w:shd w:val="clear" w:color="auto" w:fill="C6EFCE"/>
            <w:noWrap/>
          </w:tcPr>
          <w:p w14:paraId="66A0F6A8" w14:textId="77777777" w:rsidR="00A00259" w:rsidRDefault="00371282">
            <w:pPr>
              <w:pStyle w:val="P68B1DB1-Normal12"/>
              <w:spacing w:after="0" w:line="240" w:lineRule="auto"/>
              <w:rPr>
                <w:noProof/>
              </w:rPr>
            </w:pPr>
            <w:r>
              <w:rPr>
                <w:noProof/>
              </w:rPr>
              <w:t>Projets, systèmes, équipements et services numériques</w:t>
            </w:r>
          </w:p>
        </w:tc>
        <w:tc>
          <w:tcPr>
            <w:tcW w:w="2127" w:type="dxa"/>
            <w:shd w:val="clear" w:color="auto" w:fill="C6EFCE"/>
            <w:noWrap/>
          </w:tcPr>
          <w:p w14:paraId="4823883C" w14:textId="77777777" w:rsidR="00A00259" w:rsidRDefault="00371282">
            <w:pPr>
              <w:pStyle w:val="P68B1DB1-Normal12"/>
              <w:spacing w:after="0" w:line="240" w:lineRule="auto"/>
              <w:rPr>
                <w:rFonts w:eastAsia="Times New Roman"/>
                <w:noProof/>
              </w:rPr>
            </w:pPr>
            <w:r>
              <w:rPr>
                <w:noProof/>
              </w:rPr>
              <w:t>Projets, systèmes, équipements et services numériques fournis</w:t>
            </w:r>
          </w:p>
        </w:tc>
        <w:tc>
          <w:tcPr>
            <w:tcW w:w="992" w:type="dxa"/>
            <w:shd w:val="clear" w:color="auto" w:fill="C6EFCE"/>
            <w:noWrap/>
          </w:tcPr>
          <w:p w14:paraId="162E53A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0A4B9F5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122D4BA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6EBC77EB" w14:textId="77777777" w:rsidR="00A00259" w:rsidRDefault="00371282">
            <w:pPr>
              <w:pStyle w:val="P68B1DB1-Normal12"/>
              <w:spacing w:after="0" w:line="240" w:lineRule="auto"/>
              <w:rPr>
                <w:rFonts w:eastAsia="Times New Roman"/>
                <w:noProof/>
              </w:rPr>
            </w:pPr>
            <w:r>
              <w:rPr>
                <w:noProof/>
              </w:rPr>
              <w:t>T4</w:t>
            </w:r>
          </w:p>
        </w:tc>
        <w:tc>
          <w:tcPr>
            <w:tcW w:w="713" w:type="dxa"/>
            <w:shd w:val="clear" w:color="auto" w:fill="C6EFCE"/>
            <w:noWrap/>
          </w:tcPr>
          <w:p w14:paraId="4F51774B" w14:textId="77777777" w:rsidR="00A00259" w:rsidRDefault="00371282">
            <w:pPr>
              <w:pStyle w:val="P68B1DB1-Normal12"/>
              <w:spacing w:after="0" w:line="240" w:lineRule="auto"/>
              <w:rPr>
                <w:rFonts w:eastAsia="Times New Roman"/>
                <w:noProof/>
              </w:rPr>
            </w:pPr>
            <w:r>
              <w:rPr>
                <w:noProof/>
              </w:rPr>
              <w:t>2025</w:t>
            </w:r>
          </w:p>
        </w:tc>
        <w:tc>
          <w:tcPr>
            <w:tcW w:w="3402" w:type="dxa"/>
            <w:shd w:val="clear" w:color="auto" w:fill="C6EFCE"/>
            <w:noWrap/>
          </w:tcPr>
          <w:p w14:paraId="035A5B15" w14:textId="77777777" w:rsidR="00A00259" w:rsidRDefault="00371282">
            <w:pPr>
              <w:pStyle w:val="P68B1DB1-Normal12"/>
              <w:spacing w:after="0" w:line="240" w:lineRule="auto"/>
              <w:rPr>
                <w:noProof/>
              </w:rPr>
            </w:pPr>
            <w:r>
              <w:rPr>
                <w:noProof/>
              </w:rPr>
              <w:t>Fourniture des projets, systèmes, équipements et services numériques suivants:</w:t>
            </w:r>
          </w:p>
          <w:p w14:paraId="3C64D825" w14:textId="2B48E5E1" w:rsidR="00A00259" w:rsidRDefault="00371282">
            <w:pPr>
              <w:pStyle w:val="P68B1DB1-Normal12"/>
              <w:spacing w:after="0" w:line="240" w:lineRule="auto"/>
              <w:rPr>
                <w:rFonts w:eastAsia="Times New Roman"/>
                <w:noProof/>
              </w:rPr>
            </w:pPr>
            <w:r>
              <w:rPr>
                <w:noProof/>
              </w:rPr>
              <w:t>1. Système central de gestion des tickets et de télématique;</w:t>
            </w:r>
          </w:p>
          <w:p w14:paraId="03C4E108" w14:textId="77777777" w:rsidR="00A00259" w:rsidRDefault="00371282">
            <w:pPr>
              <w:pStyle w:val="P68B1DB1-Normal12"/>
              <w:spacing w:after="0" w:line="240" w:lineRule="auto"/>
              <w:rPr>
                <w:rFonts w:eastAsia="Times New Roman"/>
                <w:noProof/>
              </w:rPr>
            </w:pPr>
            <w:r>
              <w:rPr>
                <w:noProof/>
              </w:rPr>
              <w:t>2. Infrastructure des stations intelligentes;</w:t>
            </w:r>
          </w:p>
          <w:p w14:paraId="1D257826" w14:textId="5A824E39" w:rsidR="00A00259" w:rsidRDefault="00371282">
            <w:pPr>
              <w:pStyle w:val="P68B1DB1-Normal12"/>
              <w:spacing w:after="0" w:line="240" w:lineRule="auto"/>
              <w:rPr>
                <w:rFonts w:eastAsia="Times New Roman"/>
                <w:noProof/>
              </w:rPr>
            </w:pPr>
            <w:r>
              <w:rPr>
                <w:noProof/>
              </w:rPr>
              <w:t>3. Services d'expérience client;</w:t>
            </w:r>
          </w:p>
          <w:p w14:paraId="417EFEEE" w14:textId="1A9E096A" w:rsidR="00A00259" w:rsidRDefault="00371282">
            <w:pPr>
              <w:pStyle w:val="P68B1DB1-Normal12"/>
              <w:spacing w:after="0" w:line="240" w:lineRule="auto"/>
              <w:rPr>
                <w:rFonts w:eastAsia="Times New Roman"/>
                <w:noProof/>
              </w:rPr>
            </w:pPr>
            <w:r>
              <w:rPr>
                <w:noProof/>
              </w:rPr>
              <w:t>4. Services de formation; et</w:t>
            </w:r>
          </w:p>
          <w:p w14:paraId="5E4CAC00" w14:textId="7BFF8C21" w:rsidR="00A00259" w:rsidRDefault="00371282">
            <w:pPr>
              <w:pStyle w:val="P68B1DB1-Normal27"/>
              <w:spacing w:after="0" w:line="240" w:lineRule="auto"/>
              <w:rPr>
                <w:noProof/>
              </w:rPr>
            </w:pPr>
            <w:r>
              <w:rPr>
                <w:noProof/>
              </w:rPr>
              <w:t>5. Infrastructure de sécurité de six tunnels ferroviaires utilisant des systèmes intelligents.</w:t>
            </w:r>
          </w:p>
        </w:tc>
      </w:tr>
      <w:tr w:rsidR="00A00259" w14:paraId="3C53F718" w14:textId="77777777">
        <w:trPr>
          <w:trHeight w:val="313"/>
          <w:jc w:val="center"/>
        </w:trPr>
        <w:tc>
          <w:tcPr>
            <w:tcW w:w="591" w:type="dxa"/>
            <w:shd w:val="clear" w:color="auto" w:fill="C6EFCE"/>
            <w:noWrap/>
          </w:tcPr>
          <w:p w14:paraId="4FBB9099" w14:textId="77777777" w:rsidR="00A00259" w:rsidRDefault="00371282">
            <w:pPr>
              <w:pStyle w:val="P68B1DB1-Normal12"/>
              <w:spacing w:after="0" w:line="240" w:lineRule="auto"/>
              <w:rPr>
                <w:rFonts w:eastAsia="Times New Roman"/>
                <w:noProof/>
              </w:rPr>
            </w:pPr>
            <w:r>
              <w:rPr>
                <w:noProof/>
              </w:rPr>
              <w:t>275</w:t>
            </w:r>
          </w:p>
        </w:tc>
        <w:tc>
          <w:tcPr>
            <w:tcW w:w="2665" w:type="dxa"/>
            <w:shd w:val="clear" w:color="auto" w:fill="C6EFCE"/>
            <w:noWrap/>
          </w:tcPr>
          <w:p w14:paraId="69A7109A"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- 16960_Infrastructure intelligente axée sur l'environnement et la culture</w:t>
            </w:r>
          </w:p>
        </w:tc>
        <w:tc>
          <w:tcPr>
            <w:tcW w:w="1134" w:type="dxa"/>
            <w:shd w:val="clear" w:color="auto" w:fill="C6EFCE"/>
            <w:noWrap/>
          </w:tcPr>
          <w:p w14:paraId="4934C7AD" w14:textId="77777777" w:rsidR="00A00259" w:rsidRDefault="00371282">
            <w:pPr>
              <w:pStyle w:val="P68B1DB1-Normal12"/>
              <w:spacing w:after="0" w:line="240" w:lineRule="auto"/>
              <w:rPr>
                <w:rFonts w:eastAsia="Times New Roman"/>
                <w:noProof/>
              </w:rPr>
            </w:pPr>
            <w:r>
              <w:rPr>
                <w:noProof/>
              </w:rPr>
              <w:t>Étape</w:t>
            </w:r>
          </w:p>
        </w:tc>
        <w:tc>
          <w:tcPr>
            <w:tcW w:w="1842" w:type="dxa"/>
            <w:shd w:val="clear" w:color="auto" w:fill="C6EFCE"/>
            <w:noWrap/>
          </w:tcPr>
          <w:p w14:paraId="08DD08A0" w14:textId="77777777" w:rsidR="00A00259" w:rsidRDefault="00371282">
            <w:pPr>
              <w:pStyle w:val="P68B1DB1-Normal12"/>
              <w:spacing w:after="0" w:line="240" w:lineRule="auto"/>
              <w:rPr>
                <w:rFonts w:eastAsia="Times New Roman"/>
                <w:noProof/>
              </w:rPr>
            </w:pPr>
            <w:r>
              <w:rPr>
                <w:noProof/>
              </w:rPr>
              <w:t>Réalisation d'un projet d'infrastructure intelligente</w:t>
            </w:r>
          </w:p>
        </w:tc>
        <w:tc>
          <w:tcPr>
            <w:tcW w:w="2127" w:type="dxa"/>
            <w:shd w:val="clear" w:color="auto" w:fill="C6EFCE"/>
            <w:noWrap/>
          </w:tcPr>
          <w:p w14:paraId="22A08E43" w14:textId="28FFC50C" w:rsidR="00A00259" w:rsidRDefault="00371282">
            <w:pPr>
              <w:pStyle w:val="P68B1DB1-Normal12"/>
              <w:spacing w:after="0" w:line="240" w:lineRule="auto"/>
              <w:rPr>
                <w:noProof/>
              </w:rPr>
            </w:pPr>
            <w:r>
              <w:rPr>
                <w:noProof/>
              </w:rPr>
              <w:t>Réalisation de sous-projets</w:t>
            </w:r>
          </w:p>
        </w:tc>
        <w:tc>
          <w:tcPr>
            <w:tcW w:w="992" w:type="dxa"/>
            <w:shd w:val="clear" w:color="auto" w:fill="C6EFCE"/>
            <w:noWrap/>
          </w:tcPr>
          <w:p w14:paraId="047E534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7D4E2B8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3AE7C3B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684CF569" w14:textId="77777777" w:rsidR="00A00259" w:rsidRDefault="00371282">
            <w:pPr>
              <w:pStyle w:val="P68B1DB1-Normal12"/>
              <w:spacing w:after="0" w:line="240" w:lineRule="auto"/>
              <w:rPr>
                <w:rFonts w:eastAsia="Times New Roman"/>
                <w:noProof/>
              </w:rPr>
            </w:pPr>
            <w:r>
              <w:rPr>
                <w:noProof/>
              </w:rPr>
              <w:t>T4</w:t>
            </w:r>
          </w:p>
        </w:tc>
        <w:tc>
          <w:tcPr>
            <w:tcW w:w="713" w:type="dxa"/>
            <w:shd w:val="clear" w:color="auto" w:fill="C6EFCE"/>
            <w:noWrap/>
          </w:tcPr>
          <w:p w14:paraId="6B6FAF7C" w14:textId="77777777" w:rsidR="00A00259" w:rsidRDefault="00371282">
            <w:pPr>
              <w:pStyle w:val="P68B1DB1-Normal12"/>
              <w:spacing w:after="0" w:line="240" w:lineRule="auto"/>
              <w:rPr>
                <w:rFonts w:eastAsia="Times New Roman"/>
                <w:noProof/>
              </w:rPr>
            </w:pPr>
            <w:r>
              <w:rPr>
                <w:noProof/>
              </w:rPr>
              <w:t>2025</w:t>
            </w:r>
          </w:p>
        </w:tc>
        <w:tc>
          <w:tcPr>
            <w:tcW w:w="3402" w:type="dxa"/>
            <w:shd w:val="clear" w:color="auto" w:fill="C6EFCE"/>
            <w:noWrap/>
          </w:tcPr>
          <w:p w14:paraId="36AC08EE" w14:textId="77777777" w:rsidR="00A00259" w:rsidRDefault="00371282">
            <w:pPr>
              <w:pStyle w:val="P68B1DB1-Normal12"/>
              <w:spacing w:after="0" w:line="240" w:lineRule="auto"/>
              <w:rPr>
                <w:noProof/>
              </w:rPr>
            </w:pPr>
            <w:r>
              <w:rPr>
                <w:noProof/>
              </w:rPr>
              <w:t>Livraison de:</w:t>
            </w:r>
          </w:p>
          <w:p w14:paraId="00DF670F" w14:textId="40673103" w:rsidR="00A00259" w:rsidRDefault="00371282">
            <w:pPr>
              <w:pStyle w:val="P68B1DB1-Normal12"/>
              <w:spacing w:after="0" w:line="240" w:lineRule="auto"/>
              <w:rPr>
                <w:rFonts w:eastAsia="Times New Roman"/>
                <w:noProof/>
              </w:rPr>
            </w:pPr>
            <w:r>
              <w:rPr>
                <w:noProof/>
              </w:rPr>
              <w:t>- système d'information pour la délimitation des cours d'eau et le balayage de 300 dossiers de démarcation et la délimitation de 6 000 km de cours d'eau;</w:t>
            </w:r>
          </w:p>
          <w:p w14:paraId="158160B3" w14:textId="77777777" w:rsidR="00A00259" w:rsidRDefault="00371282">
            <w:pPr>
              <w:pStyle w:val="P68B1DB1-Normal12"/>
              <w:spacing w:after="0" w:line="240" w:lineRule="auto"/>
              <w:rPr>
                <w:rFonts w:eastAsia="Times New Roman"/>
                <w:noProof/>
              </w:rPr>
            </w:pPr>
            <w:r>
              <w:rPr>
                <w:noProof/>
              </w:rPr>
              <w:t>- Carte numérique unique;</w:t>
            </w:r>
          </w:p>
          <w:p w14:paraId="1F6779FD" w14:textId="77777777" w:rsidR="00A00259" w:rsidRDefault="00371282">
            <w:pPr>
              <w:pStyle w:val="P68B1DB1-Normal12"/>
              <w:spacing w:after="0" w:line="240" w:lineRule="auto"/>
              <w:rPr>
                <w:rFonts w:eastAsia="Times New Roman"/>
                <w:noProof/>
              </w:rPr>
            </w:pPr>
            <w:r>
              <w:rPr>
                <w:noProof/>
              </w:rPr>
              <w:t>- équipements de surveillance de la pollution atmosphérique et marine;</w:t>
            </w:r>
          </w:p>
          <w:p w14:paraId="5FBF9E69" w14:textId="15426942" w:rsidR="00A00259" w:rsidRDefault="00371282">
            <w:pPr>
              <w:pStyle w:val="P68B1DB1-Normal12"/>
              <w:spacing w:after="0" w:line="240" w:lineRule="auto"/>
              <w:rPr>
                <w:noProof/>
              </w:rPr>
            </w:pPr>
            <w:r>
              <w:rPr>
                <w:noProof/>
              </w:rPr>
              <w:t>- les infrastructures et les services numériques pour les sites archéologiques ou les musées;</w:t>
            </w:r>
          </w:p>
          <w:p w14:paraId="552D0CE1" w14:textId="77777777" w:rsidR="00A00259" w:rsidRDefault="00371282">
            <w:pPr>
              <w:pStyle w:val="P68B1DB1-Normal23"/>
              <w:spacing w:after="0" w:line="240" w:lineRule="auto"/>
              <w:rPr>
                <w:noProof/>
              </w:rPr>
            </w:pPr>
            <w:r>
              <w:rPr>
                <w:noProof/>
              </w:rPr>
              <w:t>- système d'information permettant de retracer les constructions illégales.</w:t>
            </w:r>
          </w:p>
        </w:tc>
      </w:tr>
      <w:tr w:rsidR="00A00259" w14:paraId="0B126E64" w14:textId="77777777">
        <w:trPr>
          <w:trHeight w:val="313"/>
          <w:jc w:val="center"/>
        </w:trPr>
        <w:tc>
          <w:tcPr>
            <w:tcW w:w="591" w:type="dxa"/>
            <w:shd w:val="clear" w:color="auto" w:fill="C6EFCE"/>
            <w:noWrap/>
          </w:tcPr>
          <w:p w14:paraId="7C3B2802" w14:textId="77777777" w:rsidR="00A00259" w:rsidRDefault="00371282">
            <w:pPr>
              <w:pStyle w:val="P68B1DB1-Normal12"/>
              <w:spacing w:after="0" w:line="240" w:lineRule="auto"/>
              <w:rPr>
                <w:rFonts w:eastAsia="Times New Roman"/>
                <w:noProof/>
              </w:rPr>
            </w:pPr>
            <w:r>
              <w:rPr>
                <w:noProof/>
              </w:rPr>
              <w:t>276</w:t>
            </w:r>
          </w:p>
        </w:tc>
        <w:tc>
          <w:tcPr>
            <w:tcW w:w="2665" w:type="dxa"/>
            <w:shd w:val="clear" w:color="auto" w:fill="C6EFCE"/>
            <w:noWrap/>
          </w:tcPr>
          <w:p w14:paraId="047AE232"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- 16937_Système intégré de gestion du programme numérique pour l'administration des travaux techniques et des actifs structurels du ministère des infrastructures et des transports</w:t>
            </w:r>
          </w:p>
        </w:tc>
        <w:tc>
          <w:tcPr>
            <w:tcW w:w="1134" w:type="dxa"/>
            <w:shd w:val="clear" w:color="auto" w:fill="C6EFCE"/>
            <w:noWrap/>
          </w:tcPr>
          <w:p w14:paraId="7944493D" w14:textId="77777777" w:rsidR="00A00259" w:rsidRDefault="00371282">
            <w:pPr>
              <w:pStyle w:val="P68B1DB1-Normal12"/>
              <w:spacing w:after="0" w:line="240" w:lineRule="auto"/>
              <w:rPr>
                <w:rFonts w:eastAsia="Times New Roman"/>
                <w:noProof/>
              </w:rPr>
            </w:pPr>
            <w:r>
              <w:rPr>
                <w:noProof/>
              </w:rPr>
              <w:t>Étape</w:t>
            </w:r>
          </w:p>
        </w:tc>
        <w:tc>
          <w:tcPr>
            <w:tcW w:w="1842" w:type="dxa"/>
            <w:shd w:val="clear" w:color="auto" w:fill="C6EFCE"/>
            <w:noWrap/>
          </w:tcPr>
          <w:p w14:paraId="4BBAA863" w14:textId="77777777" w:rsidR="00A00259" w:rsidRDefault="00371282">
            <w:pPr>
              <w:pStyle w:val="P68B1DB1-Normal49"/>
              <w:spacing w:after="0" w:line="240" w:lineRule="auto"/>
              <w:rPr>
                <w:rFonts w:ascii="Times New Roman" w:hAnsi="Times New Roman" w:cs="Times New Roman"/>
                <w:noProof/>
                <w:color w:val="006100"/>
              </w:rPr>
            </w:pPr>
            <w:r>
              <w:rPr>
                <w:rFonts w:ascii="Times New Roman" w:eastAsiaTheme="minorEastAsia" w:hAnsi="Times New Roman" w:cs="Times New Roman"/>
                <w:noProof/>
                <w:color w:val="006100"/>
              </w:rPr>
              <w:t xml:space="preserve">Système d'information sur la gestion du </w:t>
            </w:r>
            <w:r>
              <w:rPr>
                <w:rFonts w:ascii="Times New Roman" w:hAnsi="Times New Roman" w:cs="Times New Roman"/>
                <w:noProof/>
                <w:color w:val="006100"/>
              </w:rPr>
              <w:t>portefeuille</w:t>
            </w:r>
            <w:r>
              <w:rPr>
                <w:rFonts w:ascii="Times New Roman" w:eastAsiaTheme="minorEastAsia" w:hAnsi="Times New Roman" w:cs="Times New Roman"/>
                <w:noProof/>
                <w:color w:val="006100"/>
              </w:rPr>
              <w:t xml:space="preserve"> (SIGP)</w:t>
            </w:r>
          </w:p>
        </w:tc>
        <w:tc>
          <w:tcPr>
            <w:tcW w:w="2127" w:type="dxa"/>
            <w:shd w:val="clear" w:color="auto" w:fill="C6EFCE"/>
            <w:noWrap/>
          </w:tcPr>
          <w:p w14:paraId="52DAC84A" w14:textId="77777777" w:rsidR="00A00259" w:rsidRDefault="00371282">
            <w:pPr>
              <w:pStyle w:val="P68B1DB1-Normal49"/>
              <w:spacing w:after="0" w:line="240" w:lineRule="auto"/>
              <w:rPr>
                <w:rFonts w:ascii="Times New Roman" w:hAnsi="Times New Roman" w:cs="Times New Roman"/>
                <w:noProof/>
                <w:color w:val="006100"/>
              </w:rPr>
            </w:pPr>
            <w:r>
              <w:rPr>
                <w:rFonts w:ascii="Times New Roman" w:eastAsiaTheme="minorEastAsia" w:hAnsi="Times New Roman" w:cs="Times New Roman"/>
                <w:noProof/>
                <w:color w:val="006100"/>
              </w:rPr>
              <w:t xml:space="preserve">Système d'information sur la gestion du </w:t>
            </w:r>
            <w:r>
              <w:rPr>
                <w:rFonts w:ascii="Times New Roman" w:hAnsi="Times New Roman" w:cs="Times New Roman"/>
                <w:noProof/>
                <w:color w:val="006100"/>
              </w:rPr>
              <w:t>portefeuille</w:t>
            </w:r>
            <w:r>
              <w:rPr>
                <w:rFonts w:ascii="Times New Roman" w:eastAsiaTheme="minorEastAsia" w:hAnsi="Times New Roman" w:cs="Times New Roman"/>
                <w:noProof/>
                <w:color w:val="006100"/>
              </w:rPr>
              <w:t xml:space="preserve"> (SIGP) fourni</w:t>
            </w:r>
          </w:p>
        </w:tc>
        <w:tc>
          <w:tcPr>
            <w:tcW w:w="992" w:type="dxa"/>
            <w:shd w:val="clear" w:color="auto" w:fill="C6EFCE"/>
            <w:noWrap/>
          </w:tcPr>
          <w:p w14:paraId="2E428F0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A76F39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506AAF3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27D1550F" w14:textId="77777777" w:rsidR="00A00259" w:rsidRDefault="00371282">
            <w:pPr>
              <w:pStyle w:val="P68B1DB1-Normal12"/>
              <w:spacing w:after="0" w:line="240" w:lineRule="auto"/>
              <w:rPr>
                <w:rFonts w:eastAsia="Times New Roman"/>
                <w:noProof/>
              </w:rPr>
            </w:pPr>
            <w:r>
              <w:rPr>
                <w:noProof/>
              </w:rPr>
              <w:t>T4</w:t>
            </w:r>
          </w:p>
        </w:tc>
        <w:tc>
          <w:tcPr>
            <w:tcW w:w="713" w:type="dxa"/>
            <w:shd w:val="clear" w:color="auto" w:fill="C6EFCE"/>
            <w:noWrap/>
          </w:tcPr>
          <w:p w14:paraId="24B8E622" w14:textId="77777777" w:rsidR="00A00259" w:rsidRDefault="00371282">
            <w:pPr>
              <w:pStyle w:val="P68B1DB1-Normal12"/>
              <w:spacing w:after="0" w:line="240" w:lineRule="auto"/>
              <w:rPr>
                <w:rFonts w:eastAsia="Times New Roman"/>
                <w:noProof/>
              </w:rPr>
            </w:pPr>
            <w:r>
              <w:rPr>
                <w:noProof/>
              </w:rPr>
              <w:t>2025</w:t>
            </w:r>
          </w:p>
        </w:tc>
        <w:tc>
          <w:tcPr>
            <w:tcW w:w="3402" w:type="dxa"/>
            <w:shd w:val="clear" w:color="auto" w:fill="C6EFCE"/>
            <w:noWrap/>
          </w:tcPr>
          <w:p w14:paraId="64617D57" w14:textId="77777777" w:rsidR="00A00259" w:rsidRDefault="00371282">
            <w:pPr>
              <w:pStyle w:val="P68B1DB1-Normal12"/>
              <w:spacing w:after="0" w:line="240" w:lineRule="auto"/>
              <w:rPr>
                <w:noProof/>
              </w:rPr>
            </w:pPr>
            <w:r>
              <w:rPr>
                <w:noProof/>
              </w:rPr>
              <w:t>Système d'information sur la gestion du portefeuille (SIGP) au ministère de l'Infrastructure et des Transports. Le système fournit des informations en temps réel sur les éléments livrables, le coût et le calendrier tout au long du cycle de vie des travaux exécutés, ce qui permet au ministère de surveiller, de gérer et d’administrer son portefeuille de travaux et de biens techniques.</w:t>
            </w:r>
          </w:p>
        </w:tc>
      </w:tr>
      <w:tr w:rsidR="00A00259" w14:paraId="5F0A8958" w14:textId="77777777">
        <w:trPr>
          <w:trHeight w:val="313"/>
          <w:jc w:val="center"/>
        </w:trPr>
        <w:tc>
          <w:tcPr>
            <w:tcW w:w="591" w:type="dxa"/>
            <w:shd w:val="clear" w:color="auto" w:fill="C6EFCE"/>
            <w:noWrap/>
          </w:tcPr>
          <w:p w14:paraId="5D21A880" w14:textId="77777777" w:rsidR="00A00259" w:rsidRDefault="00371282">
            <w:pPr>
              <w:pStyle w:val="P68B1DB1-Normal12"/>
              <w:spacing w:after="0" w:line="240" w:lineRule="auto"/>
              <w:rPr>
                <w:rFonts w:eastAsia="Times New Roman"/>
                <w:noProof/>
              </w:rPr>
            </w:pPr>
            <w:r>
              <w:rPr>
                <w:noProof/>
              </w:rPr>
              <w:t>277</w:t>
            </w:r>
          </w:p>
        </w:tc>
        <w:tc>
          <w:tcPr>
            <w:tcW w:w="2665" w:type="dxa"/>
            <w:shd w:val="clear" w:color="auto" w:fill="C6EFCE"/>
            <w:noWrap/>
          </w:tcPr>
          <w:p w14:paraId="6F4A1CD9"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- 16786_Simplification des procédures du ministère des infrastructures et des transports</w:t>
            </w:r>
          </w:p>
        </w:tc>
        <w:tc>
          <w:tcPr>
            <w:tcW w:w="1134" w:type="dxa"/>
            <w:shd w:val="clear" w:color="auto" w:fill="C6EFCE"/>
            <w:noWrap/>
          </w:tcPr>
          <w:p w14:paraId="0941B5AF" w14:textId="77777777" w:rsidR="00A00259" w:rsidRDefault="00371282">
            <w:pPr>
              <w:pStyle w:val="P68B1DB1-Normal12"/>
              <w:spacing w:after="0" w:line="240" w:lineRule="auto"/>
              <w:rPr>
                <w:rFonts w:eastAsia="Times New Roman"/>
                <w:noProof/>
              </w:rPr>
            </w:pPr>
            <w:r>
              <w:rPr>
                <w:noProof/>
              </w:rPr>
              <w:t>Étape</w:t>
            </w:r>
          </w:p>
        </w:tc>
        <w:tc>
          <w:tcPr>
            <w:tcW w:w="1842" w:type="dxa"/>
            <w:shd w:val="clear" w:color="auto" w:fill="C6EFCE"/>
            <w:noWrap/>
          </w:tcPr>
          <w:p w14:paraId="38E3B000" w14:textId="77777777" w:rsidR="00A00259" w:rsidRDefault="00371282">
            <w:pPr>
              <w:pStyle w:val="P68B1DB1-Normal12"/>
              <w:spacing w:after="0" w:line="240" w:lineRule="auto"/>
              <w:rPr>
                <w:rFonts w:eastAsia="Times New Roman"/>
                <w:noProof/>
              </w:rPr>
            </w:pPr>
            <w:r>
              <w:rPr>
                <w:noProof/>
              </w:rPr>
              <w:t>Simplification des procédures pour le ministère des transports</w:t>
            </w:r>
          </w:p>
        </w:tc>
        <w:tc>
          <w:tcPr>
            <w:tcW w:w="2127" w:type="dxa"/>
            <w:shd w:val="clear" w:color="auto" w:fill="C6EFCE"/>
            <w:noWrap/>
          </w:tcPr>
          <w:p w14:paraId="11E3B709" w14:textId="77777777" w:rsidR="00A00259" w:rsidRDefault="00371282">
            <w:pPr>
              <w:pStyle w:val="P68B1DB1-Normal12"/>
              <w:spacing w:after="0" w:line="240" w:lineRule="auto"/>
              <w:rPr>
                <w:rFonts w:eastAsia="Times New Roman"/>
                <w:noProof/>
              </w:rPr>
            </w:pPr>
            <w:r>
              <w:rPr>
                <w:noProof/>
              </w:rPr>
              <w:t>Procédures numériques en place au sein du ministère des infrastructures et des transports</w:t>
            </w:r>
          </w:p>
        </w:tc>
        <w:tc>
          <w:tcPr>
            <w:tcW w:w="992" w:type="dxa"/>
            <w:shd w:val="clear" w:color="auto" w:fill="C6EFCE"/>
            <w:noWrap/>
          </w:tcPr>
          <w:p w14:paraId="67F18F3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3910EF2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59B281E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302E6E9C" w14:textId="77777777" w:rsidR="00A00259" w:rsidRDefault="00371282">
            <w:pPr>
              <w:pStyle w:val="P68B1DB1-Normal12"/>
              <w:spacing w:after="0" w:line="240" w:lineRule="auto"/>
              <w:rPr>
                <w:rFonts w:eastAsia="Times New Roman"/>
                <w:noProof/>
              </w:rPr>
            </w:pPr>
            <w:r>
              <w:rPr>
                <w:noProof/>
              </w:rPr>
              <w:t>T4</w:t>
            </w:r>
          </w:p>
        </w:tc>
        <w:tc>
          <w:tcPr>
            <w:tcW w:w="713" w:type="dxa"/>
            <w:shd w:val="clear" w:color="auto" w:fill="C6EFCE"/>
            <w:noWrap/>
          </w:tcPr>
          <w:p w14:paraId="00561B89" w14:textId="77777777" w:rsidR="00A00259" w:rsidRDefault="00371282">
            <w:pPr>
              <w:pStyle w:val="P68B1DB1-Normal12"/>
              <w:spacing w:after="0" w:line="240" w:lineRule="auto"/>
              <w:rPr>
                <w:rFonts w:eastAsia="Times New Roman"/>
                <w:noProof/>
              </w:rPr>
            </w:pPr>
            <w:r>
              <w:rPr>
                <w:noProof/>
              </w:rPr>
              <w:t>2024</w:t>
            </w:r>
          </w:p>
        </w:tc>
        <w:tc>
          <w:tcPr>
            <w:tcW w:w="3402" w:type="dxa"/>
            <w:shd w:val="clear" w:color="auto" w:fill="C6EFCE"/>
            <w:noWrap/>
          </w:tcPr>
          <w:p w14:paraId="026B077A" w14:textId="77777777" w:rsidR="00A00259" w:rsidRDefault="00371282">
            <w:pPr>
              <w:pStyle w:val="P68B1DB1-Normal27"/>
              <w:spacing w:after="0" w:line="240" w:lineRule="auto"/>
              <w:rPr>
                <w:noProof/>
              </w:rPr>
            </w:pPr>
            <w:r>
              <w:rPr>
                <w:noProof/>
              </w:rPr>
              <w:t>Transformation numérique et simplification des procédures en place concernant a) la délivrance, le remplacement et le renouvellement des permis de conduire, b) le transfert des véhicules, c) la délivrance des permis et plaques d'immatriculation, et d) les examens de permis de conduire.</w:t>
            </w:r>
          </w:p>
        </w:tc>
      </w:tr>
      <w:tr w:rsidR="00A00259" w14:paraId="25459C72" w14:textId="77777777">
        <w:trPr>
          <w:trHeight w:val="313"/>
          <w:jc w:val="center"/>
        </w:trPr>
        <w:tc>
          <w:tcPr>
            <w:tcW w:w="591" w:type="dxa"/>
            <w:shd w:val="clear" w:color="auto" w:fill="C6EFCE"/>
            <w:noWrap/>
          </w:tcPr>
          <w:p w14:paraId="3243DBC3" w14:textId="77777777" w:rsidR="00A00259" w:rsidRDefault="00371282">
            <w:pPr>
              <w:pStyle w:val="P68B1DB1-Normal12"/>
              <w:spacing w:after="0" w:line="240" w:lineRule="auto"/>
              <w:rPr>
                <w:rFonts w:eastAsia="Times New Roman"/>
                <w:noProof/>
              </w:rPr>
            </w:pPr>
            <w:r>
              <w:rPr>
                <w:noProof/>
              </w:rPr>
              <w:t>349</w:t>
            </w:r>
          </w:p>
        </w:tc>
        <w:tc>
          <w:tcPr>
            <w:tcW w:w="2665" w:type="dxa"/>
            <w:shd w:val="clear" w:color="auto" w:fill="C6EFCE"/>
            <w:noWrap/>
          </w:tcPr>
          <w:p w14:paraId="7052837B" w14:textId="68BBD5D6" w:rsidR="00A00259" w:rsidRDefault="00371282">
            <w:pPr>
              <w:pStyle w:val="P68B1DB1-Normal12"/>
              <w:spacing w:after="0" w:line="240" w:lineRule="auto"/>
              <w:rPr>
                <w:rFonts w:eastAsia="Times New Roman"/>
                <w:noProof/>
              </w:rPr>
            </w:pPr>
            <w:r>
              <w:rPr>
                <w:noProof/>
              </w:rPr>
              <w:t>17 - 4.6. Moderniser et améliorer la résilience des secteurs économiques clés - 16999_Travaux de restauration suite aux effets dévastateurs des tempêtes "DANIEL" et "ELIAS" et "IANOS"</w:t>
            </w:r>
          </w:p>
        </w:tc>
        <w:tc>
          <w:tcPr>
            <w:tcW w:w="1134" w:type="dxa"/>
            <w:shd w:val="clear" w:color="auto" w:fill="C6EFCE"/>
            <w:noWrap/>
          </w:tcPr>
          <w:p w14:paraId="288AF601" w14:textId="77777777" w:rsidR="00A00259" w:rsidRDefault="00371282">
            <w:pPr>
              <w:pStyle w:val="P68B1DB1-Normal12"/>
              <w:spacing w:after="0" w:line="240" w:lineRule="auto"/>
              <w:rPr>
                <w:rFonts w:eastAsia="Times New Roman"/>
                <w:noProof/>
              </w:rPr>
            </w:pPr>
            <w:r>
              <w:rPr>
                <w:noProof/>
              </w:rPr>
              <w:t>Étape</w:t>
            </w:r>
          </w:p>
        </w:tc>
        <w:tc>
          <w:tcPr>
            <w:tcW w:w="1842" w:type="dxa"/>
            <w:shd w:val="clear" w:color="auto" w:fill="C6EFCE"/>
            <w:noWrap/>
          </w:tcPr>
          <w:p w14:paraId="760C42A0" w14:textId="77777777" w:rsidR="00A00259" w:rsidRDefault="00371282">
            <w:pPr>
              <w:pStyle w:val="P68B1DB1-Normal12"/>
              <w:spacing w:after="0" w:line="240" w:lineRule="auto"/>
              <w:rPr>
                <w:rFonts w:eastAsia="Times New Roman"/>
                <w:noProof/>
              </w:rPr>
            </w:pPr>
            <w:r>
              <w:rPr>
                <w:noProof/>
              </w:rPr>
              <w:t>Construction de projets de remise en état de routes</w:t>
            </w:r>
          </w:p>
        </w:tc>
        <w:tc>
          <w:tcPr>
            <w:tcW w:w="2127" w:type="dxa"/>
            <w:shd w:val="clear" w:color="auto" w:fill="C6EFCE"/>
            <w:noWrap/>
          </w:tcPr>
          <w:p w14:paraId="4F64F227" w14:textId="77777777" w:rsidR="00A00259" w:rsidRDefault="00371282">
            <w:pPr>
              <w:pStyle w:val="P68B1DB1-Normal23"/>
              <w:spacing w:after="0" w:line="240" w:lineRule="auto"/>
              <w:rPr>
                <w:noProof/>
              </w:rPr>
            </w:pPr>
            <w:r>
              <w:rPr>
                <w:noProof/>
              </w:rPr>
              <w:t>Travaux de restauration exécutés</w:t>
            </w:r>
          </w:p>
        </w:tc>
        <w:tc>
          <w:tcPr>
            <w:tcW w:w="992" w:type="dxa"/>
            <w:shd w:val="clear" w:color="auto" w:fill="C6EFCE"/>
            <w:noWrap/>
          </w:tcPr>
          <w:p w14:paraId="6EAAB01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253227B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102B5F4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6AF38DB8" w14:textId="77777777" w:rsidR="00A00259" w:rsidRDefault="00371282">
            <w:pPr>
              <w:pStyle w:val="P68B1DB1-Normal12"/>
              <w:spacing w:after="0" w:line="240" w:lineRule="auto"/>
              <w:rPr>
                <w:rFonts w:eastAsia="Times New Roman"/>
                <w:noProof/>
              </w:rPr>
            </w:pPr>
            <w:r>
              <w:rPr>
                <w:noProof/>
              </w:rPr>
              <w:t>T4</w:t>
            </w:r>
          </w:p>
        </w:tc>
        <w:tc>
          <w:tcPr>
            <w:tcW w:w="713" w:type="dxa"/>
            <w:shd w:val="clear" w:color="auto" w:fill="C6EFCE"/>
            <w:noWrap/>
          </w:tcPr>
          <w:p w14:paraId="1C90C501" w14:textId="77777777" w:rsidR="00A00259" w:rsidRDefault="00371282">
            <w:pPr>
              <w:pStyle w:val="P68B1DB1-Normal12"/>
              <w:spacing w:after="0" w:line="240" w:lineRule="auto"/>
              <w:rPr>
                <w:rFonts w:eastAsia="Times New Roman"/>
                <w:noProof/>
              </w:rPr>
            </w:pPr>
            <w:r>
              <w:rPr>
                <w:noProof/>
              </w:rPr>
              <w:t>2025</w:t>
            </w:r>
          </w:p>
        </w:tc>
        <w:tc>
          <w:tcPr>
            <w:tcW w:w="3402" w:type="dxa"/>
            <w:shd w:val="clear" w:color="auto" w:fill="C6EFCE"/>
            <w:noWrap/>
          </w:tcPr>
          <w:p w14:paraId="78E28642" w14:textId="5F437ED5" w:rsidR="00A00259" w:rsidRDefault="00371282">
            <w:pPr>
              <w:pStyle w:val="P68B1DB1-Normal12"/>
              <w:spacing w:after="0" w:line="240" w:lineRule="auto"/>
              <w:rPr>
                <w:rFonts w:eastAsia="Times New Roman"/>
                <w:noProof/>
              </w:rPr>
            </w:pPr>
            <w:r>
              <w:rPr>
                <w:noProof/>
              </w:rPr>
              <w:t>Travaux de restauration exécutés à 132 emplacements du réseau routier dans les zones touchées par les tempêtes "DANIEL" et "ELIAS".</w:t>
            </w:r>
          </w:p>
        </w:tc>
      </w:tr>
      <w:tr w:rsidR="00A00259" w14:paraId="703ADBF0" w14:textId="77777777">
        <w:trPr>
          <w:trHeight w:val="1815"/>
          <w:jc w:val="center"/>
        </w:trPr>
        <w:tc>
          <w:tcPr>
            <w:tcW w:w="591" w:type="dxa"/>
            <w:shd w:val="clear" w:color="auto" w:fill="C6EFCE"/>
            <w:noWrap/>
          </w:tcPr>
          <w:p w14:paraId="68F60A7B" w14:textId="33312516" w:rsidR="00A00259" w:rsidRDefault="00371282">
            <w:pPr>
              <w:pStyle w:val="P68B1DB1-Normal12"/>
              <w:spacing w:after="0" w:line="240" w:lineRule="auto"/>
              <w:rPr>
                <w:noProof/>
              </w:rPr>
            </w:pPr>
            <w:r>
              <w:rPr>
                <w:noProof/>
              </w:rPr>
              <w:t>349 bis</w:t>
            </w:r>
          </w:p>
        </w:tc>
        <w:tc>
          <w:tcPr>
            <w:tcW w:w="2665" w:type="dxa"/>
            <w:shd w:val="clear" w:color="auto" w:fill="C6EFCE"/>
            <w:noWrap/>
          </w:tcPr>
          <w:p w14:paraId="41FD0233" w14:textId="45076D92" w:rsidR="00A00259" w:rsidRDefault="00371282">
            <w:pPr>
              <w:pStyle w:val="P68B1DB1-Normal12"/>
              <w:spacing w:after="0" w:line="240" w:lineRule="auto"/>
              <w:rPr>
                <w:noProof/>
              </w:rPr>
            </w:pPr>
            <w:r>
              <w:rPr>
                <w:noProof/>
              </w:rPr>
              <w:t>17 - 4.6. Moderniser et améliorer la résilience des secteurs économiques clés - 16999_Travaux de restauration suite aux effets dévastateurs des tempêtes "DANIEL", "ELIAS" et "IANOS"</w:t>
            </w:r>
          </w:p>
        </w:tc>
        <w:tc>
          <w:tcPr>
            <w:tcW w:w="1134" w:type="dxa"/>
            <w:shd w:val="clear" w:color="auto" w:fill="C6EFCE"/>
            <w:noWrap/>
          </w:tcPr>
          <w:p w14:paraId="224A3F7D" w14:textId="670E01FA" w:rsidR="00A00259" w:rsidRDefault="00371282">
            <w:pPr>
              <w:pStyle w:val="P68B1DB1-Normal12"/>
              <w:spacing w:after="0" w:line="240" w:lineRule="auto"/>
              <w:rPr>
                <w:noProof/>
              </w:rPr>
            </w:pPr>
            <w:r>
              <w:rPr>
                <w:noProof/>
              </w:rPr>
              <w:t>Étape</w:t>
            </w:r>
          </w:p>
        </w:tc>
        <w:tc>
          <w:tcPr>
            <w:tcW w:w="1842" w:type="dxa"/>
            <w:shd w:val="clear" w:color="auto" w:fill="C6EFCE"/>
            <w:noWrap/>
          </w:tcPr>
          <w:p w14:paraId="1572538A" w14:textId="2100418A" w:rsidR="00A00259" w:rsidRDefault="00371282">
            <w:pPr>
              <w:pStyle w:val="P68B1DB1-Normal12"/>
              <w:spacing w:after="0" w:line="240" w:lineRule="auto"/>
              <w:rPr>
                <w:noProof/>
              </w:rPr>
            </w:pPr>
            <w:r>
              <w:rPr>
                <w:noProof/>
              </w:rPr>
              <w:t>Restauration de tronçons routiers</w:t>
            </w:r>
          </w:p>
        </w:tc>
        <w:tc>
          <w:tcPr>
            <w:tcW w:w="2127" w:type="dxa"/>
            <w:shd w:val="clear" w:color="auto" w:fill="C6EFCE"/>
            <w:noWrap/>
          </w:tcPr>
          <w:p w14:paraId="5DFB804A" w14:textId="75E62898" w:rsidR="00A00259" w:rsidRDefault="00371282">
            <w:pPr>
              <w:pStyle w:val="P68B1DB1-Normal23"/>
              <w:spacing w:after="0" w:line="240" w:lineRule="auto"/>
              <w:rPr>
                <w:noProof/>
              </w:rPr>
            </w:pPr>
            <w:r>
              <w:rPr>
                <w:noProof/>
              </w:rPr>
              <w:t>Travaux de restauration exécutés </w:t>
            </w:r>
          </w:p>
        </w:tc>
        <w:tc>
          <w:tcPr>
            <w:tcW w:w="992" w:type="dxa"/>
            <w:shd w:val="clear" w:color="auto" w:fill="C6EFCE"/>
            <w:noWrap/>
          </w:tcPr>
          <w:p w14:paraId="147588B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7C0A117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294E002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3068382D" w14:textId="19B0556B" w:rsidR="00A00259" w:rsidRDefault="00371282">
            <w:pPr>
              <w:pStyle w:val="P68B1DB1-Normal12"/>
              <w:spacing w:after="0" w:line="240" w:lineRule="auto"/>
              <w:rPr>
                <w:noProof/>
              </w:rPr>
            </w:pPr>
            <w:r>
              <w:rPr>
                <w:noProof/>
              </w:rPr>
              <w:t>T1</w:t>
            </w:r>
          </w:p>
        </w:tc>
        <w:tc>
          <w:tcPr>
            <w:tcW w:w="713" w:type="dxa"/>
            <w:shd w:val="clear" w:color="auto" w:fill="C6EFCE"/>
            <w:noWrap/>
          </w:tcPr>
          <w:p w14:paraId="293FDAAF" w14:textId="1CC9A9A3" w:rsidR="00A00259" w:rsidRDefault="00371282">
            <w:pPr>
              <w:pStyle w:val="P68B1DB1-Normal12"/>
              <w:spacing w:after="0" w:line="240" w:lineRule="auto"/>
              <w:rPr>
                <w:noProof/>
              </w:rPr>
            </w:pPr>
            <w:r>
              <w:rPr>
                <w:noProof/>
              </w:rPr>
              <w:t>2025</w:t>
            </w:r>
          </w:p>
        </w:tc>
        <w:tc>
          <w:tcPr>
            <w:tcW w:w="3402" w:type="dxa"/>
            <w:shd w:val="clear" w:color="auto" w:fill="C6EFCE"/>
            <w:noWrap/>
          </w:tcPr>
          <w:p w14:paraId="11B5383B" w14:textId="7F7D9BCA" w:rsidR="00A00259" w:rsidRDefault="00371282">
            <w:pPr>
              <w:pStyle w:val="P68B1DB1-Normal12"/>
              <w:spacing w:after="0" w:line="240" w:lineRule="auto"/>
              <w:rPr>
                <w:noProof/>
              </w:rPr>
            </w:pPr>
            <w:r>
              <w:rPr>
                <w:noProof/>
              </w:rPr>
              <w:t>Travaux de restauration réalisés sur 28 tronçons routiers du réseau dans les zones touchées par le cyclone «IANOS».</w:t>
            </w:r>
          </w:p>
        </w:tc>
      </w:tr>
      <w:tr w:rsidR="00A00259" w14:paraId="55AE70B6" w14:textId="77777777">
        <w:trPr>
          <w:trHeight w:val="313"/>
          <w:jc w:val="center"/>
        </w:trPr>
        <w:tc>
          <w:tcPr>
            <w:tcW w:w="591" w:type="dxa"/>
            <w:shd w:val="clear" w:color="auto" w:fill="C6EFCE"/>
          </w:tcPr>
          <w:p w14:paraId="7A8F8EA9" w14:textId="77777777" w:rsidR="00A00259" w:rsidRDefault="00371282">
            <w:pPr>
              <w:pStyle w:val="P68B1DB1-Normal12"/>
              <w:spacing w:after="0" w:line="240" w:lineRule="auto"/>
              <w:rPr>
                <w:rFonts w:eastAsia="Times New Roman"/>
                <w:noProof/>
              </w:rPr>
            </w:pPr>
            <w:r>
              <w:rPr>
                <w:noProof/>
              </w:rPr>
              <w:t>350</w:t>
            </w:r>
          </w:p>
        </w:tc>
        <w:tc>
          <w:tcPr>
            <w:tcW w:w="2665" w:type="dxa"/>
            <w:shd w:val="clear" w:color="auto" w:fill="C6EFCE"/>
          </w:tcPr>
          <w:p w14:paraId="7060F402" w14:textId="0680AE51" w:rsidR="00A00259" w:rsidRDefault="00371282">
            <w:pPr>
              <w:pStyle w:val="P68B1DB1-Normal12"/>
              <w:spacing w:after="0" w:line="240" w:lineRule="auto"/>
              <w:rPr>
                <w:rFonts w:eastAsia="Times New Roman"/>
                <w:noProof/>
              </w:rPr>
            </w:pPr>
            <w:r>
              <w:rPr>
                <w:noProof/>
              </w:rPr>
              <w:t>17 - 4.6. Moderniser et améliorer la résilience des secteurs économiques clés - 16999_Travaux de restauration à la suite des effets dévastateurs des tempêtes «DANIEL», «ELIAS» et «IANOS»</w:t>
            </w:r>
          </w:p>
        </w:tc>
        <w:tc>
          <w:tcPr>
            <w:tcW w:w="1134" w:type="dxa"/>
            <w:shd w:val="clear" w:color="auto" w:fill="C6EFCE"/>
          </w:tcPr>
          <w:p w14:paraId="527DF26D" w14:textId="77777777" w:rsidR="00A00259" w:rsidRDefault="00371282">
            <w:pPr>
              <w:pStyle w:val="P68B1DB1-Normal12"/>
              <w:spacing w:after="0" w:line="240" w:lineRule="auto"/>
              <w:rPr>
                <w:rFonts w:eastAsia="Times New Roman"/>
                <w:noProof/>
              </w:rPr>
            </w:pPr>
            <w:r>
              <w:rPr>
                <w:noProof/>
              </w:rPr>
              <w:t>Étape</w:t>
            </w:r>
          </w:p>
        </w:tc>
        <w:tc>
          <w:tcPr>
            <w:tcW w:w="1842" w:type="dxa"/>
            <w:shd w:val="clear" w:color="auto" w:fill="C6EFCE"/>
          </w:tcPr>
          <w:p w14:paraId="44CA299F" w14:textId="50465D45" w:rsidR="00A00259" w:rsidRDefault="00371282">
            <w:pPr>
              <w:pStyle w:val="P68B1DB1-Normal12"/>
              <w:spacing w:after="0" w:line="240" w:lineRule="auto"/>
              <w:rPr>
                <w:rFonts w:eastAsia="Times New Roman"/>
                <w:noProof/>
              </w:rPr>
            </w:pPr>
            <w:r>
              <w:rPr>
                <w:noProof/>
              </w:rPr>
              <w:t>Travaux de restauration ferroviaire exécutés</w:t>
            </w:r>
          </w:p>
        </w:tc>
        <w:tc>
          <w:tcPr>
            <w:tcW w:w="2127" w:type="dxa"/>
            <w:shd w:val="clear" w:color="auto" w:fill="C6EFCE"/>
          </w:tcPr>
          <w:p w14:paraId="1AAB936D" w14:textId="4D85215B" w:rsidR="00A00259" w:rsidRDefault="00371282">
            <w:pPr>
              <w:pStyle w:val="P68B1DB1-Normal12"/>
              <w:spacing w:after="0" w:line="240" w:lineRule="auto"/>
              <w:rPr>
                <w:noProof/>
              </w:rPr>
            </w:pPr>
            <w:r>
              <w:rPr>
                <w:noProof/>
              </w:rPr>
              <w:t>Travaux de restauration ferroviaire exécutés</w:t>
            </w:r>
          </w:p>
        </w:tc>
        <w:tc>
          <w:tcPr>
            <w:tcW w:w="992" w:type="dxa"/>
            <w:shd w:val="clear" w:color="auto" w:fill="C6EFCE"/>
          </w:tcPr>
          <w:p w14:paraId="43438E3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tcPr>
          <w:p w14:paraId="11B2E69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tcPr>
          <w:p w14:paraId="1744DAD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tcPr>
          <w:p w14:paraId="478C357C" w14:textId="77777777" w:rsidR="00A00259" w:rsidRDefault="00371282">
            <w:pPr>
              <w:pStyle w:val="P68B1DB1-Normal12"/>
              <w:spacing w:after="0" w:line="240" w:lineRule="auto"/>
              <w:rPr>
                <w:rFonts w:eastAsia="Times New Roman"/>
                <w:noProof/>
              </w:rPr>
            </w:pPr>
            <w:r>
              <w:rPr>
                <w:noProof/>
              </w:rPr>
              <w:t>T4</w:t>
            </w:r>
          </w:p>
        </w:tc>
        <w:tc>
          <w:tcPr>
            <w:tcW w:w="713" w:type="dxa"/>
            <w:shd w:val="clear" w:color="auto" w:fill="C6EFCE"/>
          </w:tcPr>
          <w:p w14:paraId="68ECA58B" w14:textId="77777777" w:rsidR="00A00259" w:rsidRDefault="00371282">
            <w:pPr>
              <w:pStyle w:val="P68B1DB1-Normal12"/>
              <w:spacing w:after="0" w:line="240" w:lineRule="auto"/>
              <w:rPr>
                <w:rFonts w:eastAsia="Times New Roman"/>
                <w:noProof/>
              </w:rPr>
            </w:pPr>
            <w:r>
              <w:rPr>
                <w:noProof/>
              </w:rPr>
              <w:t>2025</w:t>
            </w:r>
          </w:p>
        </w:tc>
        <w:tc>
          <w:tcPr>
            <w:tcW w:w="3402" w:type="dxa"/>
            <w:shd w:val="clear" w:color="auto" w:fill="C6EFCE"/>
          </w:tcPr>
          <w:p w14:paraId="7FC1CFFA" w14:textId="4EFD1D7C" w:rsidR="00A00259" w:rsidRDefault="00371282">
            <w:pPr>
              <w:pStyle w:val="P68B1DB1-Normal12"/>
              <w:spacing w:after="0" w:line="240" w:lineRule="auto"/>
              <w:rPr>
                <w:noProof/>
              </w:rPr>
            </w:pPr>
            <w:r>
              <w:rPr>
                <w:noProof/>
              </w:rPr>
              <w:t>Certificats d'achèvement confirmant l'exécution de travaux de restauration sur des parties du réseau ferroviaire et plus particulièrement:</w:t>
            </w:r>
          </w:p>
          <w:p w14:paraId="49549F02" w14:textId="0C6998E5" w:rsidR="00A00259" w:rsidRDefault="00371282">
            <w:pPr>
              <w:pStyle w:val="P68B1DB1-Normal12"/>
              <w:spacing w:after="0" w:line="240" w:lineRule="auto"/>
              <w:rPr>
                <w:noProof/>
              </w:rPr>
            </w:pPr>
            <w:r>
              <w:rPr>
                <w:noProof/>
              </w:rPr>
              <w:t>- les sections de Domokos à Krannona de l'axe principal Athènes-Thessalonique,</w:t>
            </w:r>
          </w:p>
          <w:p w14:paraId="4E64ECDD" w14:textId="77777777" w:rsidR="00A00259" w:rsidRDefault="00371282">
            <w:pPr>
              <w:pStyle w:val="P68B1DB1-Normal12"/>
              <w:spacing w:after="0" w:line="240" w:lineRule="auto"/>
              <w:rPr>
                <w:noProof/>
              </w:rPr>
            </w:pPr>
            <w:r>
              <w:rPr>
                <w:noProof/>
              </w:rPr>
              <w:t>- les sections de la Larissa à Kypseli de l'axe Larissa-Volos, restaurées à la couche de formation de la voie</w:t>
            </w:r>
          </w:p>
          <w:p w14:paraId="10DFABA9" w14:textId="77777777" w:rsidR="00A00259" w:rsidRDefault="00371282">
            <w:pPr>
              <w:pStyle w:val="P68B1DB1-Normal12"/>
              <w:spacing w:after="0" w:line="240" w:lineRule="auto"/>
              <w:rPr>
                <w:noProof/>
              </w:rPr>
            </w:pPr>
            <w:r>
              <w:rPr>
                <w:noProof/>
              </w:rPr>
              <w:t>- Paléofarsalos - Kalambaka,</w:t>
            </w:r>
          </w:p>
          <w:p w14:paraId="6FC92FE8" w14:textId="77777777" w:rsidR="00A00259" w:rsidRDefault="00371282">
            <w:pPr>
              <w:pStyle w:val="P68B1DB1-Normal12"/>
              <w:spacing w:after="0" w:line="240" w:lineRule="auto"/>
              <w:rPr>
                <w:noProof/>
              </w:rPr>
            </w:pPr>
            <w:r>
              <w:rPr>
                <w:noProof/>
              </w:rPr>
              <w:t>- Ligne Pelion.</w:t>
            </w:r>
          </w:p>
          <w:p w14:paraId="2598101A" w14:textId="171713B1" w:rsidR="00A00259" w:rsidRDefault="00371282">
            <w:pPr>
              <w:pStyle w:val="P68B1DB1-Normal12"/>
              <w:spacing w:after="0" w:line="240" w:lineRule="auto"/>
              <w:rPr>
                <w:noProof/>
              </w:rPr>
            </w:pPr>
            <w:r>
              <w:rPr>
                <w:noProof/>
              </w:rPr>
              <w:t>Établissement d’un plan de passation de marchés pour accompagner les investissements en matière de sécurité ferroviaire et pour l’entretien régulier de ces tronçons de réseau ferroviaire, indiquant le calendrier pour l’achat, l’installation, les essais et la mise en service de tous les systèmes ERTMS ainsi que pour l’établissement d’un ou de plusieurs accords à long terme pour la fourniture de services d’entretien régulier.</w:t>
            </w:r>
          </w:p>
        </w:tc>
      </w:tr>
      <w:tr w:rsidR="00A00259" w14:paraId="0EC1BE1F" w14:textId="77777777">
        <w:trPr>
          <w:trHeight w:val="300"/>
          <w:jc w:val="center"/>
        </w:trPr>
        <w:tc>
          <w:tcPr>
            <w:tcW w:w="591" w:type="dxa"/>
            <w:shd w:val="clear" w:color="auto" w:fill="C6EFCE"/>
          </w:tcPr>
          <w:p w14:paraId="2026E9F5" w14:textId="77777777" w:rsidR="00A00259" w:rsidRDefault="00371282">
            <w:pPr>
              <w:pStyle w:val="P68B1DB1-Normal12"/>
              <w:spacing w:after="0" w:line="240" w:lineRule="auto"/>
              <w:rPr>
                <w:rFonts w:eastAsia="Times New Roman"/>
                <w:noProof/>
              </w:rPr>
            </w:pPr>
            <w:r>
              <w:rPr>
                <w:noProof/>
              </w:rPr>
              <w:t>350a</w:t>
            </w:r>
          </w:p>
          <w:p w14:paraId="0FEA2EC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2665" w:type="dxa"/>
            <w:shd w:val="clear" w:color="auto" w:fill="C6EFCE"/>
          </w:tcPr>
          <w:p w14:paraId="26123D4D" w14:textId="6FC87A3C" w:rsidR="00A00259" w:rsidRDefault="00371282">
            <w:pPr>
              <w:pStyle w:val="P68B1DB1-Normal12"/>
              <w:spacing w:after="0" w:line="240" w:lineRule="auto"/>
              <w:rPr>
                <w:rFonts w:eastAsia="Times New Roman"/>
                <w:noProof/>
              </w:rPr>
            </w:pPr>
            <w:r>
              <w:rPr>
                <w:noProof/>
              </w:rPr>
              <w:t xml:space="preserve"> - 4.6. Moderniser et améliorer la résilience des secteurs économiques clés - 16999_Travaux de restauration à la suite des effets dévastateurs des tempêtes «DANIEL», «ELIAS» et «IANOS»</w:t>
            </w:r>
          </w:p>
          <w:p w14:paraId="24C669B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tcPr>
          <w:p w14:paraId="6AD395C2" w14:textId="77777777" w:rsidR="00A00259" w:rsidRDefault="00371282">
            <w:pPr>
              <w:pStyle w:val="P68B1DB1-Normal12"/>
              <w:spacing w:after="0" w:line="240" w:lineRule="auto"/>
              <w:rPr>
                <w:rFonts w:eastAsia="Times New Roman"/>
                <w:noProof/>
              </w:rPr>
            </w:pPr>
            <w:r>
              <w:rPr>
                <w:noProof/>
              </w:rPr>
              <w:t>Étape</w:t>
            </w:r>
          </w:p>
        </w:tc>
        <w:tc>
          <w:tcPr>
            <w:tcW w:w="1842" w:type="dxa"/>
            <w:shd w:val="clear" w:color="auto" w:fill="C6EFCE"/>
          </w:tcPr>
          <w:p w14:paraId="73FDDCD7" w14:textId="3EF7AB23" w:rsidR="00A00259" w:rsidRDefault="00371282">
            <w:pPr>
              <w:pStyle w:val="P68B1DB1-Normal27"/>
              <w:spacing w:after="0" w:line="240" w:lineRule="auto"/>
              <w:rPr>
                <w:noProof/>
              </w:rPr>
            </w:pPr>
            <w:r>
              <w:rPr>
                <w:noProof/>
              </w:rPr>
              <w:t>Systèmes de signalisation ferroviaire et de détection des trains et ETCS</w:t>
            </w:r>
          </w:p>
        </w:tc>
        <w:tc>
          <w:tcPr>
            <w:tcW w:w="2127" w:type="dxa"/>
            <w:shd w:val="clear" w:color="auto" w:fill="C6EFCE"/>
          </w:tcPr>
          <w:p w14:paraId="6D0E1BB0" w14:textId="65E9FB90" w:rsidR="00A00259" w:rsidRDefault="00371282">
            <w:pPr>
              <w:pStyle w:val="P68B1DB1-Normal27"/>
              <w:spacing w:after="0" w:line="240" w:lineRule="auto"/>
              <w:rPr>
                <w:noProof/>
              </w:rPr>
            </w:pPr>
            <w:r>
              <w:rPr>
                <w:noProof/>
              </w:rPr>
              <w:t>Installation de systèmes de signalisation ferroviaire et de détection des trains et d’équipements au sol de niveau 1 de l’ETCS de Paleofarsalos à Krannona</w:t>
            </w:r>
          </w:p>
        </w:tc>
        <w:tc>
          <w:tcPr>
            <w:tcW w:w="992" w:type="dxa"/>
            <w:shd w:val="clear" w:color="auto" w:fill="C6EFCE"/>
          </w:tcPr>
          <w:p w14:paraId="51492B3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tcPr>
          <w:p w14:paraId="7F0CD08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tcPr>
          <w:p w14:paraId="29A981B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tcPr>
          <w:p w14:paraId="66E166CC" w14:textId="77777777" w:rsidR="00A00259" w:rsidRDefault="00371282">
            <w:pPr>
              <w:pStyle w:val="P68B1DB1-Normal12"/>
              <w:spacing w:after="0" w:line="240" w:lineRule="auto"/>
              <w:rPr>
                <w:rFonts w:eastAsia="Times New Roman"/>
                <w:noProof/>
              </w:rPr>
            </w:pPr>
            <w:r>
              <w:rPr>
                <w:noProof/>
              </w:rPr>
              <w:t>T4</w:t>
            </w:r>
          </w:p>
        </w:tc>
        <w:tc>
          <w:tcPr>
            <w:tcW w:w="713" w:type="dxa"/>
            <w:shd w:val="clear" w:color="auto" w:fill="C6EFCE"/>
          </w:tcPr>
          <w:p w14:paraId="703197D8" w14:textId="77777777" w:rsidR="00A00259" w:rsidRDefault="00371282">
            <w:pPr>
              <w:pStyle w:val="P68B1DB1-Normal12"/>
              <w:spacing w:after="0" w:line="240" w:lineRule="auto"/>
              <w:rPr>
                <w:rFonts w:eastAsia="Times New Roman"/>
                <w:noProof/>
              </w:rPr>
            </w:pPr>
            <w:r>
              <w:rPr>
                <w:noProof/>
              </w:rPr>
              <w:t>2025</w:t>
            </w:r>
          </w:p>
        </w:tc>
        <w:tc>
          <w:tcPr>
            <w:tcW w:w="3402" w:type="dxa"/>
            <w:shd w:val="clear" w:color="auto" w:fill="C6EFCE"/>
          </w:tcPr>
          <w:p w14:paraId="399B1D59" w14:textId="25CFD1AF" w:rsidR="00A00259" w:rsidRDefault="00371282">
            <w:pPr>
              <w:pStyle w:val="P68B1DB1-Normal27"/>
              <w:spacing w:after="0" w:line="240" w:lineRule="auto"/>
              <w:rPr>
                <w:noProof/>
              </w:rPr>
            </w:pPr>
            <w:r>
              <w:rPr>
                <w:noProof/>
              </w:rPr>
              <w:t>Certificat(s) d’achèvement ou protocole(s) d’acceptation confirmant l’installation des systèmes de signalisation ferroviaire et de détection des trains et du système européen de contrôle des trains - équipement au sol ETCS de niveau 1 le long du tronçon ferroviaire à double voie de Paleofarsalos à Krannona.</w:t>
            </w:r>
          </w:p>
        </w:tc>
      </w:tr>
    </w:tbl>
    <w:p w14:paraId="3BF5F66F" w14:textId="77777777" w:rsidR="00A00259" w:rsidRDefault="00A00259">
      <w:pPr>
        <w:keepNext/>
        <w:keepLines/>
        <w:spacing w:before="40" w:after="0" w:line="240" w:lineRule="auto"/>
        <w:jc w:val="both"/>
        <w:outlineLvl w:val="4"/>
        <w:rPr>
          <w:rFonts w:ascii="Cambria" w:hAnsi="Cambria"/>
          <w:noProof/>
          <w:color w:val="365F91"/>
          <w:sz w:val="24"/>
        </w:rPr>
      </w:pPr>
    </w:p>
    <w:p w14:paraId="0190E6D9" w14:textId="65FBD178" w:rsidR="00A00259" w:rsidRDefault="00371282">
      <w:pPr>
        <w:rPr>
          <w:rFonts w:eastAsia="Times New Roman"/>
          <w:noProof/>
        </w:rPr>
      </w:pPr>
      <w:r>
        <w:rPr>
          <w:noProof/>
        </w:rPr>
        <w:br w:type="page"/>
        <w:t>Groupe 25: Culture</w:t>
      </w:r>
    </w:p>
    <w:p w14:paraId="2EF4B5FA" w14:textId="77777777" w:rsidR="00A00259" w:rsidRDefault="00371282">
      <w:pPr>
        <w:pStyle w:val="P68B1DB1-Normal5"/>
        <w:numPr>
          <w:ilvl w:val="0"/>
          <w:numId w:val="80"/>
        </w:numPr>
        <w:spacing w:before="120" w:after="0" w:line="240" w:lineRule="auto"/>
        <w:jc w:val="both"/>
        <w:rPr>
          <w:rFonts w:cs="Times New Roman"/>
          <w:noProof/>
        </w:rPr>
      </w:pPr>
      <w:r>
        <w:rPr>
          <w:noProof/>
        </w:rPr>
        <w:t>Réforme du travail dans le secteur culturel (ID:16715)</w:t>
      </w:r>
    </w:p>
    <w:p w14:paraId="7CF5F290" w14:textId="77777777" w:rsidR="00A00259" w:rsidRDefault="00371282">
      <w:pPr>
        <w:pStyle w:val="P68B1DB1-Normal5"/>
        <w:numPr>
          <w:ilvl w:val="0"/>
          <w:numId w:val="80"/>
        </w:numPr>
        <w:spacing w:before="120" w:after="0" w:line="240" w:lineRule="auto"/>
        <w:jc w:val="both"/>
        <w:rPr>
          <w:rFonts w:cs="Times New Roman"/>
          <w:noProof/>
        </w:rPr>
      </w:pPr>
      <w:r>
        <w:rPr>
          <w:noProof/>
        </w:rPr>
        <w:t>La culture comme moteur de croissance (ID: 16293)</w:t>
      </w:r>
    </w:p>
    <w:p w14:paraId="1C8E3837" w14:textId="207F72B2" w:rsidR="00A00259" w:rsidRDefault="00371282">
      <w:pPr>
        <w:pStyle w:val="P68B1DB1-Normal50"/>
        <w:numPr>
          <w:ilvl w:val="0"/>
          <w:numId w:val="80"/>
        </w:numPr>
        <w:spacing w:before="120" w:after="0" w:line="240" w:lineRule="auto"/>
        <w:jc w:val="both"/>
        <w:rPr>
          <w:noProof/>
        </w:rPr>
      </w:pPr>
      <w:r>
        <w:rPr>
          <w:noProof/>
        </w:rPr>
        <w:t>Musée des antiquités sous-marines (ID: 16486)</w:t>
      </w:r>
    </w:p>
    <w:p w14:paraId="55BCC333" w14:textId="3509E543" w:rsidR="00A00259" w:rsidRDefault="00371282">
      <w:pPr>
        <w:pStyle w:val="P68B1DB1-Normal5"/>
        <w:numPr>
          <w:ilvl w:val="0"/>
          <w:numId w:val="80"/>
        </w:numPr>
        <w:spacing w:before="120" w:after="0" w:line="240" w:lineRule="auto"/>
        <w:jc w:val="both"/>
        <w:rPr>
          <w:rFonts w:cs="Times New Roman"/>
          <w:noProof/>
        </w:rPr>
      </w:pPr>
      <w:r>
        <w:rPr>
          <w:noProof/>
          <w:szCs w:val="24"/>
        </w:rPr>
        <w:t>Utiliser les «actions pilotes de prescription culturelle»,</w:t>
      </w:r>
      <w:r>
        <w:rPr>
          <w:noProof/>
        </w:rPr>
        <w:t xml:space="preserve"> promouvoir la cohésion sociale et tirer parti de l’économie de l’argent (ID: 16735)</w:t>
      </w:r>
    </w:p>
    <w:p w14:paraId="459965C7" w14:textId="7DF672AF" w:rsidR="00A00259" w:rsidRDefault="00371282">
      <w:pPr>
        <w:pStyle w:val="P68B1DB1-Normal7"/>
        <w:numPr>
          <w:ilvl w:val="0"/>
          <w:numId w:val="80"/>
        </w:numPr>
        <w:spacing w:before="120" w:after="0" w:line="240" w:lineRule="auto"/>
        <w:jc w:val="both"/>
        <w:rPr>
          <w:rFonts w:cs="Times New Roman"/>
          <w:noProof/>
        </w:rPr>
      </w:pPr>
      <w:r>
        <w:rPr>
          <w:noProof/>
        </w:rPr>
        <w:t>Mise à niveau de l’infrastructure et de l’équipement des magasins HOCRED (ID: 16536)</w:t>
      </w:r>
    </w:p>
    <w:p w14:paraId="28E26381" w14:textId="77777777" w:rsidR="00A00259" w:rsidRDefault="00371282">
      <w:pPr>
        <w:pStyle w:val="P68B1DB1-Normal5"/>
        <w:numPr>
          <w:ilvl w:val="0"/>
          <w:numId w:val="80"/>
        </w:numPr>
        <w:spacing w:before="120" w:after="0" w:line="240" w:lineRule="auto"/>
        <w:jc w:val="both"/>
        <w:rPr>
          <w:rFonts w:cs="Times New Roman"/>
          <w:noProof/>
        </w:rPr>
      </w:pPr>
      <w:r>
        <w:rPr>
          <w:noProof/>
        </w:rPr>
        <w:t>Protection des monuments culturels et des sites archéologiques contre le changement climatique (2e groupe) (ID: 16433)</w:t>
      </w:r>
    </w:p>
    <w:p w14:paraId="10100809" w14:textId="77777777" w:rsidR="00A00259" w:rsidRDefault="00371282">
      <w:pPr>
        <w:pStyle w:val="P68B1DB1-Normal5"/>
        <w:numPr>
          <w:ilvl w:val="0"/>
          <w:numId w:val="80"/>
        </w:numPr>
        <w:spacing w:before="120" w:after="0" w:line="240" w:lineRule="auto"/>
        <w:jc w:val="both"/>
        <w:rPr>
          <w:rFonts w:cs="Times New Roman"/>
          <w:noProof/>
        </w:rPr>
      </w:pPr>
      <w:r>
        <w:rPr>
          <w:noProof/>
        </w:rPr>
        <w:t>Amélioration de l'enseignement supérieur des arts (ID: 16725)</w:t>
      </w:r>
    </w:p>
    <w:p w14:paraId="5210EF46" w14:textId="1DABC079" w:rsidR="00A00259" w:rsidRDefault="00371282">
      <w:pPr>
        <w:pStyle w:val="P68B1DB1-Normal7"/>
        <w:numPr>
          <w:ilvl w:val="0"/>
          <w:numId w:val="80"/>
        </w:numPr>
        <w:spacing w:before="120" w:after="0" w:line="240" w:lineRule="auto"/>
        <w:jc w:val="both"/>
        <w:rPr>
          <w:rFonts w:cs="Times New Roman"/>
          <w:noProof/>
        </w:rPr>
      </w:pPr>
      <w:r>
        <w:rPr>
          <w:noProof/>
        </w:rPr>
        <w:t>Itinéraires culturels des sites et monuments archéologiques (ID: 16485)</w:t>
      </w:r>
    </w:p>
    <w:p w14:paraId="6EB83E7F" w14:textId="77777777" w:rsidR="00A00259" w:rsidRDefault="00371282">
      <w:pPr>
        <w:pStyle w:val="P68B1DB1-Normal5"/>
        <w:numPr>
          <w:ilvl w:val="0"/>
          <w:numId w:val="80"/>
        </w:numPr>
        <w:spacing w:before="120" w:after="0" w:line="240" w:lineRule="auto"/>
        <w:jc w:val="both"/>
        <w:rPr>
          <w:rFonts w:cs="Times New Roman"/>
          <w:noProof/>
        </w:rPr>
      </w:pPr>
      <w:r>
        <w:rPr>
          <w:noProof/>
        </w:rPr>
        <w:t>Restauration - Conservation - Mise en valeur des monuments de l'Acropole (ID: 16435)</w:t>
      </w:r>
    </w:p>
    <w:tbl>
      <w:tblPr>
        <w:tblW w:w="16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6"/>
        <w:gridCol w:w="2144"/>
        <w:gridCol w:w="1117"/>
        <w:gridCol w:w="1134"/>
        <w:gridCol w:w="2438"/>
        <w:gridCol w:w="1106"/>
        <w:gridCol w:w="1559"/>
        <w:gridCol w:w="1134"/>
        <w:gridCol w:w="992"/>
        <w:gridCol w:w="851"/>
        <w:gridCol w:w="3005"/>
      </w:tblGrid>
      <w:tr w:rsidR="00A00259" w14:paraId="6566461C" w14:textId="77777777" w:rsidTr="00096954">
        <w:trPr>
          <w:trHeight w:val="615"/>
          <w:tblHeader/>
          <w:jc w:val="center"/>
        </w:trPr>
        <w:tc>
          <w:tcPr>
            <w:tcW w:w="626" w:type="dxa"/>
            <w:vMerge w:val="restart"/>
            <w:shd w:val="clear" w:color="auto" w:fill="BDD7EE"/>
            <w:vAlign w:val="center"/>
            <w:hideMark/>
          </w:tcPr>
          <w:p w14:paraId="2D4287D2" w14:textId="77777777" w:rsidR="00A00259" w:rsidRDefault="00371282">
            <w:pPr>
              <w:pStyle w:val="P68B1DB1-Normal15"/>
              <w:spacing w:after="0" w:line="240" w:lineRule="auto"/>
              <w:jc w:val="center"/>
              <w:rPr>
                <w:rFonts w:eastAsia="Times New Roman"/>
                <w:noProof/>
              </w:rPr>
            </w:pPr>
            <w:r>
              <w:rPr>
                <w:noProof/>
              </w:rPr>
              <w:t xml:space="preserve">Seq. </w:t>
            </w:r>
            <w:r>
              <w:rPr>
                <w:noProof/>
              </w:rPr>
              <w:br/>
              <w:t>Non.</w:t>
            </w:r>
          </w:p>
        </w:tc>
        <w:tc>
          <w:tcPr>
            <w:tcW w:w="2144" w:type="dxa"/>
            <w:vMerge w:val="restart"/>
            <w:shd w:val="clear" w:color="auto" w:fill="BDD7EE"/>
            <w:vAlign w:val="center"/>
            <w:hideMark/>
          </w:tcPr>
          <w:p w14:paraId="6C615C87" w14:textId="77777777" w:rsidR="00A00259" w:rsidRDefault="00371282">
            <w:pPr>
              <w:pStyle w:val="P68B1DB1-Normal10"/>
              <w:spacing w:after="0" w:line="240" w:lineRule="auto"/>
              <w:jc w:val="center"/>
              <w:rPr>
                <w:rFonts w:eastAsia="Times New Roman" w:cs="Times New Roman"/>
                <w:noProof/>
                <w:szCs w:val="18"/>
              </w:rPr>
            </w:pPr>
            <w:r>
              <w:rPr>
                <w:noProof/>
              </w:rPr>
              <w:t>Mesure connexe (réforme ou investissement)</w:t>
            </w:r>
          </w:p>
        </w:tc>
        <w:tc>
          <w:tcPr>
            <w:tcW w:w="1117" w:type="dxa"/>
            <w:vMerge w:val="restart"/>
            <w:shd w:val="clear" w:color="auto" w:fill="BDD7EE"/>
            <w:vAlign w:val="center"/>
            <w:hideMark/>
          </w:tcPr>
          <w:p w14:paraId="6E278DB1" w14:textId="77777777" w:rsidR="00A00259" w:rsidRDefault="00371282">
            <w:pPr>
              <w:pStyle w:val="P68B1DB1-Normal10"/>
              <w:spacing w:after="0" w:line="240" w:lineRule="auto"/>
              <w:jc w:val="center"/>
              <w:rPr>
                <w:rFonts w:eastAsia="Times New Roman" w:cs="Times New Roman"/>
                <w:noProof/>
                <w:szCs w:val="18"/>
              </w:rPr>
            </w:pPr>
            <w:r>
              <w:rPr>
                <w:noProof/>
              </w:rPr>
              <w:t>Étape/cible</w:t>
            </w:r>
          </w:p>
        </w:tc>
        <w:tc>
          <w:tcPr>
            <w:tcW w:w="1134" w:type="dxa"/>
            <w:vMerge w:val="restart"/>
            <w:shd w:val="clear" w:color="auto" w:fill="BDD7EE"/>
            <w:vAlign w:val="center"/>
            <w:hideMark/>
          </w:tcPr>
          <w:p w14:paraId="7E73B9CE" w14:textId="77777777" w:rsidR="00A00259" w:rsidRDefault="00371282">
            <w:pPr>
              <w:pStyle w:val="P68B1DB1-Normal10"/>
              <w:spacing w:after="0" w:line="240" w:lineRule="auto"/>
              <w:jc w:val="center"/>
              <w:rPr>
                <w:rFonts w:eastAsia="Times New Roman" w:cs="Times New Roman"/>
                <w:noProof/>
                <w:szCs w:val="18"/>
              </w:rPr>
            </w:pPr>
            <w:r>
              <w:rPr>
                <w:noProof/>
              </w:rPr>
              <w:t>Nom</w:t>
            </w:r>
          </w:p>
        </w:tc>
        <w:tc>
          <w:tcPr>
            <w:tcW w:w="2438" w:type="dxa"/>
            <w:vMerge w:val="restart"/>
            <w:shd w:val="clear" w:color="auto" w:fill="BDD7EE"/>
            <w:vAlign w:val="center"/>
            <w:hideMark/>
          </w:tcPr>
          <w:p w14:paraId="38AC1371" w14:textId="77777777" w:rsidR="00A00259" w:rsidRDefault="00371282">
            <w:pPr>
              <w:pStyle w:val="P68B1DB1-Normal10"/>
              <w:spacing w:after="0" w:line="240" w:lineRule="auto"/>
              <w:jc w:val="center"/>
              <w:rPr>
                <w:rFonts w:eastAsia="Times New Roman" w:cs="Times New Roman"/>
                <w:noProof/>
                <w:szCs w:val="18"/>
              </w:rPr>
            </w:pPr>
            <w:r>
              <w:rPr>
                <w:noProof/>
              </w:rPr>
              <w:t>Indicateurs qualitatifs (pour les jalons)</w:t>
            </w:r>
          </w:p>
        </w:tc>
        <w:tc>
          <w:tcPr>
            <w:tcW w:w="3799" w:type="dxa"/>
            <w:gridSpan w:val="3"/>
            <w:shd w:val="clear" w:color="auto" w:fill="BDD7EE"/>
            <w:vAlign w:val="center"/>
            <w:hideMark/>
          </w:tcPr>
          <w:p w14:paraId="3C72966A" w14:textId="77777777" w:rsidR="00A00259" w:rsidRDefault="00371282">
            <w:pPr>
              <w:pStyle w:val="P68B1DB1-Normal10"/>
              <w:spacing w:after="0" w:line="240" w:lineRule="auto"/>
              <w:jc w:val="center"/>
              <w:rPr>
                <w:rFonts w:eastAsia="Times New Roman" w:cs="Times New Roman"/>
                <w:noProof/>
                <w:szCs w:val="18"/>
              </w:rPr>
            </w:pPr>
            <w:r>
              <w:rPr>
                <w:noProof/>
              </w:rPr>
              <w:t>Indicateurs quantitatifs (pour les objectifs)</w:t>
            </w:r>
          </w:p>
        </w:tc>
        <w:tc>
          <w:tcPr>
            <w:tcW w:w="1843" w:type="dxa"/>
            <w:gridSpan w:val="2"/>
            <w:shd w:val="clear" w:color="auto" w:fill="BDD7EE"/>
            <w:vAlign w:val="center"/>
            <w:hideMark/>
          </w:tcPr>
          <w:p w14:paraId="13013B79" w14:textId="77777777" w:rsidR="00A00259" w:rsidRDefault="00371282">
            <w:pPr>
              <w:pStyle w:val="P68B1DB1-Normal10"/>
              <w:spacing w:after="0" w:line="240" w:lineRule="auto"/>
              <w:jc w:val="center"/>
              <w:rPr>
                <w:rFonts w:eastAsia="Times New Roman" w:cs="Times New Roman"/>
                <w:noProof/>
                <w:szCs w:val="18"/>
              </w:rPr>
            </w:pPr>
            <w:r>
              <w:rPr>
                <w:noProof/>
              </w:rPr>
              <w:t xml:space="preserve">Calendrier indicatif d'achèvement </w:t>
            </w:r>
          </w:p>
        </w:tc>
        <w:tc>
          <w:tcPr>
            <w:tcW w:w="3005" w:type="dxa"/>
            <w:vMerge w:val="restart"/>
            <w:shd w:val="clear" w:color="auto" w:fill="BDD7EE"/>
            <w:vAlign w:val="center"/>
            <w:hideMark/>
          </w:tcPr>
          <w:p w14:paraId="31535811" w14:textId="77777777" w:rsidR="00A00259" w:rsidRDefault="00371282">
            <w:pPr>
              <w:pStyle w:val="P68B1DB1-Normal10"/>
              <w:spacing w:after="0" w:line="240" w:lineRule="auto"/>
              <w:jc w:val="center"/>
              <w:rPr>
                <w:rFonts w:eastAsia="Times New Roman" w:cs="Times New Roman"/>
                <w:noProof/>
                <w:szCs w:val="18"/>
              </w:rPr>
            </w:pPr>
            <w:r>
              <w:rPr>
                <w:noProof/>
              </w:rPr>
              <w:t>Description de chaque jalon et cible</w:t>
            </w:r>
          </w:p>
        </w:tc>
      </w:tr>
      <w:tr w:rsidR="00A00259" w14:paraId="1F967827" w14:textId="77777777" w:rsidTr="00096954">
        <w:trPr>
          <w:trHeight w:val="516"/>
          <w:tblHeader/>
          <w:jc w:val="center"/>
        </w:trPr>
        <w:tc>
          <w:tcPr>
            <w:tcW w:w="626" w:type="dxa"/>
            <w:vMerge/>
            <w:vAlign w:val="center"/>
            <w:hideMark/>
          </w:tcPr>
          <w:p w14:paraId="1F9C9A62" w14:textId="77777777" w:rsidR="00A00259" w:rsidRDefault="00A00259">
            <w:pPr>
              <w:spacing w:after="0" w:line="240" w:lineRule="auto"/>
              <w:rPr>
                <w:rFonts w:ascii="Times New Roman" w:eastAsia="Times New Roman" w:hAnsi="Times New Roman" w:cs="Times New Roman"/>
                <w:b/>
                <w:bCs/>
                <w:noProof/>
                <w:sz w:val="18"/>
                <w:szCs w:val="18"/>
              </w:rPr>
            </w:pPr>
          </w:p>
        </w:tc>
        <w:tc>
          <w:tcPr>
            <w:tcW w:w="2144" w:type="dxa"/>
            <w:vMerge/>
            <w:vAlign w:val="center"/>
            <w:hideMark/>
          </w:tcPr>
          <w:p w14:paraId="55DB5EE4" w14:textId="77777777" w:rsidR="00A00259" w:rsidRDefault="00A00259">
            <w:pPr>
              <w:spacing w:after="0" w:line="240" w:lineRule="auto"/>
              <w:rPr>
                <w:rFonts w:ascii="Times New Roman" w:eastAsia="Times New Roman" w:hAnsi="Times New Roman" w:cs="Times New Roman"/>
                <w:b/>
                <w:bCs/>
                <w:noProof/>
                <w:sz w:val="18"/>
                <w:szCs w:val="18"/>
              </w:rPr>
            </w:pPr>
          </w:p>
        </w:tc>
        <w:tc>
          <w:tcPr>
            <w:tcW w:w="1117" w:type="dxa"/>
            <w:vMerge/>
            <w:vAlign w:val="center"/>
            <w:hideMark/>
          </w:tcPr>
          <w:p w14:paraId="5BD440FF" w14:textId="77777777" w:rsidR="00A00259" w:rsidRDefault="00A00259">
            <w:pPr>
              <w:spacing w:after="0" w:line="240" w:lineRule="auto"/>
              <w:rPr>
                <w:rFonts w:ascii="Times New Roman" w:eastAsia="Times New Roman" w:hAnsi="Times New Roman" w:cs="Times New Roman"/>
                <w:b/>
                <w:bCs/>
                <w:noProof/>
                <w:sz w:val="18"/>
                <w:szCs w:val="18"/>
              </w:rPr>
            </w:pPr>
          </w:p>
        </w:tc>
        <w:tc>
          <w:tcPr>
            <w:tcW w:w="1134" w:type="dxa"/>
            <w:vMerge/>
            <w:vAlign w:val="center"/>
            <w:hideMark/>
          </w:tcPr>
          <w:p w14:paraId="78CE4D40" w14:textId="77777777" w:rsidR="00A00259" w:rsidRDefault="00A00259">
            <w:pPr>
              <w:spacing w:after="0" w:line="240" w:lineRule="auto"/>
              <w:rPr>
                <w:rFonts w:ascii="Times New Roman" w:eastAsia="Times New Roman" w:hAnsi="Times New Roman" w:cs="Times New Roman"/>
                <w:b/>
                <w:bCs/>
                <w:noProof/>
                <w:sz w:val="18"/>
                <w:szCs w:val="18"/>
              </w:rPr>
            </w:pPr>
          </w:p>
        </w:tc>
        <w:tc>
          <w:tcPr>
            <w:tcW w:w="2438" w:type="dxa"/>
            <w:vMerge/>
            <w:vAlign w:val="center"/>
            <w:hideMark/>
          </w:tcPr>
          <w:p w14:paraId="1D768F8E" w14:textId="77777777" w:rsidR="00A00259" w:rsidRDefault="00A00259">
            <w:pPr>
              <w:spacing w:after="0" w:line="240" w:lineRule="auto"/>
              <w:rPr>
                <w:rFonts w:ascii="Times New Roman" w:eastAsia="Times New Roman" w:hAnsi="Times New Roman" w:cs="Times New Roman"/>
                <w:b/>
                <w:bCs/>
                <w:noProof/>
                <w:sz w:val="18"/>
                <w:szCs w:val="18"/>
              </w:rPr>
            </w:pPr>
          </w:p>
        </w:tc>
        <w:tc>
          <w:tcPr>
            <w:tcW w:w="110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86E0570" w14:textId="77777777" w:rsidR="00A00259" w:rsidRDefault="00371282">
            <w:pPr>
              <w:pStyle w:val="P68B1DB1-Normal10"/>
              <w:spacing w:after="0" w:line="240" w:lineRule="auto"/>
              <w:jc w:val="center"/>
              <w:rPr>
                <w:rFonts w:eastAsia="Times New Roman" w:cs="Times New Roman"/>
                <w:noProof/>
                <w:szCs w:val="18"/>
              </w:rPr>
            </w:pPr>
            <w:r>
              <w:rPr>
                <w:noProof/>
              </w:rPr>
              <w:t>Unité de mesure</w:t>
            </w:r>
          </w:p>
        </w:tc>
        <w:tc>
          <w:tcPr>
            <w:tcW w:w="15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FD38522" w14:textId="77777777" w:rsidR="00A00259" w:rsidRDefault="00371282">
            <w:pPr>
              <w:pStyle w:val="P68B1DB1-Normal10"/>
              <w:spacing w:after="0" w:line="240" w:lineRule="auto"/>
              <w:jc w:val="center"/>
              <w:rPr>
                <w:rFonts w:eastAsia="Times New Roman" w:cs="Times New Roman"/>
                <w:noProof/>
                <w:szCs w:val="18"/>
              </w:rPr>
            </w:pPr>
            <w:r>
              <w:rPr>
                <w:noProof/>
              </w:rPr>
              <w:t xml:space="preserve">Données de référence </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A75553" w14:textId="77777777" w:rsidR="00A00259" w:rsidRDefault="00371282">
            <w:pPr>
              <w:pStyle w:val="P68B1DB1-Normal10"/>
              <w:spacing w:after="0" w:line="240" w:lineRule="auto"/>
              <w:jc w:val="center"/>
              <w:rPr>
                <w:rFonts w:eastAsia="Times New Roman" w:cs="Times New Roman"/>
                <w:noProof/>
                <w:szCs w:val="18"/>
              </w:rPr>
            </w:pPr>
            <w:r>
              <w:rPr>
                <w:noProof/>
              </w:rPr>
              <w:t xml:space="preserve">Objectif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81212D" w14:textId="77777777" w:rsidR="00A00259" w:rsidRDefault="00371282">
            <w:pPr>
              <w:pStyle w:val="P68B1DB1-Normal10"/>
              <w:spacing w:after="0" w:line="240" w:lineRule="auto"/>
              <w:jc w:val="center"/>
              <w:rPr>
                <w:rFonts w:eastAsia="Times New Roman" w:cs="Times New Roman"/>
                <w:noProof/>
                <w:szCs w:val="18"/>
              </w:rPr>
            </w:pPr>
            <w:r>
              <w:rPr>
                <w:noProof/>
              </w:rPr>
              <w:t>Trimestre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AE294E2" w14:textId="77777777" w:rsidR="00A00259" w:rsidRDefault="00371282">
            <w:pPr>
              <w:pStyle w:val="P68B1DB1-Normal10"/>
              <w:spacing w:after="0" w:line="240" w:lineRule="auto"/>
              <w:jc w:val="center"/>
              <w:rPr>
                <w:rFonts w:eastAsia="Times New Roman" w:cs="Times New Roman"/>
                <w:noProof/>
                <w:szCs w:val="18"/>
              </w:rPr>
            </w:pPr>
            <w:r>
              <w:rPr>
                <w:noProof/>
              </w:rPr>
              <w:t>Année</w:t>
            </w:r>
          </w:p>
        </w:tc>
        <w:tc>
          <w:tcPr>
            <w:tcW w:w="3005" w:type="dxa"/>
            <w:vMerge/>
            <w:vAlign w:val="center"/>
            <w:hideMark/>
          </w:tcPr>
          <w:p w14:paraId="6176A4A0"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2848971C" w14:textId="77777777" w:rsidTr="00096954">
        <w:trPr>
          <w:trHeight w:val="313"/>
          <w:jc w:val="center"/>
        </w:trPr>
        <w:tc>
          <w:tcPr>
            <w:tcW w:w="626" w:type="dxa"/>
            <w:shd w:val="clear" w:color="auto" w:fill="C6EFCE"/>
            <w:noWrap/>
          </w:tcPr>
          <w:p w14:paraId="6A8C2477" w14:textId="77777777" w:rsidR="00A00259" w:rsidRDefault="00371282">
            <w:pPr>
              <w:pStyle w:val="P68B1DB1-Normal12"/>
              <w:spacing w:after="0" w:line="240" w:lineRule="auto"/>
              <w:rPr>
                <w:rFonts w:eastAsia="Times New Roman"/>
                <w:noProof/>
              </w:rPr>
            </w:pPr>
            <w:r>
              <w:rPr>
                <w:noProof/>
              </w:rPr>
              <w:t>278</w:t>
            </w:r>
          </w:p>
        </w:tc>
        <w:tc>
          <w:tcPr>
            <w:tcW w:w="2144" w:type="dxa"/>
            <w:shd w:val="clear" w:color="auto" w:fill="C6EFCE"/>
            <w:noWrap/>
          </w:tcPr>
          <w:p w14:paraId="1D5FE131"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- 16715_La réforme du travail dans le secteur culturel</w:t>
            </w:r>
          </w:p>
        </w:tc>
        <w:tc>
          <w:tcPr>
            <w:tcW w:w="1117" w:type="dxa"/>
            <w:shd w:val="clear" w:color="auto" w:fill="C6EFCE"/>
            <w:noWrap/>
          </w:tcPr>
          <w:p w14:paraId="024EE73A" w14:textId="77777777" w:rsidR="00A00259" w:rsidRDefault="00371282">
            <w:pPr>
              <w:pStyle w:val="P68B1DB1-Normal12"/>
              <w:spacing w:after="0" w:line="240" w:lineRule="auto"/>
              <w:rPr>
                <w:rFonts w:eastAsia="Times New Roman"/>
                <w:noProof/>
              </w:rPr>
            </w:pPr>
            <w:r>
              <w:rPr>
                <w:noProof/>
              </w:rPr>
              <w:t>Étape</w:t>
            </w:r>
          </w:p>
        </w:tc>
        <w:tc>
          <w:tcPr>
            <w:tcW w:w="1134" w:type="dxa"/>
            <w:shd w:val="clear" w:color="auto" w:fill="C6EFCE"/>
            <w:noWrap/>
          </w:tcPr>
          <w:p w14:paraId="2809480E" w14:textId="77777777" w:rsidR="00A00259" w:rsidRDefault="00371282">
            <w:pPr>
              <w:pStyle w:val="P68B1DB1-Normal12"/>
              <w:spacing w:after="0" w:line="240" w:lineRule="auto"/>
              <w:rPr>
                <w:rFonts w:eastAsia="Times New Roman"/>
                <w:noProof/>
              </w:rPr>
            </w:pPr>
            <w:r>
              <w:rPr>
                <w:noProof/>
              </w:rPr>
              <w:t>Législation pour la réforme du travail dans le secteur culturel</w:t>
            </w:r>
          </w:p>
        </w:tc>
        <w:tc>
          <w:tcPr>
            <w:tcW w:w="2438" w:type="dxa"/>
            <w:shd w:val="clear" w:color="auto" w:fill="C6EFCE"/>
            <w:noWrap/>
          </w:tcPr>
          <w:p w14:paraId="071E0C78" w14:textId="77777777" w:rsidR="00A00259" w:rsidRDefault="00371282">
            <w:pPr>
              <w:pStyle w:val="P68B1DB1-Normal12"/>
              <w:spacing w:after="0" w:line="240" w:lineRule="auto"/>
              <w:rPr>
                <w:rFonts w:eastAsia="Times New Roman"/>
                <w:noProof/>
              </w:rPr>
            </w:pPr>
            <w:r>
              <w:rPr>
                <w:noProof/>
              </w:rPr>
              <w:t>Entrée en vigueur de la législation et du droit dérivé et mise en place d’un système permettant d’évaluer de manière crédible le statut du «professionnel de la création ou de la culture»</w:t>
            </w:r>
          </w:p>
        </w:tc>
        <w:tc>
          <w:tcPr>
            <w:tcW w:w="1106" w:type="dxa"/>
            <w:shd w:val="clear" w:color="auto" w:fill="C6EFCE"/>
            <w:noWrap/>
          </w:tcPr>
          <w:p w14:paraId="26D117B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3E884D5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0E0C6F8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0E1F7539" w14:textId="77777777" w:rsidR="00A00259" w:rsidRDefault="00371282">
            <w:pPr>
              <w:pStyle w:val="P68B1DB1-Normal12"/>
              <w:spacing w:after="0" w:line="240" w:lineRule="auto"/>
              <w:rPr>
                <w:rFonts w:eastAsia="Times New Roman"/>
                <w:noProof/>
              </w:rPr>
            </w:pPr>
            <w:r>
              <w:rPr>
                <w:noProof/>
              </w:rPr>
              <w:t>T3</w:t>
            </w:r>
          </w:p>
        </w:tc>
        <w:tc>
          <w:tcPr>
            <w:tcW w:w="851" w:type="dxa"/>
            <w:shd w:val="clear" w:color="auto" w:fill="C6EFCE"/>
            <w:noWrap/>
          </w:tcPr>
          <w:p w14:paraId="67E0C3C0" w14:textId="77777777" w:rsidR="00A00259" w:rsidRDefault="00371282">
            <w:pPr>
              <w:pStyle w:val="P68B1DB1-Normal12"/>
              <w:spacing w:after="0" w:line="240" w:lineRule="auto"/>
              <w:rPr>
                <w:rFonts w:eastAsia="Times New Roman"/>
                <w:noProof/>
              </w:rPr>
            </w:pPr>
            <w:r>
              <w:rPr>
                <w:noProof/>
              </w:rPr>
              <w:t>2022</w:t>
            </w:r>
          </w:p>
        </w:tc>
        <w:tc>
          <w:tcPr>
            <w:tcW w:w="3005" w:type="dxa"/>
            <w:shd w:val="clear" w:color="auto" w:fill="C6EFCE"/>
            <w:noWrap/>
          </w:tcPr>
          <w:p w14:paraId="34C297DC" w14:textId="77777777" w:rsidR="00A00259" w:rsidRDefault="00371282">
            <w:pPr>
              <w:pStyle w:val="P68B1DB1-Normal12"/>
              <w:spacing w:after="0" w:line="240" w:lineRule="auto"/>
              <w:rPr>
                <w:rFonts w:eastAsia="Times New Roman"/>
                <w:noProof/>
              </w:rPr>
            </w:pPr>
            <w:r>
              <w:rPr>
                <w:noProof/>
              </w:rPr>
              <w:t>Entrée en vigueur de la législation relative à la réforme du travail dans le secteur culturel, y compris la définition d’un statut de «professionnel de la création ou de la culture» et des incitations fiscales et sociales proportionnées.</w:t>
            </w:r>
          </w:p>
        </w:tc>
      </w:tr>
      <w:tr w:rsidR="00A00259" w14:paraId="23132315" w14:textId="77777777" w:rsidTr="00096954">
        <w:trPr>
          <w:trHeight w:val="313"/>
          <w:jc w:val="center"/>
        </w:trPr>
        <w:tc>
          <w:tcPr>
            <w:tcW w:w="626" w:type="dxa"/>
            <w:shd w:val="clear" w:color="auto" w:fill="C6EFCE"/>
            <w:noWrap/>
          </w:tcPr>
          <w:p w14:paraId="03D9CBE4" w14:textId="77777777" w:rsidR="00A00259" w:rsidRDefault="00371282">
            <w:pPr>
              <w:pStyle w:val="P68B1DB1-Normal12"/>
              <w:spacing w:after="0" w:line="240" w:lineRule="auto"/>
              <w:rPr>
                <w:rFonts w:eastAsia="Times New Roman"/>
                <w:noProof/>
              </w:rPr>
            </w:pPr>
            <w:r>
              <w:rPr>
                <w:noProof/>
              </w:rPr>
              <w:t>279</w:t>
            </w:r>
          </w:p>
        </w:tc>
        <w:tc>
          <w:tcPr>
            <w:tcW w:w="2144" w:type="dxa"/>
            <w:shd w:val="clear" w:color="auto" w:fill="C6EFCE"/>
            <w:noWrap/>
          </w:tcPr>
          <w:p w14:paraId="556F9E94"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- 16486_Musée des antiquités sous-marines</w:t>
            </w:r>
          </w:p>
        </w:tc>
        <w:tc>
          <w:tcPr>
            <w:tcW w:w="1117" w:type="dxa"/>
            <w:shd w:val="clear" w:color="auto" w:fill="C6EFCE"/>
            <w:noWrap/>
          </w:tcPr>
          <w:p w14:paraId="362368CF" w14:textId="77777777" w:rsidR="00A00259" w:rsidRDefault="00371282">
            <w:pPr>
              <w:pStyle w:val="P68B1DB1-Normal12"/>
              <w:spacing w:after="0" w:line="240" w:lineRule="auto"/>
              <w:rPr>
                <w:rFonts w:eastAsia="Times New Roman"/>
                <w:noProof/>
              </w:rPr>
            </w:pPr>
            <w:r>
              <w:rPr>
                <w:noProof/>
              </w:rPr>
              <w:t>Étape</w:t>
            </w:r>
          </w:p>
        </w:tc>
        <w:tc>
          <w:tcPr>
            <w:tcW w:w="1134" w:type="dxa"/>
            <w:shd w:val="clear" w:color="auto" w:fill="C6EFCE"/>
            <w:noWrap/>
          </w:tcPr>
          <w:p w14:paraId="0778AD43" w14:textId="77777777" w:rsidR="00A00259" w:rsidRDefault="00371282">
            <w:pPr>
              <w:pStyle w:val="P68B1DB1-Normal12"/>
              <w:spacing w:after="0" w:line="240" w:lineRule="auto"/>
              <w:rPr>
                <w:rFonts w:eastAsia="Times New Roman"/>
                <w:noProof/>
              </w:rPr>
            </w:pPr>
            <w:r>
              <w:rPr>
                <w:noProof/>
              </w:rPr>
              <w:t>Attribution du contrat pour le Musée des antiquités sous-marines</w:t>
            </w:r>
          </w:p>
        </w:tc>
        <w:tc>
          <w:tcPr>
            <w:tcW w:w="2438" w:type="dxa"/>
            <w:shd w:val="clear" w:color="auto" w:fill="C6EFCE"/>
            <w:noWrap/>
          </w:tcPr>
          <w:p w14:paraId="3B9B9192" w14:textId="77777777" w:rsidR="00A00259" w:rsidRDefault="00371282">
            <w:pPr>
              <w:pStyle w:val="P68B1DB1-Normal12"/>
              <w:spacing w:after="0" w:line="240" w:lineRule="auto"/>
              <w:rPr>
                <w:rFonts w:eastAsia="Times New Roman"/>
                <w:noProof/>
              </w:rPr>
            </w:pPr>
            <w:r>
              <w:rPr>
                <w:noProof/>
              </w:rPr>
              <w:t>Notification d'attribution pour le Musée des antiquités sous-marines et spécifications techniques publiées pour les œuvres du Musée des antiquités sous-marines</w:t>
            </w:r>
          </w:p>
        </w:tc>
        <w:tc>
          <w:tcPr>
            <w:tcW w:w="1106" w:type="dxa"/>
            <w:shd w:val="clear" w:color="auto" w:fill="C6EFCE"/>
            <w:noWrap/>
          </w:tcPr>
          <w:p w14:paraId="5A2C6AA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75044F9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416F877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6EADA2A5" w14:textId="77777777" w:rsidR="00A00259" w:rsidRDefault="00371282">
            <w:pPr>
              <w:pStyle w:val="P68B1DB1-Normal12"/>
              <w:spacing w:after="0" w:line="240" w:lineRule="auto"/>
              <w:rPr>
                <w:rFonts w:eastAsia="Times New Roman"/>
                <w:noProof/>
              </w:rPr>
            </w:pPr>
            <w:r>
              <w:rPr>
                <w:noProof/>
              </w:rPr>
              <w:t>T4</w:t>
            </w:r>
          </w:p>
        </w:tc>
        <w:tc>
          <w:tcPr>
            <w:tcW w:w="851" w:type="dxa"/>
            <w:shd w:val="clear" w:color="auto" w:fill="C6EFCE"/>
            <w:noWrap/>
          </w:tcPr>
          <w:p w14:paraId="164584C9" w14:textId="77777777" w:rsidR="00A00259" w:rsidRDefault="00371282">
            <w:pPr>
              <w:pStyle w:val="P68B1DB1-Normal12"/>
              <w:spacing w:after="0" w:line="240" w:lineRule="auto"/>
              <w:rPr>
                <w:rFonts w:eastAsia="Times New Roman"/>
                <w:noProof/>
              </w:rPr>
            </w:pPr>
            <w:r>
              <w:rPr>
                <w:noProof/>
              </w:rPr>
              <w:t>2023</w:t>
            </w:r>
          </w:p>
        </w:tc>
        <w:tc>
          <w:tcPr>
            <w:tcW w:w="3005" w:type="dxa"/>
            <w:shd w:val="clear" w:color="auto" w:fill="C6EFCE"/>
            <w:noWrap/>
          </w:tcPr>
          <w:p w14:paraId="0403DBC7" w14:textId="77777777" w:rsidR="00A00259" w:rsidRDefault="00371282">
            <w:pPr>
              <w:pStyle w:val="P68B1DB1-Normal12"/>
              <w:spacing w:after="0" w:line="240" w:lineRule="auto"/>
              <w:rPr>
                <w:rFonts w:eastAsia="Times New Roman"/>
                <w:noProof/>
              </w:rPr>
            </w:pPr>
            <w:r>
              <w:rPr>
                <w:noProof/>
              </w:rPr>
              <w:t xml:space="preserve">Attribution d'un contrat pour le Musée des antiquités sous-marines. </w:t>
            </w:r>
          </w:p>
        </w:tc>
      </w:tr>
      <w:tr w:rsidR="00A00259" w14:paraId="7A2CF462" w14:textId="77777777" w:rsidTr="00096954">
        <w:trPr>
          <w:trHeight w:val="313"/>
          <w:jc w:val="center"/>
        </w:trPr>
        <w:tc>
          <w:tcPr>
            <w:tcW w:w="626" w:type="dxa"/>
            <w:shd w:val="clear" w:color="auto" w:fill="C6EFCE"/>
            <w:noWrap/>
          </w:tcPr>
          <w:p w14:paraId="3035A28A" w14:textId="77777777" w:rsidR="00A00259" w:rsidRDefault="00371282">
            <w:pPr>
              <w:pStyle w:val="P68B1DB1-Normal12"/>
              <w:spacing w:after="0" w:line="240" w:lineRule="auto"/>
              <w:rPr>
                <w:rFonts w:eastAsia="Times New Roman"/>
                <w:noProof/>
              </w:rPr>
            </w:pPr>
            <w:r>
              <w:rPr>
                <w:noProof/>
              </w:rPr>
              <w:t>283</w:t>
            </w:r>
          </w:p>
        </w:tc>
        <w:tc>
          <w:tcPr>
            <w:tcW w:w="2144" w:type="dxa"/>
            <w:shd w:val="clear" w:color="auto" w:fill="C6EFCE"/>
            <w:noWrap/>
          </w:tcPr>
          <w:p w14:paraId="14A94DAB"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- 16293_La culture comme moteur de croissance</w:t>
            </w:r>
          </w:p>
        </w:tc>
        <w:tc>
          <w:tcPr>
            <w:tcW w:w="1117" w:type="dxa"/>
            <w:shd w:val="clear" w:color="auto" w:fill="C6EFCE"/>
            <w:noWrap/>
          </w:tcPr>
          <w:p w14:paraId="3E15622D" w14:textId="77777777" w:rsidR="00A00259" w:rsidRDefault="00371282">
            <w:pPr>
              <w:pStyle w:val="P68B1DB1-Normal12"/>
              <w:spacing w:after="0" w:line="240" w:lineRule="auto"/>
              <w:rPr>
                <w:rFonts w:eastAsia="Times New Roman"/>
                <w:noProof/>
              </w:rPr>
            </w:pPr>
            <w:r>
              <w:rPr>
                <w:noProof/>
              </w:rPr>
              <w:t>Étape</w:t>
            </w:r>
          </w:p>
        </w:tc>
        <w:tc>
          <w:tcPr>
            <w:tcW w:w="1134" w:type="dxa"/>
            <w:shd w:val="clear" w:color="auto" w:fill="C6EFCE"/>
            <w:noWrap/>
          </w:tcPr>
          <w:p w14:paraId="55643602" w14:textId="19F4D1B8" w:rsidR="00A00259" w:rsidRDefault="00371282">
            <w:pPr>
              <w:pStyle w:val="P68B1DB1-Normal12"/>
              <w:spacing w:after="0" w:line="240" w:lineRule="auto"/>
              <w:rPr>
                <w:rFonts w:eastAsia="Times New Roman"/>
                <w:noProof/>
              </w:rPr>
            </w:pPr>
            <w:r>
              <w:rPr>
                <w:noProof/>
              </w:rPr>
              <w:t xml:space="preserve">Plans directeurs et travaux culturels </w:t>
            </w:r>
          </w:p>
        </w:tc>
        <w:tc>
          <w:tcPr>
            <w:tcW w:w="2438" w:type="dxa"/>
            <w:shd w:val="clear" w:color="auto" w:fill="C6EFCE"/>
            <w:noWrap/>
          </w:tcPr>
          <w:p w14:paraId="0078C685" w14:textId="369DC8DB" w:rsidR="00A00259" w:rsidRDefault="00371282">
            <w:pPr>
              <w:pStyle w:val="P68B1DB1-Normal12"/>
              <w:spacing w:after="0" w:line="240" w:lineRule="auto"/>
              <w:rPr>
                <w:rFonts w:eastAsia="Times New Roman"/>
                <w:noProof/>
              </w:rPr>
            </w:pPr>
            <w:r>
              <w:rPr>
                <w:noProof/>
              </w:rPr>
              <w:t xml:space="preserve">Réalisation de plans directeurs culturels, étude sur l ' artisanat grec; exécution des interventions; investissements dans la production de films; accessibilité de la plateforme de la culture grecque contemporaine en ligne </w:t>
            </w:r>
          </w:p>
        </w:tc>
        <w:tc>
          <w:tcPr>
            <w:tcW w:w="1106" w:type="dxa"/>
            <w:shd w:val="clear" w:color="auto" w:fill="C6EFCE"/>
            <w:noWrap/>
          </w:tcPr>
          <w:p w14:paraId="34647CF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0E1BB0E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575D8B3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3AB23BD2" w14:textId="77777777" w:rsidR="00A00259" w:rsidRDefault="00371282">
            <w:pPr>
              <w:pStyle w:val="P68B1DB1-Normal12"/>
              <w:spacing w:after="0" w:line="240" w:lineRule="auto"/>
              <w:rPr>
                <w:rFonts w:eastAsia="Times New Roman"/>
                <w:noProof/>
              </w:rPr>
            </w:pPr>
            <w:r>
              <w:rPr>
                <w:noProof/>
              </w:rPr>
              <w:t>T4</w:t>
            </w:r>
          </w:p>
        </w:tc>
        <w:tc>
          <w:tcPr>
            <w:tcW w:w="851" w:type="dxa"/>
            <w:shd w:val="clear" w:color="auto" w:fill="C6EFCE"/>
            <w:noWrap/>
          </w:tcPr>
          <w:p w14:paraId="62ADB510" w14:textId="77777777" w:rsidR="00A00259" w:rsidRDefault="00371282">
            <w:pPr>
              <w:pStyle w:val="P68B1DB1-Normal12"/>
              <w:spacing w:after="0" w:line="240" w:lineRule="auto"/>
              <w:rPr>
                <w:rFonts w:eastAsia="Times New Roman"/>
                <w:noProof/>
              </w:rPr>
            </w:pPr>
            <w:r>
              <w:rPr>
                <w:noProof/>
              </w:rPr>
              <w:t>2025</w:t>
            </w:r>
          </w:p>
        </w:tc>
        <w:tc>
          <w:tcPr>
            <w:tcW w:w="3005" w:type="dxa"/>
            <w:shd w:val="clear" w:color="auto" w:fill="C6EFCE"/>
            <w:noWrap/>
          </w:tcPr>
          <w:p w14:paraId="3D08157B" w14:textId="3C3B869C" w:rsidR="00A00259" w:rsidRDefault="00371282">
            <w:pPr>
              <w:pStyle w:val="P68B1DB1-Normal12"/>
              <w:spacing w:after="0" w:line="240" w:lineRule="auto"/>
              <w:rPr>
                <w:noProof/>
              </w:rPr>
            </w:pPr>
            <w:r>
              <w:rPr>
                <w:noProof/>
              </w:rPr>
              <w:t>i) Création de plans directeurs culturels pour 15 zones; ii) l'exécution de 70 interventions, y compris des travaux de construction ou la livraison d'équipements (y compris numériques) dans des lieux culturels; iii) une étude est réalisée en vue de la conception et de la mise en œuvre d'une stratégie modèle pour la reconstruction, le développement et la redéfinition de l'artisanat grec; iv) un soutien financier est accordé à certains projets cinématographiques grecs; v) La plateforme de la culture grecque contemporaine est accessible en ligne.</w:t>
            </w:r>
          </w:p>
        </w:tc>
      </w:tr>
      <w:tr w:rsidR="00A00259" w14:paraId="6B5341EC" w14:textId="77777777" w:rsidTr="00096954">
        <w:trPr>
          <w:trHeight w:val="313"/>
          <w:jc w:val="center"/>
        </w:trPr>
        <w:tc>
          <w:tcPr>
            <w:tcW w:w="626" w:type="dxa"/>
            <w:shd w:val="clear" w:color="auto" w:fill="C6EFCE"/>
            <w:noWrap/>
          </w:tcPr>
          <w:p w14:paraId="29A8589A" w14:textId="77777777" w:rsidR="00A00259" w:rsidRDefault="00371282">
            <w:pPr>
              <w:pStyle w:val="P68B1DB1-Normal12"/>
              <w:spacing w:after="0" w:line="240" w:lineRule="auto"/>
              <w:rPr>
                <w:rFonts w:eastAsia="Times New Roman"/>
                <w:noProof/>
              </w:rPr>
            </w:pPr>
            <w:r>
              <w:rPr>
                <w:noProof/>
              </w:rPr>
              <w:t>284</w:t>
            </w:r>
          </w:p>
        </w:tc>
        <w:tc>
          <w:tcPr>
            <w:tcW w:w="2144" w:type="dxa"/>
            <w:shd w:val="clear" w:color="auto" w:fill="C6EFCE"/>
            <w:noWrap/>
          </w:tcPr>
          <w:p w14:paraId="3A5BCF4E" w14:textId="5E63A1CD" w:rsidR="00A00259" w:rsidRDefault="00371282">
            <w:pPr>
              <w:pStyle w:val="P68B1DB1-Normal12"/>
              <w:spacing w:after="0" w:line="240" w:lineRule="auto"/>
              <w:rPr>
                <w:rFonts w:eastAsia="Times New Roman"/>
                <w:noProof/>
              </w:rPr>
            </w:pPr>
            <w:r>
              <w:rPr>
                <w:noProof/>
              </w:rPr>
              <w:t xml:space="preserve">17 - 4.6. Moderniser et améliorer la résilience des secteurs économiques clés - 16536_Mise à niveau des infrastructures et des équipements des magasins HOCRED </w:t>
            </w:r>
          </w:p>
        </w:tc>
        <w:tc>
          <w:tcPr>
            <w:tcW w:w="1117" w:type="dxa"/>
            <w:shd w:val="clear" w:color="auto" w:fill="C6EFCE"/>
            <w:noWrap/>
          </w:tcPr>
          <w:p w14:paraId="6F2CC87D" w14:textId="77777777" w:rsidR="00A00259" w:rsidRDefault="00371282">
            <w:pPr>
              <w:pStyle w:val="P68B1DB1-Normal12"/>
              <w:spacing w:after="0" w:line="240" w:lineRule="auto"/>
              <w:rPr>
                <w:rFonts w:eastAsia="Times New Roman"/>
                <w:noProof/>
              </w:rPr>
            </w:pPr>
            <w:r>
              <w:rPr>
                <w:noProof/>
              </w:rPr>
              <w:t>Étape</w:t>
            </w:r>
          </w:p>
        </w:tc>
        <w:tc>
          <w:tcPr>
            <w:tcW w:w="1134" w:type="dxa"/>
            <w:shd w:val="clear" w:color="auto" w:fill="C6EFCE"/>
            <w:noWrap/>
          </w:tcPr>
          <w:p w14:paraId="2414457E" w14:textId="77777777" w:rsidR="00A00259" w:rsidRDefault="00371282">
            <w:pPr>
              <w:pStyle w:val="P68B1DB1-Normal12"/>
              <w:spacing w:after="0" w:line="240" w:lineRule="auto"/>
              <w:rPr>
                <w:rFonts w:eastAsia="Times New Roman"/>
                <w:noProof/>
              </w:rPr>
            </w:pPr>
            <w:r>
              <w:rPr>
                <w:noProof/>
              </w:rPr>
              <w:t xml:space="preserve">Mise à niveau de l'Organisation hellénique de développement des ressources culturelles (HOCRED) </w:t>
            </w:r>
          </w:p>
        </w:tc>
        <w:tc>
          <w:tcPr>
            <w:tcW w:w="2438" w:type="dxa"/>
            <w:shd w:val="clear" w:color="auto" w:fill="C6EFCE"/>
            <w:noWrap/>
          </w:tcPr>
          <w:p w14:paraId="38BAC3C6" w14:textId="77777777" w:rsidR="00A00259" w:rsidRDefault="00371282">
            <w:pPr>
              <w:pStyle w:val="P68B1DB1-Normal12"/>
              <w:spacing w:after="0" w:line="240" w:lineRule="auto"/>
              <w:rPr>
                <w:rFonts w:eastAsia="Times New Roman"/>
                <w:noProof/>
              </w:rPr>
            </w:pPr>
            <w:r>
              <w:rPr>
                <w:noProof/>
              </w:rPr>
              <w:t xml:space="preserve">Mise à niveau des opérations de l'Organisation hellénique de développement des ressources culturelles (HOCRED) </w:t>
            </w:r>
          </w:p>
        </w:tc>
        <w:tc>
          <w:tcPr>
            <w:tcW w:w="1106" w:type="dxa"/>
            <w:shd w:val="clear" w:color="auto" w:fill="C6EFCE"/>
            <w:noWrap/>
          </w:tcPr>
          <w:p w14:paraId="6FF543F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2F3D4E0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5DE7EAD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25282034" w14:textId="77777777" w:rsidR="00A00259" w:rsidRDefault="00371282">
            <w:pPr>
              <w:pStyle w:val="P68B1DB1-Normal12"/>
              <w:spacing w:after="0" w:line="240" w:lineRule="auto"/>
              <w:rPr>
                <w:rFonts w:eastAsia="Times New Roman"/>
                <w:noProof/>
              </w:rPr>
            </w:pPr>
            <w:r>
              <w:rPr>
                <w:noProof/>
              </w:rPr>
              <w:t>T4</w:t>
            </w:r>
          </w:p>
        </w:tc>
        <w:tc>
          <w:tcPr>
            <w:tcW w:w="851" w:type="dxa"/>
            <w:shd w:val="clear" w:color="auto" w:fill="C6EFCE"/>
            <w:noWrap/>
          </w:tcPr>
          <w:p w14:paraId="0F684149" w14:textId="77777777" w:rsidR="00A00259" w:rsidRDefault="00371282">
            <w:pPr>
              <w:pStyle w:val="P68B1DB1-Normal12"/>
              <w:spacing w:after="0" w:line="240" w:lineRule="auto"/>
              <w:rPr>
                <w:rFonts w:eastAsia="Times New Roman"/>
                <w:noProof/>
              </w:rPr>
            </w:pPr>
            <w:r>
              <w:rPr>
                <w:noProof/>
              </w:rPr>
              <w:t>2025</w:t>
            </w:r>
          </w:p>
        </w:tc>
        <w:tc>
          <w:tcPr>
            <w:tcW w:w="3005" w:type="dxa"/>
            <w:shd w:val="clear" w:color="auto" w:fill="C6EFCE"/>
            <w:noWrap/>
          </w:tcPr>
          <w:p w14:paraId="2D9D518E" w14:textId="29DD0958" w:rsidR="00A00259" w:rsidRDefault="00371282">
            <w:pPr>
              <w:pStyle w:val="P68B1DB1-Normal16"/>
              <w:spacing w:after="0" w:line="240" w:lineRule="auto"/>
              <w:rPr>
                <w:noProof/>
              </w:rPr>
            </w:pPr>
            <w:r>
              <w:rPr>
                <w:noProof/>
                <w:color w:val="006100"/>
              </w:rPr>
              <w:t>Modernisation de l'infrastructure et de l'équipement de 20 magasins, y compris des rénovations d'efficacité énergétique dans six magasins, et acquisition d'un complexe industriel destiné à accueillir des installations HOCRED.</w:t>
            </w:r>
            <w:r>
              <w:rPr>
                <w:noProof/>
              </w:rPr>
              <w:t xml:space="preserve"> </w:t>
            </w:r>
          </w:p>
          <w:p w14:paraId="074E8BBB" w14:textId="77777777" w:rsidR="00A00259" w:rsidRDefault="00A00259">
            <w:pPr>
              <w:spacing w:after="0" w:line="240" w:lineRule="auto"/>
              <w:rPr>
                <w:rFonts w:ascii="Times New Roman" w:hAnsi="Times New Roman" w:cs="Times New Roman"/>
                <w:noProof/>
                <w:color w:val="006100"/>
                <w:sz w:val="18"/>
                <w:szCs w:val="18"/>
              </w:rPr>
            </w:pPr>
          </w:p>
        </w:tc>
      </w:tr>
      <w:tr w:rsidR="00A00259" w14:paraId="6CE039D5" w14:textId="77777777" w:rsidTr="00096954">
        <w:trPr>
          <w:trHeight w:val="313"/>
          <w:jc w:val="center"/>
        </w:trPr>
        <w:tc>
          <w:tcPr>
            <w:tcW w:w="626" w:type="dxa"/>
            <w:shd w:val="clear" w:color="auto" w:fill="C6EFCE"/>
            <w:noWrap/>
          </w:tcPr>
          <w:p w14:paraId="7414F564" w14:textId="77777777" w:rsidR="00A00259" w:rsidRDefault="00371282">
            <w:pPr>
              <w:pStyle w:val="P68B1DB1-Normal12"/>
              <w:spacing w:after="0" w:line="240" w:lineRule="auto"/>
              <w:rPr>
                <w:rFonts w:eastAsia="Times New Roman"/>
                <w:noProof/>
              </w:rPr>
            </w:pPr>
            <w:r>
              <w:rPr>
                <w:noProof/>
              </w:rPr>
              <w:t>285</w:t>
            </w:r>
          </w:p>
        </w:tc>
        <w:tc>
          <w:tcPr>
            <w:tcW w:w="2144" w:type="dxa"/>
            <w:shd w:val="clear" w:color="auto" w:fill="C6EFCE"/>
            <w:noWrap/>
          </w:tcPr>
          <w:p w14:paraId="6316E481"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- 16725_Améliorer l'enseignement supérieur des arts</w:t>
            </w:r>
          </w:p>
        </w:tc>
        <w:tc>
          <w:tcPr>
            <w:tcW w:w="1117" w:type="dxa"/>
            <w:shd w:val="clear" w:color="auto" w:fill="C6EFCE"/>
            <w:noWrap/>
          </w:tcPr>
          <w:p w14:paraId="0049075A" w14:textId="77777777" w:rsidR="00A00259" w:rsidRDefault="00371282">
            <w:pPr>
              <w:pStyle w:val="P68B1DB1-Normal12"/>
              <w:spacing w:after="0" w:line="240" w:lineRule="auto"/>
              <w:rPr>
                <w:rFonts w:eastAsia="Times New Roman"/>
                <w:noProof/>
              </w:rPr>
            </w:pPr>
            <w:r>
              <w:rPr>
                <w:noProof/>
              </w:rPr>
              <w:t>Étape</w:t>
            </w:r>
          </w:p>
        </w:tc>
        <w:tc>
          <w:tcPr>
            <w:tcW w:w="1134" w:type="dxa"/>
            <w:shd w:val="clear" w:color="auto" w:fill="C6EFCE"/>
            <w:noWrap/>
          </w:tcPr>
          <w:p w14:paraId="0CABBD0C" w14:textId="77777777" w:rsidR="00A00259" w:rsidRDefault="00371282">
            <w:pPr>
              <w:pStyle w:val="P68B1DB1-Normal12"/>
              <w:spacing w:after="0" w:line="240" w:lineRule="auto"/>
              <w:rPr>
                <w:rFonts w:eastAsia="Times New Roman"/>
                <w:noProof/>
              </w:rPr>
            </w:pPr>
            <w:r>
              <w:rPr>
                <w:noProof/>
              </w:rPr>
              <w:t>Amélioration de l'enseignement supérieur des arts</w:t>
            </w:r>
          </w:p>
        </w:tc>
        <w:tc>
          <w:tcPr>
            <w:tcW w:w="2438" w:type="dxa"/>
            <w:shd w:val="clear" w:color="auto" w:fill="C6EFCE"/>
            <w:noWrap/>
          </w:tcPr>
          <w:p w14:paraId="3380356D" w14:textId="6EB1AD18" w:rsidR="00A00259" w:rsidRDefault="00371282">
            <w:pPr>
              <w:pStyle w:val="P68B1DB1-Normal12"/>
              <w:spacing w:after="0" w:line="240" w:lineRule="auto"/>
              <w:rPr>
                <w:rFonts w:eastAsia="Times New Roman"/>
                <w:noProof/>
              </w:rPr>
            </w:pPr>
            <w:r>
              <w:rPr>
                <w:noProof/>
              </w:rPr>
              <w:t>Entrée en vigueur du ou des actes juridiques relatifs à la création d’une université des arts du spectacle. Mise à niveau des bâtiments et des infrastructures numériques des institutions.</w:t>
            </w:r>
          </w:p>
        </w:tc>
        <w:tc>
          <w:tcPr>
            <w:tcW w:w="1106" w:type="dxa"/>
            <w:shd w:val="clear" w:color="auto" w:fill="C6EFCE"/>
            <w:noWrap/>
          </w:tcPr>
          <w:p w14:paraId="588E641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69A1A3B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7912D38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624B0F9B" w14:textId="77777777" w:rsidR="00A00259" w:rsidRDefault="00371282">
            <w:pPr>
              <w:pStyle w:val="P68B1DB1-Normal12"/>
              <w:spacing w:after="0" w:line="240" w:lineRule="auto"/>
              <w:rPr>
                <w:rFonts w:eastAsia="Times New Roman"/>
                <w:noProof/>
              </w:rPr>
            </w:pPr>
            <w:r>
              <w:rPr>
                <w:noProof/>
              </w:rPr>
              <w:t>T4</w:t>
            </w:r>
          </w:p>
        </w:tc>
        <w:tc>
          <w:tcPr>
            <w:tcW w:w="851" w:type="dxa"/>
            <w:shd w:val="clear" w:color="auto" w:fill="C6EFCE"/>
            <w:noWrap/>
          </w:tcPr>
          <w:p w14:paraId="74A2947B" w14:textId="77777777" w:rsidR="00A00259" w:rsidRDefault="00371282">
            <w:pPr>
              <w:pStyle w:val="P68B1DB1-Normal12"/>
              <w:spacing w:after="0" w:line="240" w:lineRule="auto"/>
              <w:rPr>
                <w:rFonts w:eastAsia="Times New Roman"/>
                <w:noProof/>
              </w:rPr>
            </w:pPr>
            <w:r>
              <w:rPr>
                <w:noProof/>
              </w:rPr>
              <w:t>2025</w:t>
            </w:r>
          </w:p>
        </w:tc>
        <w:tc>
          <w:tcPr>
            <w:tcW w:w="3005" w:type="dxa"/>
            <w:shd w:val="clear" w:color="auto" w:fill="C6EFCE"/>
            <w:noWrap/>
          </w:tcPr>
          <w:p w14:paraId="27875840" w14:textId="01029353" w:rsidR="00A00259" w:rsidRDefault="00371282">
            <w:pPr>
              <w:pStyle w:val="P68B1DB1-Normal12"/>
              <w:spacing w:after="0" w:line="240" w:lineRule="auto"/>
              <w:rPr>
                <w:noProof/>
              </w:rPr>
            </w:pPr>
            <w:r>
              <w:rPr>
                <w:noProof/>
              </w:rPr>
              <w:t>Entrée en vigueur du ou des actes juridiques relatifs à la création d’une université des arts du spectacle et soumission des programmes d’études de l’université à l’autorité hellénique de l’enseignement supérieur pour accréditation.</w:t>
            </w:r>
          </w:p>
          <w:p w14:paraId="58F4AB17" w14:textId="77777777" w:rsidR="00A00259" w:rsidRDefault="00A00259">
            <w:pPr>
              <w:spacing w:after="0" w:line="240" w:lineRule="auto"/>
              <w:rPr>
                <w:rFonts w:ascii="Times New Roman" w:eastAsiaTheme="minorEastAsia" w:hAnsi="Times New Roman" w:cs="Times New Roman"/>
                <w:noProof/>
                <w:color w:val="006100"/>
                <w:sz w:val="18"/>
                <w:szCs w:val="18"/>
              </w:rPr>
            </w:pPr>
          </w:p>
          <w:p w14:paraId="0E515370" w14:textId="2DD9BF32" w:rsidR="00A00259" w:rsidRDefault="00371282">
            <w:pPr>
              <w:pStyle w:val="P68B1DB1-Normal12"/>
              <w:spacing w:after="0" w:line="240" w:lineRule="auto"/>
              <w:rPr>
                <w:rFonts w:eastAsiaTheme="minorEastAsia"/>
                <w:noProof/>
              </w:rPr>
            </w:pPr>
            <w:r>
              <w:rPr>
                <w:noProof/>
              </w:rPr>
              <w:t xml:space="preserve">Mise à niveau de l'École nationale d'art orchestique, du Conservatoire d'État de Thessalonique et de l'École préparatoire et professionnelle des beaux-arts de Panormos, Tinos. </w:t>
            </w:r>
          </w:p>
          <w:p w14:paraId="60FAAE67" w14:textId="77777777" w:rsidR="00A00259" w:rsidRDefault="00A00259">
            <w:pPr>
              <w:spacing w:after="0" w:line="240" w:lineRule="auto"/>
              <w:rPr>
                <w:rFonts w:ascii="Times New Roman" w:eastAsiaTheme="minorEastAsia" w:hAnsi="Times New Roman" w:cs="Times New Roman"/>
                <w:noProof/>
                <w:color w:val="006100"/>
                <w:sz w:val="18"/>
                <w:szCs w:val="18"/>
              </w:rPr>
            </w:pPr>
          </w:p>
          <w:p w14:paraId="30ACB673" w14:textId="1DD7764D" w:rsidR="00A00259" w:rsidRDefault="00371282">
            <w:pPr>
              <w:pStyle w:val="P68B1DB1-Normal12"/>
              <w:spacing w:after="0" w:line="240" w:lineRule="auto"/>
              <w:rPr>
                <w:noProof/>
              </w:rPr>
            </w:pPr>
            <w:r>
              <w:rPr>
                <w:noProof/>
              </w:rPr>
              <w:t>Modernisation des infrastructures numériques de l’école d’art dramatique du théâtre national et de l’école d’art dramatique du théâtre d’État du nord de la Grèce.</w:t>
            </w:r>
          </w:p>
        </w:tc>
      </w:tr>
      <w:tr w:rsidR="00A00259" w14:paraId="2A5F69C0" w14:textId="77777777" w:rsidTr="00096954">
        <w:trPr>
          <w:trHeight w:val="313"/>
          <w:jc w:val="center"/>
        </w:trPr>
        <w:tc>
          <w:tcPr>
            <w:tcW w:w="626" w:type="dxa"/>
            <w:shd w:val="clear" w:color="auto" w:fill="C6EFCE"/>
            <w:noWrap/>
          </w:tcPr>
          <w:p w14:paraId="60D8C8B7" w14:textId="1C77D0F3" w:rsidR="00A00259" w:rsidRDefault="00371282">
            <w:pPr>
              <w:pStyle w:val="P68B1DB1-Normal12"/>
              <w:spacing w:after="0" w:line="240" w:lineRule="auto"/>
              <w:rPr>
                <w:noProof/>
              </w:rPr>
            </w:pPr>
            <w:r>
              <w:rPr>
                <w:noProof/>
              </w:rPr>
              <w:t>287</w:t>
            </w:r>
          </w:p>
        </w:tc>
        <w:tc>
          <w:tcPr>
            <w:tcW w:w="2144" w:type="dxa"/>
            <w:shd w:val="clear" w:color="auto" w:fill="C6EFCE"/>
            <w:noWrap/>
          </w:tcPr>
          <w:p w14:paraId="77990073" w14:textId="0BC13225" w:rsidR="00A00259" w:rsidRDefault="00371282">
            <w:pPr>
              <w:pStyle w:val="P68B1DB1-Normal12"/>
              <w:spacing w:after="0" w:line="240" w:lineRule="auto"/>
              <w:rPr>
                <w:noProof/>
              </w:rPr>
            </w:pPr>
            <w:r>
              <w:rPr>
                <w:noProof/>
              </w:rPr>
              <w:t>17 - 4.6. Moderniser et améliorer la résilience des secteurs économiques clés - 16486_Musée des antiquités sous-marines</w:t>
            </w:r>
          </w:p>
        </w:tc>
        <w:tc>
          <w:tcPr>
            <w:tcW w:w="1117" w:type="dxa"/>
            <w:shd w:val="clear" w:color="auto" w:fill="C6EFCE"/>
            <w:noWrap/>
          </w:tcPr>
          <w:p w14:paraId="43B3322A" w14:textId="77FFE89D" w:rsidR="00A00259" w:rsidRDefault="00371282">
            <w:pPr>
              <w:pStyle w:val="P68B1DB1-Normal12"/>
              <w:spacing w:after="0" w:line="240" w:lineRule="auto"/>
              <w:rPr>
                <w:noProof/>
              </w:rPr>
            </w:pPr>
            <w:r>
              <w:rPr>
                <w:noProof/>
              </w:rPr>
              <w:t>Objectif</w:t>
            </w:r>
          </w:p>
        </w:tc>
        <w:tc>
          <w:tcPr>
            <w:tcW w:w="1134" w:type="dxa"/>
            <w:shd w:val="clear" w:color="auto" w:fill="C6EFCE"/>
            <w:noWrap/>
          </w:tcPr>
          <w:p w14:paraId="4C984ECC" w14:textId="10ADB465" w:rsidR="00A00259" w:rsidRDefault="00371282">
            <w:pPr>
              <w:pStyle w:val="P68B1DB1-Normal12"/>
              <w:spacing w:after="0" w:line="240" w:lineRule="auto"/>
              <w:rPr>
                <w:noProof/>
              </w:rPr>
            </w:pPr>
            <w:r>
              <w:rPr>
                <w:noProof/>
              </w:rPr>
              <w:t>Musée des antiquités sous-marines</w:t>
            </w:r>
          </w:p>
        </w:tc>
        <w:tc>
          <w:tcPr>
            <w:tcW w:w="2438" w:type="dxa"/>
            <w:shd w:val="clear" w:color="auto" w:fill="C6EFCE"/>
            <w:noWrap/>
          </w:tcPr>
          <w:p w14:paraId="335D74F1" w14:textId="2F8BCE31" w:rsidR="00A00259" w:rsidRDefault="00A00259">
            <w:pPr>
              <w:spacing w:after="0" w:line="240" w:lineRule="auto"/>
              <w:rPr>
                <w:rFonts w:ascii="Times New Roman" w:eastAsia="Times New Roman" w:hAnsi="Times New Roman" w:cs="Times New Roman"/>
                <w:noProof/>
                <w:color w:val="006100"/>
                <w:sz w:val="18"/>
                <w:szCs w:val="18"/>
              </w:rPr>
            </w:pPr>
          </w:p>
        </w:tc>
        <w:tc>
          <w:tcPr>
            <w:tcW w:w="1106" w:type="dxa"/>
            <w:shd w:val="clear" w:color="auto" w:fill="C6EFCE"/>
            <w:noWrap/>
          </w:tcPr>
          <w:p w14:paraId="235C0E48" w14:textId="31F84146" w:rsidR="00A00259" w:rsidRDefault="00371282">
            <w:pPr>
              <w:pStyle w:val="P68B1DB1-Normal23"/>
              <w:spacing w:after="0" w:line="240" w:lineRule="auto"/>
              <w:rPr>
                <w:noProof/>
              </w:rPr>
            </w:pPr>
            <w:r>
              <w:rPr>
                <w:noProof/>
              </w:rPr>
              <w:t>EUR</w:t>
            </w:r>
          </w:p>
        </w:tc>
        <w:tc>
          <w:tcPr>
            <w:tcW w:w="1559" w:type="dxa"/>
            <w:shd w:val="clear" w:color="auto" w:fill="C6EFCE"/>
            <w:noWrap/>
          </w:tcPr>
          <w:p w14:paraId="1D9C93A2" w14:textId="1BECEC67" w:rsidR="00A00259" w:rsidRDefault="00371282">
            <w:pPr>
              <w:pStyle w:val="P68B1DB1-Normal23"/>
              <w:spacing w:after="0" w:line="240" w:lineRule="auto"/>
              <w:rPr>
                <w:noProof/>
              </w:rPr>
            </w:pPr>
            <w:r>
              <w:rPr>
                <w:noProof/>
              </w:rPr>
              <w:t>0</w:t>
            </w:r>
          </w:p>
        </w:tc>
        <w:tc>
          <w:tcPr>
            <w:tcW w:w="1134" w:type="dxa"/>
            <w:shd w:val="clear" w:color="auto" w:fill="C6EFCE"/>
            <w:noWrap/>
          </w:tcPr>
          <w:p w14:paraId="7C9CCFEF" w14:textId="130375D3" w:rsidR="00A00259" w:rsidRDefault="00371282">
            <w:pPr>
              <w:pStyle w:val="P68B1DB1-Normal12"/>
              <w:spacing w:after="0" w:line="240" w:lineRule="auto"/>
              <w:rPr>
                <w:noProof/>
              </w:rPr>
            </w:pPr>
            <w:r>
              <w:rPr>
                <w:noProof/>
              </w:rPr>
              <w:t>45,8 millions</w:t>
            </w:r>
          </w:p>
        </w:tc>
        <w:tc>
          <w:tcPr>
            <w:tcW w:w="992" w:type="dxa"/>
            <w:shd w:val="clear" w:color="auto" w:fill="C6EFCE"/>
          </w:tcPr>
          <w:p w14:paraId="26E20693" w14:textId="4E08A324" w:rsidR="00A00259" w:rsidRDefault="00371282">
            <w:pPr>
              <w:pStyle w:val="P68B1DB1-Normal12"/>
              <w:spacing w:after="0" w:line="240" w:lineRule="auto"/>
              <w:rPr>
                <w:noProof/>
              </w:rPr>
            </w:pPr>
            <w:r>
              <w:rPr>
                <w:noProof/>
              </w:rPr>
              <w:t>T4</w:t>
            </w:r>
          </w:p>
        </w:tc>
        <w:tc>
          <w:tcPr>
            <w:tcW w:w="851" w:type="dxa"/>
            <w:shd w:val="clear" w:color="auto" w:fill="C6EFCE"/>
          </w:tcPr>
          <w:p w14:paraId="1AD87F87" w14:textId="59D42584" w:rsidR="00A00259" w:rsidRDefault="00371282">
            <w:pPr>
              <w:pStyle w:val="P68B1DB1-Normal12"/>
              <w:spacing w:after="0" w:line="240" w:lineRule="auto"/>
              <w:rPr>
                <w:noProof/>
              </w:rPr>
            </w:pPr>
            <w:r>
              <w:rPr>
                <w:noProof/>
              </w:rPr>
              <w:t>2025</w:t>
            </w:r>
          </w:p>
        </w:tc>
        <w:tc>
          <w:tcPr>
            <w:tcW w:w="3005" w:type="dxa"/>
            <w:shd w:val="clear" w:color="auto" w:fill="C6EFCE"/>
            <w:noWrap/>
          </w:tcPr>
          <w:p w14:paraId="0418ADC5" w14:textId="2C63782D" w:rsidR="00A00259" w:rsidRDefault="00371282">
            <w:pPr>
              <w:pStyle w:val="P68B1DB1-Normal12"/>
              <w:spacing w:after="0" w:line="240" w:lineRule="auto"/>
              <w:rPr>
                <w:noProof/>
              </w:rPr>
            </w:pPr>
            <w:r>
              <w:rPr>
                <w:noProof/>
              </w:rPr>
              <w:t>Travaux et matériaux pour un montant de 45,8 millions d'euros pour le musée des antiquités sous-marines.</w:t>
            </w:r>
          </w:p>
        </w:tc>
      </w:tr>
      <w:tr w:rsidR="00A00259" w14:paraId="24891436" w14:textId="77777777" w:rsidTr="00096954">
        <w:trPr>
          <w:trHeight w:val="313"/>
          <w:jc w:val="center"/>
        </w:trPr>
        <w:tc>
          <w:tcPr>
            <w:tcW w:w="626" w:type="dxa"/>
            <w:shd w:val="clear" w:color="auto" w:fill="C6EFCE"/>
            <w:noWrap/>
          </w:tcPr>
          <w:p w14:paraId="79FD22BD" w14:textId="47DDE0AF" w:rsidR="00A00259" w:rsidRDefault="00371282">
            <w:pPr>
              <w:pStyle w:val="P68B1DB1-Normal12"/>
              <w:spacing w:after="0" w:line="240" w:lineRule="auto"/>
              <w:rPr>
                <w:noProof/>
              </w:rPr>
            </w:pPr>
            <w:r>
              <w:rPr>
                <w:noProof/>
              </w:rPr>
              <w:t>288</w:t>
            </w:r>
          </w:p>
        </w:tc>
        <w:tc>
          <w:tcPr>
            <w:tcW w:w="2144" w:type="dxa"/>
            <w:shd w:val="clear" w:color="auto" w:fill="C6EFCE"/>
            <w:noWrap/>
          </w:tcPr>
          <w:p w14:paraId="7F2A9435" w14:textId="63BBFBA5" w:rsidR="00A00259" w:rsidRDefault="00371282">
            <w:pPr>
              <w:pStyle w:val="P68B1DB1-Normal12"/>
              <w:spacing w:after="0" w:line="240" w:lineRule="auto"/>
              <w:rPr>
                <w:noProof/>
              </w:rPr>
            </w:pPr>
            <w:r>
              <w:rPr>
                <w:noProof/>
              </w:rPr>
              <w:t>17 - 4.6. Moderniser et améliorer la résilience des secteurs économiques clés - 16485_Itinéraires culturels dans les sites et monuments archéologiques</w:t>
            </w:r>
          </w:p>
        </w:tc>
        <w:tc>
          <w:tcPr>
            <w:tcW w:w="1117" w:type="dxa"/>
            <w:shd w:val="clear" w:color="auto" w:fill="C6EFCE"/>
            <w:noWrap/>
          </w:tcPr>
          <w:p w14:paraId="1F84B6A8" w14:textId="200EC2AF" w:rsidR="00A00259" w:rsidRDefault="00371282">
            <w:pPr>
              <w:pStyle w:val="P68B1DB1-Normal12"/>
              <w:spacing w:after="0" w:line="240" w:lineRule="auto"/>
              <w:rPr>
                <w:noProof/>
              </w:rPr>
            </w:pPr>
            <w:r>
              <w:rPr>
                <w:noProof/>
              </w:rPr>
              <w:t>Étape</w:t>
            </w:r>
          </w:p>
        </w:tc>
        <w:tc>
          <w:tcPr>
            <w:tcW w:w="1134" w:type="dxa"/>
            <w:shd w:val="clear" w:color="auto" w:fill="C6EFCE"/>
            <w:noWrap/>
          </w:tcPr>
          <w:p w14:paraId="4160192F" w14:textId="714F6F70" w:rsidR="00A00259" w:rsidRDefault="00371282">
            <w:pPr>
              <w:pStyle w:val="P68B1DB1-Normal12"/>
              <w:spacing w:after="0" w:line="240" w:lineRule="auto"/>
              <w:rPr>
                <w:noProof/>
              </w:rPr>
            </w:pPr>
            <w:r>
              <w:rPr>
                <w:noProof/>
              </w:rPr>
              <w:t>Itinéraires culturels sur les sites archéologiques</w:t>
            </w:r>
          </w:p>
        </w:tc>
        <w:tc>
          <w:tcPr>
            <w:tcW w:w="2438" w:type="dxa"/>
            <w:shd w:val="clear" w:color="auto" w:fill="C6EFCE"/>
            <w:noWrap/>
          </w:tcPr>
          <w:p w14:paraId="50029C05" w14:textId="2CF7447A" w:rsidR="00A00259" w:rsidRDefault="00371282">
            <w:pPr>
              <w:pStyle w:val="P68B1DB1-Normal12"/>
              <w:spacing w:after="0" w:line="240" w:lineRule="auto"/>
              <w:rPr>
                <w:rFonts w:eastAsia="Times New Roman"/>
                <w:noProof/>
              </w:rPr>
            </w:pPr>
            <w:r>
              <w:rPr>
                <w:noProof/>
              </w:rPr>
              <w:t xml:space="preserve">Mise en place d'itinéraires culturels </w:t>
            </w:r>
          </w:p>
        </w:tc>
        <w:tc>
          <w:tcPr>
            <w:tcW w:w="1106" w:type="dxa"/>
            <w:shd w:val="clear" w:color="auto" w:fill="C6EFCE"/>
            <w:noWrap/>
          </w:tcPr>
          <w:p w14:paraId="0F284C5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1804E43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68A6CFC6" w14:textId="028B6D09" w:rsidR="00A00259" w:rsidRDefault="00A00259">
            <w:pPr>
              <w:spacing w:after="0" w:line="240" w:lineRule="auto"/>
              <w:rPr>
                <w:rFonts w:ascii="Times New Roman" w:hAnsi="Times New Roman" w:cs="Times New Roman"/>
                <w:noProof/>
                <w:color w:val="006100"/>
                <w:sz w:val="18"/>
                <w:szCs w:val="18"/>
              </w:rPr>
            </w:pPr>
          </w:p>
        </w:tc>
        <w:tc>
          <w:tcPr>
            <w:tcW w:w="992" w:type="dxa"/>
            <w:shd w:val="clear" w:color="auto" w:fill="C6EFCE"/>
          </w:tcPr>
          <w:p w14:paraId="627DD670" w14:textId="3C678368" w:rsidR="00A00259" w:rsidRDefault="00371282">
            <w:pPr>
              <w:pStyle w:val="P68B1DB1-Normal12"/>
              <w:spacing w:after="0" w:line="240" w:lineRule="auto"/>
              <w:rPr>
                <w:noProof/>
              </w:rPr>
            </w:pPr>
            <w:r>
              <w:rPr>
                <w:noProof/>
              </w:rPr>
              <w:t>T4</w:t>
            </w:r>
          </w:p>
        </w:tc>
        <w:tc>
          <w:tcPr>
            <w:tcW w:w="851" w:type="dxa"/>
            <w:shd w:val="clear" w:color="auto" w:fill="C6EFCE"/>
          </w:tcPr>
          <w:p w14:paraId="0EB3160D" w14:textId="2EE1187B" w:rsidR="00A00259" w:rsidRDefault="00371282">
            <w:pPr>
              <w:pStyle w:val="P68B1DB1-Normal12"/>
              <w:spacing w:after="0" w:line="240" w:lineRule="auto"/>
              <w:rPr>
                <w:noProof/>
              </w:rPr>
            </w:pPr>
            <w:r>
              <w:rPr>
                <w:noProof/>
              </w:rPr>
              <w:t>2025</w:t>
            </w:r>
          </w:p>
        </w:tc>
        <w:tc>
          <w:tcPr>
            <w:tcW w:w="3005" w:type="dxa"/>
            <w:shd w:val="clear" w:color="auto" w:fill="C6EFCE"/>
            <w:noWrap/>
          </w:tcPr>
          <w:p w14:paraId="4B26A4B2" w14:textId="1EB7CDF8" w:rsidR="00A00259" w:rsidRDefault="00371282">
            <w:pPr>
              <w:pStyle w:val="P68B1DB1-Normal12"/>
              <w:spacing w:after="0" w:line="240" w:lineRule="auto"/>
              <w:rPr>
                <w:noProof/>
              </w:rPr>
            </w:pPr>
            <w:r>
              <w:rPr>
                <w:noProof/>
              </w:rPr>
              <w:t xml:space="preserve">Cinq itinéraires culturels avec des récits thématiques de l'histoire grecque sont établis, ainsi que des applications numériques. </w:t>
            </w:r>
          </w:p>
        </w:tc>
      </w:tr>
      <w:tr w:rsidR="00A00259" w14:paraId="39D43AA7" w14:textId="77777777" w:rsidTr="00096954">
        <w:trPr>
          <w:trHeight w:val="313"/>
          <w:jc w:val="center"/>
        </w:trPr>
        <w:tc>
          <w:tcPr>
            <w:tcW w:w="626" w:type="dxa"/>
            <w:shd w:val="clear" w:color="auto" w:fill="C6EFCE"/>
            <w:noWrap/>
          </w:tcPr>
          <w:p w14:paraId="578A8067" w14:textId="06EEA275" w:rsidR="00A00259" w:rsidRDefault="00371282">
            <w:pPr>
              <w:pStyle w:val="P68B1DB1-Normal12"/>
              <w:spacing w:after="0" w:line="240" w:lineRule="auto"/>
              <w:rPr>
                <w:noProof/>
              </w:rPr>
            </w:pPr>
            <w:r>
              <w:rPr>
                <w:noProof/>
              </w:rPr>
              <w:t>289</w:t>
            </w:r>
          </w:p>
        </w:tc>
        <w:tc>
          <w:tcPr>
            <w:tcW w:w="2144" w:type="dxa"/>
            <w:shd w:val="clear" w:color="auto" w:fill="C6EFCE"/>
            <w:noWrap/>
          </w:tcPr>
          <w:p w14:paraId="776CC8CE" w14:textId="6E6E8CC2" w:rsidR="00A00259" w:rsidRDefault="00371282">
            <w:pPr>
              <w:pStyle w:val="P68B1DB1-Normal12"/>
              <w:spacing w:after="0" w:line="240" w:lineRule="auto"/>
              <w:rPr>
                <w:noProof/>
              </w:rPr>
            </w:pPr>
            <w:r>
              <w:rPr>
                <w:noProof/>
              </w:rPr>
              <w:t>17 - 4.6. «Moderniser et améliorer la résilience des secteurs économiques clés» - 16735_ Utiliser des «actions pilotes de prescription culturelle», promouvoir la cohésion sociale et tirer parti de l’économie de l’argent</w:t>
            </w:r>
          </w:p>
        </w:tc>
        <w:tc>
          <w:tcPr>
            <w:tcW w:w="1117" w:type="dxa"/>
            <w:shd w:val="clear" w:color="auto" w:fill="C6EFCE"/>
            <w:noWrap/>
          </w:tcPr>
          <w:p w14:paraId="23607B6D" w14:textId="6D5D4192" w:rsidR="00A00259" w:rsidRDefault="00371282">
            <w:pPr>
              <w:pStyle w:val="P68B1DB1-Normal12"/>
              <w:spacing w:after="0" w:line="240" w:lineRule="auto"/>
              <w:rPr>
                <w:noProof/>
              </w:rPr>
            </w:pPr>
            <w:r>
              <w:rPr>
                <w:noProof/>
              </w:rPr>
              <w:t>Étape</w:t>
            </w:r>
          </w:p>
        </w:tc>
        <w:tc>
          <w:tcPr>
            <w:tcW w:w="1134" w:type="dxa"/>
            <w:shd w:val="clear" w:color="auto" w:fill="C6EFCE"/>
            <w:noWrap/>
          </w:tcPr>
          <w:p w14:paraId="476BD05A" w14:textId="622182DB" w:rsidR="00A00259" w:rsidRDefault="00371282">
            <w:pPr>
              <w:pStyle w:val="P68B1DB1-Normal12"/>
              <w:spacing w:after="0" w:line="240" w:lineRule="auto"/>
              <w:rPr>
                <w:noProof/>
              </w:rPr>
            </w:pPr>
            <w:r>
              <w:rPr>
                <w:noProof/>
              </w:rPr>
              <w:t xml:space="preserve"> Programme « Actions pilotes de prescription culturelle » et travaux d’infrastructure </w:t>
            </w:r>
          </w:p>
        </w:tc>
        <w:tc>
          <w:tcPr>
            <w:tcW w:w="2438" w:type="dxa"/>
            <w:shd w:val="clear" w:color="auto" w:fill="C6EFCE"/>
            <w:noWrap/>
          </w:tcPr>
          <w:p w14:paraId="36991F5E" w14:textId="70C31D76" w:rsidR="00A00259" w:rsidRDefault="00371282">
            <w:pPr>
              <w:pStyle w:val="P68B1DB1-Normal12"/>
              <w:spacing w:after="0" w:line="240" w:lineRule="auto"/>
              <w:rPr>
                <w:rFonts w:eastAsia="Times New Roman"/>
                <w:noProof/>
              </w:rPr>
            </w:pPr>
            <w:r>
              <w:rPr>
                <w:noProof/>
              </w:rPr>
              <w:t>Travaux d'infrastructure et ateliers</w:t>
            </w:r>
          </w:p>
        </w:tc>
        <w:tc>
          <w:tcPr>
            <w:tcW w:w="1106" w:type="dxa"/>
            <w:shd w:val="clear" w:color="auto" w:fill="C6EFCE"/>
            <w:noWrap/>
          </w:tcPr>
          <w:p w14:paraId="2B552DA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7DC5CEC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7572E0F7" w14:textId="3AA5FA74" w:rsidR="00A00259" w:rsidRDefault="00A00259">
            <w:pPr>
              <w:spacing w:after="0" w:line="240" w:lineRule="auto"/>
              <w:rPr>
                <w:rFonts w:ascii="Times New Roman" w:hAnsi="Times New Roman" w:cs="Times New Roman"/>
                <w:noProof/>
                <w:color w:val="006100"/>
                <w:sz w:val="18"/>
                <w:szCs w:val="18"/>
              </w:rPr>
            </w:pPr>
          </w:p>
        </w:tc>
        <w:tc>
          <w:tcPr>
            <w:tcW w:w="992" w:type="dxa"/>
            <w:shd w:val="clear" w:color="auto" w:fill="C6EFCE"/>
          </w:tcPr>
          <w:p w14:paraId="532D4A28" w14:textId="6A28F2C3" w:rsidR="00A00259" w:rsidRDefault="00371282">
            <w:pPr>
              <w:pStyle w:val="P68B1DB1-Normal12"/>
              <w:spacing w:after="0" w:line="240" w:lineRule="auto"/>
              <w:rPr>
                <w:noProof/>
              </w:rPr>
            </w:pPr>
            <w:r>
              <w:rPr>
                <w:noProof/>
              </w:rPr>
              <w:t>T4</w:t>
            </w:r>
          </w:p>
        </w:tc>
        <w:tc>
          <w:tcPr>
            <w:tcW w:w="851" w:type="dxa"/>
            <w:shd w:val="clear" w:color="auto" w:fill="C6EFCE"/>
          </w:tcPr>
          <w:p w14:paraId="289A0048" w14:textId="14524CC9" w:rsidR="00A00259" w:rsidRDefault="00371282">
            <w:pPr>
              <w:pStyle w:val="P68B1DB1-Normal12"/>
              <w:spacing w:after="0" w:line="240" w:lineRule="auto"/>
              <w:rPr>
                <w:noProof/>
              </w:rPr>
            </w:pPr>
            <w:r>
              <w:rPr>
                <w:noProof/>
              </w:rPr>
              <w:t>2025</w:t>
            </w:r>
          </w:p>
        </w:tc>
        <w:tc>
          <w:tcPr>
            <w:tcW w:w="3005" w:type="dxa"/>
            <w:shd w:val="clear" w:color="auto" w:fill="C6EFCE"/>
            <w:noWrap/>
          </w:tcPr>
          <w:p w14:paraId="07F0BECC" w14:textId="792A4E6E" w:rsidR="00A00259" w:rsidRDefault="00371282">
            <w:pPr>
              <w:pStyle w:val="P68B1DB1-Normal12"/>
              <w:spacing w:after="0" w:line="240" w:lineRule="auto"/>
              <w:rPr>
                <w:noProof/>
              </w:rPr>
            </w:pPr>
            <w:r>
              <w:rPr>
                <w:noProof/>
              </w:rPr>
              <w:t>Les travaux d'infrastructure dans 12 lieux culturels sont exécutés; extension / mise à niveau de l'application Hellenic Heritage Digital Guide avec des services guidés en signe international (IS); Le programme «Actions pilotes de prescription</w:t>
            </w:r>
            <w:r>
              <w:rPr>
                <w:noProof/>
                <w:u w:val="single"/>
              </w:rPr>
              <w:t xml:space="preserve"> </w:t>
            </w:r>
            <w:r>
              <w:rPr>
                <w:noProof/>
              </w:rPr>
              <w:t xml:space="preserve">culturelle» est réputé mis en œuvre une fois qu’au moins 100 ateliers ont été organisés. </w:t>
            </w:r>
          </w:p>
        </w:tc>
      </w:tr>
      <w:tr w:rsidR="00A00259" w14:paraId="79E5FE3F" w14:textId="77777777" w:rsidTr="00096954">
        <w:trPr>
          <w:trHeight w:val="313"/>
          <w:jc w:val="center"/>
        </w:trPr>
        <w:tc>
          <w:tcPr>
            <w:tcW w:w="626" w:type="dxa"/>
            <w:shd w:val="clear" w:color="auto" w:fill="C6EFCE"/>
            <w:noWrap/>
          </w:tcPr>
          <w:p w14:paraId="77E8F3DE" w14:textId="3BE700F2" w:rsidR="00A00259" w:rsidRDefault="00371282">
            <w:pPr>
              <w:pStyle w:val="P68B1DB1-Normal12"/>
              <w:spacing w:after="0" w:line="240" w:lineRule="auto"/>
              <w:rPr>
                <w:noProof/>
              </w:rPr>
            </w:pPr>
            <w:r>
              <w:rPr>
                <w:noProof/>
              </w:rPr>
              <w:t>290</w:t>
            </w:r>
          </w:p>
        </w:tc>
        <w:tc>
          <w:tcPr>
            <w:tcW w:w="2144" w:type="dxa"/>
            <w:shd w:val="clear" w:color="auto" w:fill="C6EFCE"/>
            <w:noWrap/>
          </w:tcPr>
          <w:p w14:paraId="3EE09059" w14:textId="281C0CBF" w:rsidR="00A00259" w:rsidRDefault="00371282">
            <w:pPr>
              <w:pStyle w:val="P68B1DB1-Normal12"/>
              <w:spacing w:after="0" w:line="240" w:lineRule="auto"/>
              <w:rPr>
                <w:noProof/>
              </w:rPr>
            </w:pPr>
            <w:r>
              <w:rPr>
                <w:noProof/>
              </w:rPr>
              <w:t>17 - 4.6. 16433_Protection des monuments culturels et des sites archéologiques contre le changement climatique</w:t>
            </w:r>
          </w:p>
        </w:tc>
        <w:tc>
          <w:tcPr>
            <w:tcW w:w="1117" w:type="dxa"/>
            <w:shd w:val="clear" w:color="auto" w:fill="C6EFCE"/>
            <w:noWrap/>
          </w:tcPr>
          <w:p w14:paraId="480E742F" w14:textId="5721C424" w:rsidR="00A00259" w:rsidRDefault="00371282">
            <w:pPr>
              <w:pStyle w:val="P68B1DB1-Normal12"/>
              <w:spacing w:after="0" w:line="240" w:lineRule="auto"/>
              <w:rPr>
                <w:noProof/>
              </w:rPr>
            </w:pPr>
            <w:r>
              <w:rPr>
                <w:noProof/>
              </w:rPr>
              <w:t xml:space="preserve">Étape </w:t>
            </w:r>
          </w:p>
        </w:tc>
        <w:tc>
          <w:tcPr>
            <w:tcW w:w="1134" w:type="dxa"/>
            <w:shd w:val="clear" w:color="auto" w:fill="C6EFCE"/>
            <w:noWrap/>
          </w:tcPr>
          <w:p w14:paraId="6D8BFE59" w14:textId="456E813A" w:rsidR="00A00259" w:rsidRDefault="00371282">
            <w:pPr>
              <w:pStyle w:val="P68B1DB1-Normal12"/>
              <w:spacing w:after="0" w:line="240" w:lineRule="auto"/>
              <w:rPr>
                <w:noProof/>
              </w:rPr>
            </w:pPr>
            <w:r>
              <w:rPr>
                <w:noProof/>
              </w:rPr>
              <w:t>Protection des monuments culturels contre le changement climatique</w:t>
            </w:r>
          </w:p>
        </w:tc>
        <w:tc>
          <w:tcPr>
            <w:tcW w:w="2438" w:type="dxa"/>
            <w:shd w:val="clear" w:color="auto" w:fill="C6EFCE"/>
            <w:noWrap/>
          </w:tcPr>
          <w:p w14:paraId="3729FC18" w14:textId="45D8DFA2" w:rsidR="00A00259" w:rsidRDefault="00371282">
            <w:pPr>
              <w:pStyle w:val="P68B1DB1-Normal12"/>
              <w:spacing w:after="0" w:line="240" w:lineRule="auto"/>
              <w:rPr>
                <w:rFonts w:eastAsia="Times New Roman"/>
                <w:noProof/>
              </w:rPr>
            </w:pPr>
            <w:r>
              <w:rPr>
                <w:noProof/>
              </w:rPr>
              <w:t>Exécution des travaux et mise en œuvre des plans d’adaptation au changement climatique</w:t>
            </w:r>
          </w:p>
        </w:tc>
        <w:tc>
          <w:tcPr>
            <w:tcW w:w="1106" w:type="dxa"/>
            <w:shd w:val="clear" w:color="auto" w:fill="C6EFCE"/>
            <w:noWrap/>
          </w:tcPr>
          <w:p w14:paraId="60B8EB7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312D869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54A8F0C6" w14:textId="4EC5A946" w:rsidR="00A00259" w:rsidRDefault="00A00259">
            <w:pPr>
              <w:spacing w:after="0" w:line="240" w:lineRule="auto"/>
              <w:rPr>
                <w:rFonts w:ascii="Times New Roman" w:hAnsi="Times New Roman" w:cs="Times New Roman"/>
                <w:noProof/>
                <w:color w:val="006100"/>
                <w:sz w:val="18"/>
                <w:szCs w:val="18"/>
              </w:rPr>
            </w:pPr>
          </w:p>
        </w:tc>
        <w:tc>
          <w:tcPr>
            <w:tcW w:w="992" w:type="dxa"/>
            <w:shd w:val="clear" w:color="auto" w:fill="C6EFCE"/>
          </w:tcPr>
          <w:p w14:paraId="7029B817" w14:textId="3FF615B5" w:rsidR="00A00259" w:rsidRDefault="00371282">
            <w:pPr>
              <w:pStyle w:val="P68B1DB1-Normal12"/>
              <w:spacing w:after="0" w:line="240" w:lineRule="auto"/>
              <w:rPr>
                <w:noProof/>
              </w:rPr>
            </w:pPr>
            <w:r>
              <w:rPr>
                <w:noProof/>
              </w:rPr>
              <w:t>T4</w:t>
            </w:r>
          </w:p>
        </w:tc>
        <w:tc>
          <w:tcPr>
            <w:tcW w:w="851" w:type="dxa"/>
            <w:shd w:val="clear" w:color="auto" w:fill="C6EFCE"/>
          </w:tcPr>
          <w:p w14:paraId="3A918408" w14:textId="4A990ED7" w:rsidR="00A00259" w:rsidRDefault="00371282">
            <w:pPr>
              <w:pStyle w:val="P68B1DB1-Normal12"/>
              <w:spacing w:after="0" w:line="240" w:lineRule="auto"/>
              <w:rPr>
                <w:noProof/>
              </w:rPr>
            </w:pPr>
            <w:r>
              <w:rPr>
                <w:noProof/>
              </w:rPr>
              <w:t>2025</w:t>
            </w:r>
          </w:p>
        </w:tc>
        <w:tc>
          <w:tcPr>
            <w:tcW w:w="3005" w:type="dxa"/>
            <w:shd w:val="clear" w:color="auto" w:fill="C6EFCE"/>
            <w:noWrap/>
          </w:tcPr>
          <w:p w14:paraId="0C9D5D1C" w14:textId="77777777" w:rsidR="00A00259" w:rsidRDefault="00371282">
            <w:pPr>
              <w:pStyle w:val="P68B1DB1-ListParagraph34"/>
              <w:numPr>
                <w:ilvl w:val="0"/>
                <w:numId w:val="81"/>
              </w:numPr>
              <w:spacing w:after="0" w:line="240" w:lineRule="auto"/>
              <w:rPr>
                <w:noProof/>
              </w:rPr>
            </w:pPr>
            <w:r>
              <w:rPr>
                <w:noProof/>
              </w:rPr>
              <w:t xml:space="preserve">Les travaux pour 5 monuments culturels sont exécutés; </w:t>
            </w:r>
          </w:p>
          <w:p w14:paraId="6CF12359" w14:textId="32DD3DD4" w:rsidR="00A00259" w:rsidRDefault="00371282">
            <w:pPr>
              <w:pStyle w:val="P68B1DB1-ListParagraph34"/>
              <w:numPr>
                <w:ilvl w:val="0"/>
                <w:numId w:val="81"/>
              </w:numPr>
              <w:spacing w:after="0" w:line="240" w:lineRule="auto"/>
              <w:rPr>
                <w:noProof/>
              </w:rPr>
            </w:pPr>
            <w:r>
              <w:rPr>
                <w:noProof/>
              </w:rPr>
              <w:t xml:space="preserve">Mise en œuvre de plans d’adaptation au changement climatique pour 19 sites du patrimoine culturel; </w:t>
            </w:r>
          </w:p>
        </w:tc>
      </w:tr>
      <w:tr w:rsidR="00A00259" w14:paraId="48E6867F" w14:textId="77777777" w:rsidTr="00096954">
        <w:trPr>
          <w:trHeight w:val="313"/>
          <w:jc w:val="center"/>
        </w:trPr>
        <w:tc>
          <w:tcPr>
            <w:tcW w:w="626" w:type="dxa"/>
            <w:shd w:val="clear" w:color="auto" w:fill="C6EFCE"/>
            <w:noWrap/>
          </w:tcPr>
          <w:p w14:paraId="1E475BD7" w14:textId="6BD3F896" w:rsidR="00A00259" w:rsidRDefault="00371282">
            <w:pPr>
              <w:pStyle w:val="P68B1DB1-Normal12"/>
              <w:spacing w:after="0" w:line="240" w:lineRule="auto"/>
              <w:rPr>
                <w:noProof/>
              </w:rPr>
            </w:pPr>
            <w:r>
              <w:rPr>
                <w:noProof/>
              </w:rPr>
              <w:t>291</w:t>
            </w:r>
          </w:p>
        </w:tc>
        <w:tc>
          <w:tcPr>
            <w:tcW w:w="2144" w:type="dxa"/>
            <w:shd w:val="clear" w:color="auto" w:fill="C6EFCE"/>
            <w:noWrap/>
          </w:tcPr>
          <w:p w14:paraId="329B0D2A" w14:textId="3DF47433" w:rsidR="00A00259" w:rsidRDefault="00371282">
            <w:pPr>
              <w:pStyle w:val="P68B1DB1-Normal12"/>
              <w:spacing w:after="0" w:line="240" w:lineRule="auto"/>
              <w:rPr>
                <w:noProof/>
              </w:rPr>
            </w:pPr>
            <w:r>
              <w:rPr>
                <w:noProof/>
              </w:rPr>
              <w:t>17 - 4.6. 16435 _Restauration - Conservation - Mise en valeur des monuments de l'Acropole</w:t>
            </w:r>
          </w:p>
        </w:tc>
        <w:tc>
          <w:tcPr>
            <w:tcW w:w="1117" w:type="dxa"/>
            <w:shd w:val="clear" w:color="auto" w:fill="C6EFCE"/>
            <w:noWrap/>
          </w:tcPr>
          <w:p w14:paraId="661A9CF8" w14:textId="77777777" w:rsidR="00A00259" w:rsidRDefault="00371282">
            <w:pPr>
              <w:pStyle w:val="P68B1DB1-Normal12"/>
              <w:spacing w:after="0" w:line="240" w:lineRule="auto"/>
              <w:rPr>
                <w:rFonts w:eastAsia="Times New Roman"/>
                <w:noProof/>
              </w:rPr>
            </w:pPr>
            <w:r>
              <w:rPr>
                <w:noProof/>
              </w:rPr>
              <w:t>Étape</w:t>
            </w:r>
          </w:p>
          <w:p w14:paraId="0154D7BB" w14:textId="77777777" w:rsidR="00A00259" w:rsidRDefault="00A00259">
            <w:pPr>
              <w:spacing w:after="0" w:line="240" w:lineRule="auto"/>
              <w:rPr>
                <w:rFonts w:ascii="Times New Roman" w:hAnsi="Times New Roman" w:cs="Times New Roman"/>
                <w:noProof/>
                <w:color w:val="006100"/>
                <w:sz w:val="18"/>
                <w:szCs w:val="18"/>
              </w:rPr>
            </w:pPr>
          </w:p>
        </w:tc>
        <w:tc>
          <w:tcPr>
            <w:tcW w:w="1134" w:type="dxa"/>
            <w:shd w:val="clear" w:color="auto" w:fill="C6EFCE"/>
            <w:noWrap/>
          </w:tcPr>
          <w:p w14:paraId="2EE4E1BF" w14:textId="2604CB22" w:rsidR="00A00259" w:rsidRDefault="00371282">
            <w:pPr>
              <w:pStyle w:val="P68B1DB1-Normal12"/>
              <w:spacing w:after="0" w:line="240" w:lineRule="auto"/>
              <w:rPr>
                <w:noProof/>
              </w:rPr>
            </w:pPr>
            <w:r>
              <w:rPr>
                <w:noProof/>
              </w:rPr>
              <w:t>Restauration - Conservation - Mise en valeur de l'Acropole</w:t>
            </w:r>
          </w:p>
        </w:tc>
        <w:tc>
          <w:tcPr>
            <w:tcW w:w="2438" w:type="dxa"/>
            <w:shd w:val="clear" w:color="auto" w:fill="C6EFCE"/>
            <w:noWrap/>
          </w:tcPr>
          <w:p w14:paraId="4C9D845B" w14:textId="22968E98" w:rsidR="00A00259" w:rsidRDefault="00371282">
            <w:pPr>
              <w:pStyle w:val="P68B1DB1-Normal12"/>
              <w:spacing w:after="0" w:line="240" w:lineRule="auto"/>
              <w:rPr>
                <w:rFonts w:eastAsia="Times New Roman"/>
                <w:noProof/>
              </w:rPr>
            </w:pPr>
            <w:r>
              <w:rPr>
                <w:noProof/>
              </w:rPr>
              <w:t xml:space="preserve">Achèvement des travaux de restauration, de conservation et d'accessibilité des visiteurs </w:t>
            </w:r>
          </w:p>
        </w:tc>
        <w:tc>
          <w:tcPr>
            <w:tcW w:w="1106" w:type="dxa"/>
            <w:shd w:val="clear" w:color="auto" w:fill="C6EFCE"/>
            <w:noWrap/>
          </w:tcPr>
          <w:p w14:paraId="51EB69E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4F4A354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1A7E1F78" w14:textId="47ABF227" w:rsidR="00A00259" w:rsidRDefault="00A00259">
            <w:pPr>
              <w:spacing w:after="0" w:line="240" w:lineRule="auto"/>
              <w:rPr>
                <w:rFonts w:ascii="Times New Roman" w:hAnsi="Times New Roman" w:cs="Times New Roman"/>
                <w:noProof/>
                <w:color w:val="006100"/>
                <w:sz w:val="18"/>
                <w:szCs w:val="18"/>
              </w:rPr>
            </w:pPr>
          </w:p>
        </w:tc>
        <w:tc>
          <w:tcPr>
            <w:tcW w:w="992" w:type="dxa"/>
            <w:shd w:val="clear" w:color="auto" w:fill="C6EFCE"/>
          </w:tcPr>
          <w:p w14:paraId="7389EFAB" w14:textId="5EAB85B0" w:rsidR="00A00259" w:rsidRDefault="00371282">
            <w:pPr>
              <w:pStyle w:val="P68B1DB1-Normal12"/>
              <w:spacing w:after="0" w:line="240" w:lineRule="auto"/>
              <w:rPr>
                <w:noProof/>
              </w:rPr>
            </w:pPr>
            <w:r>
              <w:rPr>
                <w:noProof/>
              </w:rPr>
              <w:t>T4</w:t>
            </w:r>
          </w:p>
        </w:tc>
        <w:tc>
          <w:tcPr>
            <w:tcW w:w="851" w:type="dxa"/>
            <w:shd w:val="clear" w:color="auto" w:fill="C6EFCE"/>
          </w:tcPr>
          <w:p w14:paraId="6CEAE2BF" w14:textId="79A37761" w:rsidR="00A00259" w:rsidRDefault="00371282">
            <w:pPr>
              <w:pStyle w:val="P68B1DB1-Normal12"/>
              <w:spacing w:after="0" w:line="240" w:lineRule="auto"/>
              <w:rPr>
                <w:noProof/>
              </w:rPr>
            </w:pPr>
            <w:r>
              <w:rPr>
                <w:noProof/>
              </w:rPr>
              <w:t>2025</w:t>
            </w:r>
          </w:p>
        </w:tc>
        <w:tc>
          <w:tcPr>
            <w:tcW w:w="3005" w:type="dxa"/>
            <w:shd w:val="clear" w:color="auto" w:fill="C6EFCE"/>
            <w:noWrap/>
          </w:tcPr>
          <w:p w14:paraId="2E53335F" w14:textId="3C3E73CC" w:rsidR="00A00259" w:rsidRDefault="00371282">
            <w:pPr>
              <w:pStyle w:val="P68B1DB1-Normal12"/>
              <w:spacing w:after="0" w:line="240" w:lineRule="auto"/>
              <w:rPr>
                <w:noProof/>
              </w:rPr>
            </w:pPr>
            <w:r>
              <w:rPr>
                <w:noProof/>
              </w:rPr>
              <w:t>Les travaux de restauration, de conservation et d'accessibilité aux visiteurs des monuments de l'Acropole sont certifiés par des certificats d'achèvement.</w:t>
            </w:r>
          </w:p>
        </w:tc>
      </w:tr>
    </w:tbl>
    <w:p w14:paraId="41DD2A29" w14:textId="77777777" w:rsidR="00A00259" w:rsidRDefault="00A00259">
      <w:pPr>
        <w:spacing w:before="120" w:after="0" w:line="240" w:lineRule="auto"/>
        <w:jc w:val="both"/>
        <w:rPr>
          <w:rFonts w:ascii="Times New Roman" w:hAnsi="Times New Roman" w:cs="Times New Roman"/>
          <w:noProof/>
          <w:sz w:val="24"/>
        </w:rPr>
        <w:sectPr w:rsidR="00A00259">
          <w:headerReference w:type="even" r:id="rId336"/>
          <w:headerReference w:type="default" r:id="rId337"/>
          <w:footerReference w:type="even" r:id="rId338"/>
          <w:footerReference w:type="default" r:id="rId339"/>
          <w:headerReference w:type="first" r:id="rId340"/>
          <w:footerReference w:type="first" r:id="rId341"/>
          <w:pgSz w:w="16839" w:h="11907" w:orient="landscape"/>
          <w:pgMar w:top="1134" w:right="1134" w:bottom="1134" w:left="1134" w:header="567" w:footer="567" w:gutter="0"/>
          <w:cols w:space="720"/>
          <w:docGrid w:linePitch="360"/>
        </w:sectPr>
      </w:pPr>
    </w:p>
    <w:p w14:paraId="5CA74886" w14:textId="77777777" w:rsidR="00A00259" w:rsidRDefault="00371282">
      <w:pPr>
        <w:pStyle w:val="P68B1DB1-Normal9"/>
        <w:keepNext/>
        <w:keepLines/>
        <w:spacing w:before="40" w:after="0" w:line="240" w:lineRule="auto"/>
        <w:jc w:val="both"/>
        <w:outlineLvl w:val="4"/>
        <w:rPr>
          <w:rFonts w:eastAsia="Times New Roman"/>
          <w:noProof/>
        </w:rPr>
      </w:pPr>
      <w:r>
        <w:rPr>
          <w:noProof/>
        </w:rPr>
        <w:t>Groupe 26: Tourisme et expédition</w:t>
      </w:r>
    </w:p>
    <w:p w14:paraId="18963086" w14:textId="77777777" w:rsidR="00A00259" w:rsidRDefault="00371282">
      <w:pPr>
        <w:pStyle w:val="P68B1DB1-Normal5"/>
        <w:numPr>
          <w:ilvl w:val="0"/>
          <w:numId w:val="80"/>
        </w:numPr>
        <w:spacing w:before="120" w:after="0" w:line="240" w:lineRule="auto"/>
        <w:jc w:val="both"/>
        <w:rPr>
          <w:rFonts w:cs="Times New Roman"/>
          <w:noProof/>
        </w:rPr>
      </w:pPr>
      <w:r>
        <w:rPr>
          <w:noProof/>
        </w:rPr>
        <w:t>Développement du tourisme (comprend le sous-projet «Interventions de modernisation des ports touristiques») (ID: 16931)</w:t>
      </w:r>
    </w:p>
    <w:p w14:paraId="54D0311C" w14:textId="77777777" w:rsidR="00A00259" w:rsidRDefault="00371282">
      <w:pPr>
        <w:pStyle w:val="P68B1DB1-Normal5"/>
        <w:numPr>
          <w:ilvl w:val="0"/>
          <w:numId w:val="80"/>
        </w:numPr>
        <w:spacing w:before="120" w:after="0" w:line="240" w:lineRule="auto"/>
        <w:jc w:val="both"/>
        <w:rPr>
          <w:rFonts w:cs="Times New Roman"/>
          <w:noProof/>
        </w:rPr>
      </w:pPr>
      <w:r>
        <w:rPr>
          <w:noProof/>
        </w:rPr>
        <w:t>La reconversion et le perfectionnement professionnels dans le tourisme (ID: 16921)</w:t>
      </w:r>
    </w:p>
    <w:p w14:paraId="51F8F45C" w14:textId="77777777" w:rsidR="00A00259" w:rsidRDefault="00371282">
      <w:pPr>
        <w:pStyle w:val="P68B1DB1-Normal5"/>
        <w:numPr>
          <w:ilvl w:val="0"/>
          <w:numId w:val="80"/>
        </w:numPr>
        <w:spacing w:before="120" w:after="0" w:line="240" w:lineRule="auto"/>
        <w:jc w:val="both"/>
        <w:rPr>
          <w:rFonts w:cs="Times New Roman"/>
          <w:noProof/>
        </w:rPr>
      </w:pPr>
      <w:r>
        <w:rPr>
          <w:noProof/>
        </w:rPr>
        <w:t>Mise à niveau des interventions pour les ports régionaux (ID: 16975)</w:t>
      </w:r>
    </w:p>
    <w:p w14:paraId="56C34A8F" w14:textId="77777777" w:rsidR="00A00259" w:rsidRDefault="00371282">
      <w:pPr>
        <w:pStyle w:val="P68B1DB1-Normal5"/>
        <w:numPr>
          <w:ilvl w:val="0"/>
          <w:numId w:val="80"/>
        </w:numPr>
        <w:spacing w:before="120" w:after="0" w:line="240" w:lineRule="auto"/>
        <w:jc w:val="both"/>
        <w:rPr>
          <w:rFonts w:cs="Times New Roman"/>
          <w:noProof/>
        </w:rPr>
      </w:pPr>
      <w:r>
        <w:rPr>
          <w:noProof/>
        </w:rPr>
        <w:t>Plan directeur pour le renouvellement de la flotte grecque de transport de passagers (ID: 16944)</w:t>
      </w:r>
    </w:p>
    <w:tbl>
      <w:tblPr>
        <w:tblW w:w="16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2500"/>
        <w:gridCol w:w="1230"/>
        <w:gridCol w:w="1628"/>
        <w:gridCol w:w="1909"/>
        <w:gridCol w:w="1741"/>
        <w:gridCol w:w="936"/>
        <w:gridCol w:w="846"/>
        <w:gridCol w:w="986"/>
        <w:gridCol w:w="706"/>
        <w:gridCol w:w="3536"/>
      </w:tblGrid>
      <w:tr w:rsidR="00A00259" w14:paraId="098F17C2" w14:textId="77777777">
        <w:trPr>
          <w:trHeight w:val="594"/>
          <w:tblHeader/>
          <w:jc w:val="center"/>
        </w:trPr>
        <w:tc>
          <w:tcPr>
            <w:tcW w:w="583" w:type="dxa"/>
            <w:vMerge w:val="restart"/>
            <w:shd w:val="clear" w:color="auto" w:fill="BDD7EE"/>
            <w:vAlign w:val="center"/>
            <w:hideMark/>
          </w:tcPr>
          <w:p w14:paraId="1D102153" w14:textId="77777777" w:rsidR="00A00259" w:rsidRDefault="00371282">
            <w:pPr>
              <w:pStyle w:val="P68B1DB1-Normal15"/>
              <w:spacing w:after="0" w:line="240" w:lineRule="auto"/>
              <w:jc w:val="center"/>
              <w:rPr>
                <w:rFonts w:eastAsia="Times New Roman"/>
                <w:noProof/>
              </w:rPr>
            </w:pPr>
            <w:r>
              <w:rPr>
                <w:noProof/>
              </w:rPr>
              <w:t xml:space="preserve">Seq. </w:t>
            </w:r>
            <w:r>
              <w:rPr>
                <w:noProof/>
              </w:rPr>
              <w:br/>
              <w:t>Non.</w:t>
            </w:r>
          </w:p>
        </w:tc>
        <w:tc>
          <w:tcPr>
            <w:tcW w:w="2500" w:type="dxa"/>
            <w:vMerge w:val="restart"/>
            <w:shd w:val="clear" w:color="auto" w:fill="BDD7EE"/>
            <w:vAlign w:val="center"/>
            <w:hideMark/>
          </w:tcPr>
          <w:p w14:paraId="0EDB2AAC" w14:textId="77777777" w:rsidR="00A00259" w:rsidRDefault="00371282">
            <w:pPr>
              <w:pStyle w:val="P68B1DB1-Normal10"/>
              <w:spacing w:after="0" w:line="240" w:lineRule="auto"/>
              <w:jc w:val="center"/>
              <w:rPr>
                <w:rFonts w:eastAsia="Times New Roman" w:cs="Times New Roman"/>
                <w:noProof/>
                <w:szCs w:val="18"/>
              </w:rPr>
            </w:pPr>
            <w:r>
              <w:rPr>
                <w:noProof/>
              </w:rPr>
              <w:t>Mesure connexe (réforme ou investissement)</w:t>
            </w:r>
          </w:p>
        </w:tc>
        <w:tc>
          <w:tcPr>
            <w:tcW w:w="1230" w:type="dxa"/>
            <w:vMerge w:val="restart"/>
            <w:shd w:val="clear" w:color="auto" w:fill="BDD7EE"/>
            <w:vAlign w:val="center"/>
            <w:hideMark/>
          </w:tcPr>
          <w:p w14:paraId="0900C0D6" w14:textId="77777777" w:rsidR="00A00259" w:rsidRDefault="00371282">
            <w:pPr>
              <w:pStyle w:val="P68B1DB1-Normal10"/>
              <w:spacing w:after="0" w:line="240" w:lineRule="auto"/>
              <w:jc w:val="center"/>
              <w:rPr>
                <w:rFonts w:eastAsia="Times New Roman" w:cs="Times New Roman"/>
                <w:noProof/>
                <w:szCs w:val="18"/>
              </w:rPr>
            </w:pPr>
            <w:r>
              <w:rPr>
                <w:noProof/>
              </w:rPr>
              <w:t>Étape/cible</w:t>
            </w:r>
          </w:p>
        </w:tc>
        <w:tc>
          <w:tcPr>
            <w:tcW w:w="1628" w:type="dxa"/>
            <w:vMerge w:val="restart"/>
            <w:shd w:val="clear" w:color="auto" w:fill="BDD7EE"/>
            <w:vAlign w:val="center"/>
            <w:hideMark/>
          </w:tcPr>
          <w:p w14:paraId="7CF275A1" w14:textId="77777777" w:rsidR="00A00259" w:rsidRDefault="00371282">
            <w:pPr>
              <w:pStyle w:val="P68B1DB1-Normal10"/>
              <w:spacing w:after="0" w:line="240" w:lineRule="auto"/>
              <w:jc w:val="center"/>
              <w:rPr>
                <w:rFonts w:eastAsia="Times New Roman" w:cs="Times New Roman"/>
                <w:noProof/>
                <w:szCs w:val="18"/>
              </w:rPr>
            </w:pPr>
            <w:r>
              <w:rPr>
                <w:noProof/>
              </w:rPr>
              <w:t>Nom</w:t>
            </w:r>
          </w:p>
        </w:tc>
        <w:tc>
          <w:tcPr>
            <w:tcW w:w="1909" w:type="dxa"/>
            <w:vMerge w:val="restart"/>
            <w:shd w:val="clear" w:color="auto" w:fill="BDD7EE"/>
            <w:vAlign w:val="center"/>
            <w:hideMark/>
          </w:tcPr>
          <w:p w14:paraId="7C97A1E9" w14:textId="77777777" w:rsidR="00A00259" w:rsidRDefault="00371282">
            <w:pPr>
              <w:pStyle w:val="P68B1DB1-Normal10"/>
              <w:spacing w:after="0" w:line="240" w:lineRule="auto"/>
              <w:jc w:val="center"/>
              <w:rPr>
                <w:rFonts w:eastAsia="Times New Roman" w:cs="Times New Roman"/>
                <w:noProof/>
                <w:szCs w:val="18"/>
              </w:rPr>
            </w:pPr>
            <w:r>
              <w:rPr>
                <w:noProof/>
              </w:rPr>
              <w:t>Indicateurs qualitatifs (pour les jalons)</w:t>
            </w:r>
          </w:p>
        </w:tc>
        <w:tc>
          <w:tcPr>
            <w:tcW w:w="3311" w:type="dxa"/>
            <w:gridSpan w:val="3"/>
            <w:shd w:val="clear" w:color="auto" w:fill="BDD7EE"/>
            <w:vAlign w:val="center"/>
            <w:hideMark/>
          </w:tcPr>
          <w:p w14:paraId="602B74BC" w14:textId="77777777" w:rsidR="00A00259" w:rsidRDefault="00371282">
            <w:pPr>
              <w:pStyle w:val="P68B1DB1-Normal10"/>
              <w:spacing w:after="0" w:line="240" w:lineRule="auto"/>
              <w:jc w:val="center"/>
              <w:rPr>
                <w:rFonts w:eastAsia="Times New Roman" w:cs="Times New Roman"/>
                <w:noProof/>
                <w:szCs w:val="18"/>
              </w:rPr>
            </w:pPr>
            <w:r>
              <w:rPr>
                <w:noProof/>
              </w:rPr>
              <w:t>Indicateurs quantitatifs (pour les objectifs)</w:t>
            </w:r>
          </w:p>
        </w:tc>
        <w:tc>
          <w:tcPr>
            <w:tcW w:w="1648" w:type="dxa"/>
            <w:gridSpan w:val="2"/>
            <w:shd w:val="clear" w:color="auto" w:fill="BDD7EE"/>
            <w:vAlign w:val="center"/>
            <w:hideMark/>
          </w:tcPr>
          <w:p w14:paraId="7E2A2B55" w14:textId="77777777" w:rsidR="00A00259" w:rsidRDefault="00371282">
            <w:pPr>
              <w:pStyle w:val="P68B1DB1-Normal10"/>
              <w:spacing w:after="0" w:line="240" w:lineRule="auto"/>
              <w:jc w:val="center"/>
              <w:rPr>
                <w:rFonts w:eastAsia="Times New Roman" w:cs="Times New Roman"/>
                <w:noProof/>
                <w:szCs w:val="18"/>
              </w:rPr>
            </w:pPr>
            <w:r>
              <w:rPr>
                <w:noProof/>
              </w:rPr>
              <w:t xml:space="preserve">Calendrier indicatif d'achèvement </w:t>
            </w:r>
          </w:p>
        </w:tc>
        <w:tc>
          <w:tcPr>
            <w:tcW w:w="3536" w:type="dxa"/>
            <w:vMerge w:val="restart"/>
            <w:shd w:val="clear" w:color="auto" w:fill="BDD7EE"/>
            <w:vAlign w:val="center"/>
            <w:hideMark/>
          </w:tcPr>
          <w:p w14:paraId="32CD5052" w14:textId="77777777" w:rsidR="00A00259" w:rsidRDefault="00371282">
            <w:pPr>
              <w:pStyle w:val="P68B1DB1-Normal10"/>
              <w:spacing w:after="0" w:line="240" w:lineRule="auto"/>
              <w:jc w:val="center"/>
              <w:rPr>
                <w:rFonts w:eastAsia="Times New Roman" w:cs="Times New Roman"/>
                <w:noProof/>
                <w:szCs w:val="18"/>
              </w:rPr>
            </w:pPr>
            <w:r>
              <w:rPr>
                <w:noProof/>
              </w:rPr>
              <w:t>Description de chaque jalon et cible</w:t>
            </w:r>
          </w:p>
        </w:tc>
      </w:tr>
      <w:tr w:rsidR="00A00259" w14:paraId="5C4774D5" w14:textId="77777777">
        <w:trPr>
          <w:trHeight w:val="508"/>
          <w:tblHeader/>
          <w:jc w:val="center"/>
        </w:trPr>
        <w:tc>
          <w:tcPr>
            <w:tcW w:w="583" w:type="dxa"/>
            <w:vMerge/>
            <w:vAlign w:val="center"/>
            <w:hideMark/>
          </w:tcPr>
          <w:p w14:paraId="518F2945" w14:textId="77777777" w:rsidR="00A00259" w:rsidRDefault="00A00259">
            <w:pPr>
              <w:spacing w:after="0" w:line="240" w:lineRule="auto"/>
              <w:rPr>
                <w:rFonts w:ascii="Times New Roman" w:eastAsia="Times New Roman" w:hAnsi="Times New Roman" w:cs="Times New Roman"/>
                <w:b/>
                <w:bCs/>
                <w:noProof/>
                <w:sz w:val="18"/>
                <w:szCs w:val="18"/>
              </w:rPr>
            </w:pPr>
          </w:p>
        </w:tc>
        <w:tc>
          <w:tcPr>
            <w:tcW w:w="2500" w:type="dxa"/>
            <w:vMerge/>
            <w:vAlign w:val="center"/>
            <w:hideMark/>
          </w:tcPr>
          <w:p w14:paraId="7C2F13F4" w14:textId="77777777" w:rsidR="00A00259" w:rsidRDefault="00A00259">
            <w:pPr>
              <w:spacing w:after="0" w:line="240" w:lineRule="auto"/>
              <w:rPr>
                <w:rFonts w:ascii="Times New Roman" w:eastAsia="Times New Roman" w:hAnsi="Times New Roman" w:cs="Times New Roman"/>
                <w:b/>
                <w:bCs/>
                <w:noProof/>
                <w:sz w:val="18"/>
                <w:szCs w:val="18"/>
              </w:rPr>
            </w:pPr>
          </w:p>
        </w:tc>
        <w:tc>
          <w:tcPr>
            <w:tcW w:w="1230" w:type="dxa"/>
            <w:vMerge/>
            <w:vAlign w:val="center"/>
            <w:hideMark/>
          </w:tcPr>
          <w:p w14:paraId="351D7A51" w14:textId="77777777" w:rsidR="00A00259" w:rsidRDefault="00A00259">
            <w:pPr>
              <w:spacing w:after="0" w:line="240" w:lineRule="auto"/>
              <w:rPr>
                <w:rFonts w:ascii="Times New Roman" w:eastAsia="Times New Roman" w:hAnsi="Times New Roman" w:cs="Times New Roman"/>
                <w:b/>
                <w:bCs/>
                <w:noProof/>
                <w:sz w:val="18"/>
                <w:szCs w:val="18"/>
              </w:rPr>
            </w:pPr>
          </w:p>
        </w:tc>
        <w:tc>
          <w:tcPr>
            <w:tcW w:w="1628" w:type="dxa"/>
            <w:vMerge/>
            <w:vAlign w:val="center"/>
            <w:hideMark/>
          </w:tcPr>
          <w:p w14:paraId="46EA46DF" w14:textId="77777777" w:rsidR="00A00259" w:rsidRDefault="00A00259">
            <w:pPr>
              <w:spacing w:after="0" w:line="240" w:lineRule="auto"/>
              <w:rPr>
                <w:rFonts w:ascii="Times New Roman" w:eastAsia="Times New Roman" w:hAnsi="Times New Roman" w:cs="Times New Roman"/>
                <w:b/>
                <w:bCs/>
                <w:noProof/>
                <w:sz w:val="18"/>
                <w:szCs w:val="18"/>
              </w:rPr>
            </w:pPr>
          </w:p>
        </w:tc>
        <w:tc>
          <w:tcPr>
            <w:tcW w:w="1909" w:type="dxa"/>
            <w:vMerge/>
            <w:vAlign w:val="center"/>
            <w:hideMark/>
          </w:tcPr>
          <w:p w14:paraId="24ADC3DD" w14:textId="77777777" w:rsidR="00A00259" w:rsidRDefault="00A00259">
            <w:pPr>
              <w:spacing w:after="0" w:line="240" w:lineRule="auto"/>
              <w:rPr>
                <w:rFonts w:ascii="Times New Roman" w:eastAsia="Times New Roman" w:hAnsi="Times New Roman" w:cs="Times New Roman"/>
                <w:b/>
                <w:bCs/>
                <w:noProof/>
                <w:sz w:val="18"/>
                <w:szCs w:val="18"/>
              </w:rPr>
            </w:pPr>
          </w:p>
        </w:tc>
        <w:tc>
          <w:tcPr>
            <w:tcW w:w="1741" w:type="dxa"/>
            <w:shd w:val="clear" w:color="auto" w:fill="BDD7EE"/>
            <w:vAlign w:val="center"/>
            <w:hideMark/>
          </w:tcPr>
          <w:p w14:paraId="393FA983" w14:textId="77777777" w:rsidR="00A00259" w:rsidRDefault="00371282">
            <w:pPr>
              <w:pStyle w:val="P68B1DB1-Normal10"/>
              <w:spacing w:after="0" w:line="240" w:lineRule="auto"/>
              <w:jc w:val="center"/>
              <w:rPr>
                <w:rFonts w:eastAsia="Times New Roman" w:cs="Times New Roman"/>
                <w:noProof/>
                <w:szCs w:val="18"/>
              </w:rPr>
            </w:pPr>
            <w:r>
              <w:rPr>
                <w:noProof/>
              </w:rPr>
              <w:t>Unité de mesure</w:t>
            </w:r>
          </w:p>
        </w:tc>
        <w:tc>
          <w:tcPr>
            <w:tcW w:w="857" w:type="dxa"/>
            <w:shd w:val="clear" w:color="auto" w:fill="BDD7EE"/>
            <w:vAlign w:val="center"/>
            <w:hideMark/>
          </w:tcPr>
          <w:p w14:paraId="5A56D138" w14:textId="77777777" w:rsidR="00A00259" w:rsidRDefault="00371282">
            <w:pPr>
              <w:pStyle w:val="P68B1DB1-Normal10"/>
              <w:spacing w:after="0" w:line="240" w:lineRule="auto"/>
              <w:jc w:val="center"/>
              <w:rPr>
                <w:rFonts w:eastAsia="Times New Roman" w:cs="Times New Roman"/>
                <w:noProof/>
                <w:szCs w:val="18"/>
              </w:rPr>
            </w:pPr>
            <w:r>
              <w:rPr>
                <w:noProof/>
              </w:rPr>
              <w:t xml:space="preserve">Données de référence </w:t>
            </w:r>
          </w:p>
        </w:tc>
        <w:tc>
          <w:tcPr>
            <w:tcW w:w="713" w:type="dxa"/>
            <w:shd w:val="clear" w:color="auto" w:fill="BDD7EE"/>
            <w:vAlign w:val="center"/>
            <w:hideMark/>
          </w:tcPr>
          <w:p w14:paraId="4FA527E3" w14:textId="77777777" w:rsidR="00A00259" w:rsidRDefault="00371282">
            <w:pPr>
              <w:pStyle w:val="P68B1DB1-Normal10"/>
              <w:spacing w:after="0" w:line="240" w:lineRule="auto"/>
              <w:jc w:val="center"/>
              <w:rPr>
                <w:rFonts w:eastAsia="Times New Roman" w:cs="Times New Roman"/>
                <w:noProof/>
                <w:szCs w:val="18"/>
              </w:rPr>
            </w:pPr>
            <w:r>
              <w:rPr>
                <w:noProof/>
              </w:rPr>
              <w:t xml:space="preserve">Objectif </w:t>
            </w:r>
          </w:p>
        </w:tc>
        <w:tc>
          <w:tcPr>
            <w:tcW w:w="986" w:type="dxa"/>
            <w:shd w:val="clear" w:color="auto" w:fill="BDD7EE"/>
            <w:vAlign w:val="center"/>
            <w:hideMark/>
          </w:tcPr>
          <w:p w14:paraId="0DF80171" w14:textId="77777777" w:rsidR="00A00259" w:rsidRDefault="00371282">
            <w:pPr>
              <w:pStyle w:val="P68B1DB1-Normal10"/>
              <w:spacing w:after="0" w:line="240" w:lineRule="auto"/>
              <w:jc w:val="center"/>
              <w:rPr>
                <w:rFonts w:eastAsia="Times New Roman" w:cs="Times New Roman"/>
                <w:noProof/>
                <w:szCs w:val="18"/>
              </w:rPr>
            </w:pPr>
            <w:r>
              <w:rPr>
                <w:noProof/>
              </w:rPr>
              <w:t>Trimestre</w:t>
            </w:r>
          </w:p>
        </w:tc>
        <w:tc>
          <w:tcPr>
            <w:tcW w:w="662" w:type="dxa"/>
            <w:shd w:val="clear" w:color="auto" w:fill="BDD7EE"/>
            <w:vAlign w:val="center"/>
            <w:hideMark/>
          </w:tcPr>
          <w:p w14:paraId="7E5BF495" w14:textId="77777777" w:rsidR="00A00259" w:rsidRDefault="00371282">
            <w:pPr>
              <w:pStyle w:val="P68B1DB1-Normal10"/>
              <w:spacing w:after="0" w:line="240" w:lineRule="auto"/>
              <w:jc w:val="center"/>
              <w:rPr>
                <w:rFonts w:eastAsia="Times New Roman" w:cs="Times New Roman"/>
                <w:noProof/>
                <w:szCs w:val="18"/>
              </w:rPr>
            </w:pPr>
            <w:r>
              <w:rPr>
                <w:noProof/>
              </w:rPr>
              <w:t>Année</w:t>
            </w:r>
          </w:p>
        </w:tc>
        <w:tc>
          <w:tcPr>
            <w:tcW w:w="3536" w:type="dxa"/>
            <w:vMerge/>
            <w:vAlign w:val="center"/>
            <w:hideMark/>
          </w:tcPr>
          <w:p w14:paraId="28C30299"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2391480A" w14:textId="77777777">
        <w:trPr>
          <w:trHeight w:val="313"/>
          <w:jc w:val="center"/>
        </w:trPr>
        <w:tc>
          <w:tcPr>
            <w:tcW w:w="583" w:type="dxa"/>
            <w:shd w:val="clear" w:color="auto" w:fill="C6EFCE"/>
            <w:noWrap/>
          </w:tcPr>
          <w:p w14:paraId="3C59F3A2" w14:textId="77777777" w:rsidR="00A00259" w:rsidRDefault="00371282">
            <w:pPr>
              <w:pStyle w:val="P68B1DB1-Normal12"/>
              <w:spacing w:after="0" w:line="240" w:lineRule="auto"/>
              <w:rPr>
                <w:rFonts w:eastAsia="Times New Roman"/>
                <w:noProof/>
              </w:rPr>
            </w:pPr>
            <w:r>
              <w:rPr>
                <w:noProof/>
              </w:rPr>
              <w:t>292</w:t>
            </w:r>
          </w:p>
        </w:tc>
        <w:tc>
          <w:tcPr>
            <w:tcW w:w="2500" w:type="dxa"/>
            <w:shd w:val="clear" w:color="auto" w:fill="C6EFCE"/>
            <w:noWrap/>
          </w:tcPr>
          <w:p w14:paraId="61E4690A"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- 16931_Tourisme Développement</w:t>
            </w:r>
          </w:p>
        </w:tc>
        <w:tc>
          <w:tcPr>
            <w:tcW w:w="1230" w:type="dxa"/>
            <w:shd w:val="clear" w:color="auto" w:fill="C6EFCE"/>
            <w:noWrap/>
          </w:tcPr>
          <w:p w14:paraId="129E80A6" w14:textId="77777777" w:rsidR="00A00259" w:rsidRDefault="00371282">
            <w:pPr>
              <w:pStyle w:val="P68B1DB1-Normal12"/>
              <w:spacing w:after="0" w:line="240" w:lineRule="auto"/>
              <w:rPr>
                <w:rFonts w:eastAsia="Times New Roman"/>
                <w:noProof/>
              </w:rPr>
            </w:pPr>
            <w:r>
              <w:rPr>
                <w:noProof/>
              </w:rPr>
              <w:t>Étape</w:t>
            </w:r>
          </w:p>
          <w:p w14:paraId="65BA15E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628" w:type="dxa"/>
            <w:shd w:val="clear" w:color="auto" w:fill="C6EFCE"/>
            <w:noWrap/>
          </w:tcPr>
          <w:p w14:paraId="2EE62DB5" w14:textId="77777777" w:rsidR="00A00259" w:rsidRDefault="00371282">
            <w:pPr>
              <w:pStyle w:val="P68B1DB1-Normal12"/>
              <w:spacing w:after="0" w:line="240" w:lineRule="auto"/>
              <w:rPr>
                <w:rFonts w:eastAsia="Times New Roman"/>
                <w:noProof/>
              </w:rPr>
            </w:pPr>
            <w:r>
              <w:rPr>
                <w:noProof/>
              </w:rPr>
              <w:t>Développement touristique: Réformes pour les ports touristiques</w:t>
            </w:r>
          </w:p>
        </w:tc>
        <w:tc>
          <w:tcPr>
            <w:tcW w:w="1909" w:type="dxa"/>
            <w:shd w:val="clear" w:color="auto" w:fill="C6EFCE"/>
            <w:noWrap/>
          </w:tcPr>
          <w:p w14:paraId="4F7451D8" w14:textId="77777777" w:rsidR="00A00259" w:rsidRDefault="00371282">
            <w:pPr>
              <w:pStyle w:val="P68B1DB1-Normal12"/>
              <w:spacing w:after="0" w:line="240" w:lineRule="auto"/>
              <w:rPr>
                <w:rFonts w:eastAsia="Times New Roman"/>
                <w:noProof/>
              </w:rPr>
            </w:pPr>
            <w:r>
              <w:rPr>
                <w:noProof/>
              </w:rPr>
              <w:t>1. Entrée en vigueur des amendements à la loi 2160/1993 sur les ports touristiques.</w:t>
            </w:r>
          </w:p>
          <w:p w14:paraId="3C74A42F" w14:textId="77777777" w:rsidR="00A00259" w:rsidRDefault="00371282">
            <w:pPr>
              <w:pStyle w:val="P68B1DB1-Normal12"/>
              <w:spacing w:after="0" w:line="240" w:lineRule="auto"/>
              <w:rPr>
                <w:rFonts w:eastAsia="Times New Roman"/>
                <w:noProof/>
              </w:rPr>
            </w:pPr>
            <w:r>
              <w:rPr>
                <w:noProof/>
              </w:rPr>
              <w:t>2. Entrée en vigueur des amendements aux lois 4179/2013 et 4276/2014 concernant les stations de ski.</w:t>
            </w:r>
          </w:p>
          <w:p w14:paraId="61CB7B4F" w14:textId="77777777" w:rsidR="00A00259" w:rsidRDefault="00371282">
            <w:pPr>
              <w:pStyle w:val="P68B1DB1-Normal12"/>
              <w:spacing w:after="0" w:line="240" w:lineRule="auto"/>
              <w:rPr>
                <w:rFonts w:eastAsia="Times New Roman"/>
                <w:noProof/>
              </w:rPr>
            </w:pPr>
            <w:r>
              <w:rPr>
                <w:noProof/>
              </w:rPr>
              <w:t>3 Rapport attestant la mise en place du Bureau de gestion de projet.</w:t>
            </w:r>
          </w:p>
        </w:tc>
        <w:tc>
          <w:tcPr>
            <w:tcW w:w="1741" w:type="dxa"/>
            <w:shd w:val="clear" w:color="auto" w:fill="C6EFCE"/>
            <w:noWrap/>
          </w:tcPr>
          <w:p w14:paraId="5646768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683E7B1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40056EA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86" w:type="dxa"/>
            <w:shd w:val="clear" w:color="auto" w:fill="C6EFCE"/>
            <w:noWrap/>
          </w:tcPr>
          <w:p w14:paraId="2B73178C" w14:textId="77777777" w:rsidR="00A00259" w:rsidRDefault="00371282">
            <w:pPr>
              <w:pStyle w:val="P68B1DB1-Normal12"/>
              <w:spacing w:after="0" w:line="240" w:lineRule="auto"/>
              <w:rPr>
                <w:rFonts w:eastAsia="Times New Roman"/>
                <w:noProof/>
              </w:rPr>
            </w:pPr>
            <w:r>
              <w:rPr>
                <w:noProof/>
              </w:rPr>
              <w:t>T1</w:t>
            </w:r>
          </w:p>
        </w:tc>
        <w:tc>
          <w:tcPr>
            <w:tcW w:w="662" w:type="dxa"/>
            <w:shd w:val="clear" w:color="auto" w:fill="C6EFCE"/>
            <w:noWrap/>
          </w:tcPr>
          <w:p w14:paraId="795B1AA4" w14:textId="77777777" w:rsidR="00A00259" w:rsidRDefault="00371282">
            <w:pPr>
              <w:pStyle w:val="P68B1DB1-Normal12"/>
              <w:spacing w:after="0" w:line="240" w:lineRule="auto"/>
              <w:rPr>
                <w:rFonts w:eastAsia="Times New Roman"/>
                <w:noProof/>
              </w:rPr>
            </w:pPr>
            <w:r>
              <w:rPr>
                <w:noProof/>
              </w:rPr>
              <w:t>2022</w:t>
            </w:r>
          </w:p>
        </w:tc>
        <w:tc>
          <w:tcPr>
            <w:tcW w:w="3536" w:type="dxa"/>
            <w:shd w:val="clear" w:color="auto" w:fill="C6EFCE"/>
            <w:noWrap/>
          </w:tcPr>
          <w:p w14:paraId="3719FC0A" w14:textId="77777777" w:rsidR="00A00259" w:rsidRDefault="00371282">
            <w:pPr>
              <w:pStyle w:val="P68B1DB1-Normal12"/>
              <w:spacing w:after="0" w:line="240" w:lineRule="auto"/>
              <w:rPr>
                <w:noProof/>
              </w:rPr>
            </w:pPr>
            <w:r>
              <w:rPr>
                <w:noProof/>
              </w:rPr>
              <w:t>(1) Développement touristique: Entrée en vigueur de la législation visant à réformer le cadre juridique de la loi sur les ports de tourisme afin d’encourager de nouveaux investissements, y compris la modification des dispositions relatives aux licences d’installation et d’exploitation conformément à la loi 4442/2016 sur les licences d’investissement.</w:t>
            </w:r>
          </w:p>
          <w:p w14:paraId="7AE6EC36" w14:textId="77777777" w:rsidR="00A00259" w:rsidRDefault="00371282">
            <w:pPr>
              <w:pStyle w:val="P68B1DB1-Normal16"/>
              <w:spacing w:after="0" w:line="240" w:lineRule="auto"/>
              <w:rPr>
                <w:noProof/>
                <w:color w:val="006100"/>
              </w:rPr>
            </w:pPr>
            <w:r>
              <w:rPr>
                <w:noProof/>
                <w:color w:val="006100"/>
              </w:rPr>
              <w:t>(2) Développement touristique: Entrée en vigueur d’une législation visant à réformer le cadre juridique des stations de ski afin d’encourager de nouveaux investissements, y compris la modification des dispositions relatives aux licences d’installation et d’exploitation conformément à la loi 4442/2016 sur les licences d’investissement.</w:t>
            </w:r>
            <w:r>
              <w:rPr>
                <w:noProof/>
              </w:rPr>
              <w:t xml:space="preserve"> </w:t>
            </w:r>
          </w:p>
          <w:p w14:paraId="0800D8FE" w14:textId="77777777" w:rsidR="00A00259" w:rsidRDefault="00371282">
            <w:pPr>
              <w:pStyle w:val="P68B1DB1-Normal12"/>
              <w:spacing w:after="0" w:line="240" w:lineRule="auto"/>
              <w:rPr>
                <w:rFonts w:eastAsia="Times New Roman"/>
                <w:noProof/>
              </w:rPr>
            </w:pPr>
            <w:r>
              <w:rPr>
                <w:noProof/>
              </w:rPr>
              <w:t>(3) Développement du tourisme: Création d'un bureau de gestion de projet pour la supervision des investissements dans la modernisation des ports touristiques.</w:t>
            </w:r>
          </w:p>
        </w:tc>
      </w:tr>
      <w:tr w:rsidR="00A00259" w14:paraId="600DEF33" w14:textId="77777777">
        <w:trPr>
          <w:trHeight w:val="313"/>
          <w:jc w:val="center"/>
        </w:trPr>
        <w:tc>
          <w:tcPr>
            <w:tcW w:w="583" w:type="dxa"/>
            <w:shd w:val="clear" w:color="auto" w:fill="C6EFCE"/>
            <w:noWrap/>
          </w:tcPr>
          <w:p w14:paraId="17857137" w14:textId="77777777" w:rsidR="00A00259" w:rsidRDefault="00371282">
            <w:pPr>
              <w:pStyle w:val="P68B1DB1-Normal12"/>
              <w:spacing w:after="0" w:line="240" w:lineRule="auto"/>
              <w:rPr>
                <w:rFonts w:eastAsia="Times New Roman"/>
                <w:noProof/>
              </w:rPr>
            </w:pPr>
            <w:r>
              <w:rPr>
                <w:noProof/>
              </w:rPr>
              <w:t>294</w:t>
            </w:r>
          </w:p>
        </w:tc>
        <w:tc>
          <w:tcPr>
            <w:tcW w:w="2500" w:type="dxa"/>
            <w:shd w:val="clear" w:color="auto" w:fill="C6EFCE"/>
            <w:noWrap/>
          </w:tcPr>
          <w:p w14:paraId="75550CB1"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- 16944_Master plan pour le renouvellement de la flotte grecque de transport de passagers</w:t>
            </w:r>
          </w:p>
        </w:tc>
        <w:tc>
          <w:tcPr>
            <w:tcW w:w="1230" w:type="dxa"/>
            <w:shd w:val="clear" w:color="auto" w:fill="C6EFCE"/>
            <w:noWrap/>
          </w:tcPr>
          <w:p w14:paraId="5AD4C79A" w14:textId="77777777" w:rsidR="00A00259" w:rsidRDefault="00371282">
            <w:pPr>
              <w:pStyle w:val="P68B1DB1-Normal12"/>
              <w:spacing w:after="0" w:line="240" w:lineRule="auto"/>
              <w:rPr>
                <w:rFonts w:eastAsia="Times New Roman"/>
                <w:noProof/>
              </w:rPr>
            </w:pPr>
            <w:r>
              <w:rPr>
                <w:noProof/>
              </w:rPr>
              <w:t>Étape</w:t>
            </w:r>
          </w:p>
        </w:tc>
        <w:tc>
          <w:tcPr>
            <w:tcW w:w="1628" w:type="dxa"/>
            <w:shd w:val="clear" w:color="auto" w:fill="C6EFCE"/>
            <w:noWrap/>
          </w:tcPr>
          <w:p w14:paraId="2FFA4EF7" w14:textId="77777777" w:rsidR="00A00259" w:rsidRDefault="00371282">
            <w:pPr>
              <w:pStyle w:val="P68B1DB1-Normal12"/>
              <w:spacing w:after="0" w:line="240" w:lineRule="auto"/>
              <w:rPr>
                <w:rFonts w:eastAsia="Times New Roman"/>
                <w:noProof/>
              </w:rPr>
            </w:pPr>
            <w:r>
              <w:rPr>
                <w:noProof/>
              </w:rPr>
              <w:t>Plan directeur pour le renouvellement de la flotte grecque de transport de passagers</w:t>
            </w:r>
          </w:p>
        </w:tc>
        <w:tc>
          <w:tcPr>
            <w:tcW w:w="1909" w:type="dxa"/>
            <w:shd w:val="clear" w:color="auto" w:fill="C6EFCE"/>
            <w:noWrap/>
          </w:tcPr>
          <w:p w14:paraId="30B4226A" w14:textId="77777777" w:rsidR="00A00259" w:rsidRDefault="00371282">
            <w:pPr>
              <w:pStyle w:val="P68B1DB1-Normal12"/>
              <w:spacing w:after="0" w:line="240" w:lineRule="auto"/>
              <w:rPr>
                <w:noProof/>
              </w:rPr>
            </w:pPr>
            <w:r>
              <w:rPr>
                <w:noProof/>
              </w:rPr>
              <w:t>Publication du plan directeur pour le renouvellement de la flotte grecque de transport de passagers</w:t>
            </w:r>
          </w:p>
          <w:p w14:paraId="0998F755" w14:textId="77777777" w:rsidR="00A00259" w:rsidRDefault="00A00259">
            <w:pPr>
              <w:spacing w:after="0" w:line="240" w:lineRule="auto"/>
              <w:rPr>
                <w:rFonts w:ascii="Times New Roman" w:hAnsi="Times New Roman" w:cs="Times New Roman"/>
                <w:noProof/>
                <w:color w:val="006100"/>
                <w:sz w:val="18"/>
                <w:szCs w:val="18"/>
              </w:rPr>
            </w:pPr>
          </w:p>
        </w:tc>
        <w:tc>
          <w:tcPr>
            <w:tcW w:w="1741" w:type="dxa"/>
            <w:shd w:val="clear" w:color="auto" w:fill="C6EFCE"/>
            <w:noWrap/>
          </w:tcPr>
          <w:p w14:paraId="4C551B8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780E8F0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61917F6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86" w:type="dxa"/>
            <w:shd w:val="clear" w:color="auto" w:fill="C6EFCE"/>
            <w:noWrap/>
          </w:tcPr>
          <w:p w14:paraId="25D111BF" w14:textId="77777777" w:rsidR="00A00259" w:rsidRDefault="00371282">
            <w:pPr>
              <w:pStyle w:val="P68B1DB1-Normal12"/>
              <w:spacing w:after="0" w:line="240" w:lineRule="auto"/>
              <w:rPr>
                <w:rFonts w:eastAsia="Times New Roman"/>
                <w:noProof/>
              </w:rPr>
            </w:pPr>
            <w:r>
              <w:rPr>
                <w:noProof/>
              </w:rPr>
              <w:t>T2</w:t>
            </w:r>
          </w:p>
        </w:tc>
        <w:tc>
          <w:tcPr>
            <w:tcW w:w="662" w:type="dxa"/>
            <w:shd w:val="clear" w:color="auto" w:fill="C6EFCE"/>
            <w:noWrap/>
          </w:tcPr>
          <w:p w14:paraId="60A28DDF" w14:textId="77777777" w:rsidR="00A00259" w:rsidRDefault="00371282">
            <w:pPr>
              <w:pStyle w:val="P68B1DB1-Normal12"/>
              <w:spacing w:after="0" w:line="240" w:lineRule="auto"/>
              <w:rPr>
                <w:rFonts w:eastAsia="Times New Roman"/>
                <w:noProof/>
              </w:rPr>
            </w:pPr>
            <w:r>
              <w:rPr>
                <w:noProof/>
              </w:rPr>
              <w:t>2025</w:t>
            </w:r>
          </w:p>
        </w:tc>
        <w:tc>
          <w:tcPr>
            <w:tcW w:w="3536" w:type="dxa"/>
            <w:shd w:val="clear" w:color="auto" w:fill="C6EFCE"/>
            <w:noWrap/>
          </w:tcPr>
          <w:p w14:paraId="57299AC6" w14:textId="77777777" w:rsidR="00A00259" w:rsidRDefault="00371282">
            <w:pPr>
              <w:pStyle w:val="P68B1DB1-Normal12"/>
              <w:spacing w:after="0" w:line="240" w:lineRule="auto"/>
              <w:rPr>
                <w:rFonts w:eastAsia="Times New Roman"/>
                <w:noProof/>
              </w:rPr>
            </w:pPr>
            <w:r>
              <w:rPr>
                <w:noProof/>
              </w:rPr>
              <w:t>Publication d'un plan directeur pour le renouvellement de la flotte grecque de transport de passagers.</w:t>
            </w:r>
          </w:p>
          <w:p w14:paraId="722373F2" w14:textId="77777777" w:rsidR="00A00259" w:rsidRDefault="00371282">
            <w:pPr>
              <w:pStyle w:val="P68B1DB1-Normal12"/>
              <w:spacing w:after="0" w:line="240" w:lineRule="auto"/>
              <w:rPr>
                <w:rFonts w:eastAsia="Times New Roman"/>
                <w:noProof/>
              </w:rPr>
            </w:pPr>
            <w:r>
              <w:rPr>
                <w:noProof/>
              </w:rPr>
              <w:t>Le plan directeur est fondé sur une étude et comprend un mécanisme de financement pour le renouvellement progressif de la flotte de transport de passagers du pays. L'étude décrit: i) les besoins de modernisation des navires ii) l’horizon temporel de l’investissement, iii) les besoins de financement des opérateurs et les recettes potentielles, iv) le renouvellement des infrastructures qui devrait avoir lieu dans les ports afin de soutenir l’exploitation des nouveaux navires, et v) le mécanisme de financement visant à faciliter l’accès des opérateurs au financement.</w:t>
            </w:r>
          </w:p>
          <w:p w14:paraId="5523F8D5" w14:textId="77777777" w:rsidR="00A00259" w:rsidRDefault="00371282">
            <w:pPr>
              <w:pStyle w:val="P68B1DB1-Normal12"/>
              <w:spacing w:after="0" w:line="240" w:lineRule="auto"/>
              <w:rPr>
                <w:noProof/>
              </w:rPr>
            </w:pPr>
            <w:r>
              <w:rPr>
                <w:noProof/>
              </w:rPr>
              <w:t>Un résumé du processus de consultation des parties prenantes qui a eu lieu avant la publication du plan directeur est également fourni.</w:t>
            </w:r>
          </w:p>
        </w:tc>
      </w:tr>
      <w:tr w:rsidR="00A00259" w14:paraId="72D8A3B5" w14:textId="77777777">
        <w:trPr>
          <w:trHeight w:val="313"/>
          <w:jc w:val="center"/>
        </w:trPr>
        <w:tc>
          <w:tcPr>
            <w:tcW w:w="583" w:type="dxa"/>
            <w:shd w:val="clear" w:color="auto" w:fill="C6EFCE"/>
            <w:noWrap/>
          </w:tcPr>
          <w:p w14:paraId="119E5FFB" w14:textId="77777777" w:rsidR="00A00259" w:rsidRDefault="00371282">
            <w:pPr>
              <w:pStyle w:val="P68B1DB1-Normal12"/>
              <w:spacing w:after="0" w:line="240" w:lineRule="auto"/>
              <w:rPr>
                <w:rFonts w:eastAsia="Times New Roman"/>
                <w:noProof/>
              </w:rPr>
            </w:pPr>
            <w:r>
              <w:rPr>
                <w:noProof/>
              </w:rPr>
              <w:t>295</w:t>
            </w:r>
          </w:p>
        </w:tc>
        <w:tc>
          <w:tcPr>
            <w:tcW w:w="2500" w:type="dxa"/>
            <w:shd w:val="clear" w:color="auto" w:fill="C6EFCE"/>
            <w:noWrap/>
          </w:tcPr>
          <w:p w14:paraId="03D4DB9B"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- 16931_Tourisme Développement</w:t>
            </w:r>
          </w:p>
        </w:tc>
        <w:tc>
          <w:tcPr>
            <w:tcW w:w="1230" w:type="dxa"/>
            <w:shd w:val="clear" w:color="auto" w:fill="C6EFCE"/>
            <w:noWrap/>
          </w:tcPr>
          <w:p w14:paraId="17F97E5C" w14:textId="77777777" w:rsidR="00A00259" w:rsidRDefault="00371282">
            <w:pPr>
              <w:pStyle w:val="P68B1DB1-Normal12"/>
              <w:spacing w:after="0" w:line="240" w:lineRule="auto"/>
              <w:rPr>
                <w:rFonts w:eastAsia="Times New Roman"/>
                <w:noProof/>
              </w:rPr>
            </w:pPr>
            <w:r>
              <w:rPr>
                <w:noProof/>
              </w:rPr>
              <w:t>Étape</w:t>
            </w:r>
          </w:p>
        </w:tc>
        <w:tc>
          <w:tcPr>
            <w:tcW w:w="1628" w:type="dxa"/>
            <w:shd w:val="clear" w:color="auto" w:fill="C6EFCE"/>
            <w:noWrap/>
          </w:tcPr>
          <w:p w14:paraId="597159F9" w14:textId="77777777" w:rsidR="00A00259" w:rsidRDefault="00371282">
            <w:pPr>
              <w:pStyle w:val="P68B1DB1-Normal12"/>
              <w:spacing w:after="0" w:line="240" w:lineRule="auto"/>
              <w:rPr>
                <w:rFonts w:eastAsia="Times New Roman"/>
                <w:noProof/>
              </w:rPr>
            </w:pPr>
            <w:r>
              <w:rPr>
                <w:noProof/>
              </w:rPr>
              <w:t>Développement du tourisme: Publication des décisions d'agrément des ports touristiques</w:t>
            </w:r>
          </w:p>
        </w:tc>
        <w:tc>
          <w:tcPr>
            <w:tcW w:w="1909" w:type="dxa"/>
            <w:shd w:val="clear" w:color="auto" w:fill="C6EFCE"/>
            <w:noWrap/>
          </w:tcPr>
          <w:p w14:paraId="6C959B64" w14:textId="77777777" w:rsidR="00A00259" w:rsidRDefault="00371282">
            <w:pPr>
              <w:pStyle w:val="P68B1DB1-Normal12"/>
              <w:spacing w:after="0" w:line="240" w:lineRule="auto"/>
              <w:rPr>
                <w:rFonts w:eastAsia="Times New Roman"/>
                <w:noProof/>
              </w:rPr>
            </w:pPr>
            <w:r>
              <w:rPr>
                <w:noProof/>
              </w:rPr>
              <w:t xml:space="preserve">Décisions d'approbation </w:t>
            </w:r>
          </w:p>
        </w:tc>
        <w:tc>
          <w:tcPr>
            <w:tcW w:w="1741" w:type="dxa"/>
            <w:shd w:val="clear" w:color="auto" w:fill="C6EFCE"/>
            <w:noWrap/>
          </w:tcPr>
          <w:p w14:paraId="427747C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7509B89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10FC73F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86" w:type="dxa"/>
            <w:shd w:val="clear" w:color="auto" w:fill="C6EFCE"/>
            <w:noWrap/>
          </w:tcPr>
          <w:p w14:paraId="3FFAB502" w14:textId="77777777" w:rsidR="00A00259" w:rsidRDefault="00371282">
            <w:pPr>
              <w:pStyle w:val="P68B1DB1-Normal12"/>
              <w:spacing w:after="0" w:line="240" w:lineRule="auto"/>
              <w:rPr>
                <w:rFonts w:eastAsia="Times New Roman"/>
                <w:noProof/>
              </w:rPr>
            </w:pPr>
            <w:r>
              <w:rPr>
                <w:noProof/>
              </w:rPr>
              <w:t>T2</w:t>
            </w:r>
          </w:p>
        </w:tc>
        <w:tc>
          <w:tcPr>
            <w:tcW w:w="662" w:type="dxa"/>
            <w:shd w:val="clear" w:color="auto" w:fill="C6EFCE"/>
            <w:noWrap/>
          </w:tcPr>
          <w:p w14:paraId="0FFEF07C" w14:textId="77777777" w:rsidR="00A00259" w:rsidRDefault="00371282">
            <w:pPr>
              <w:pStyle w:val="P68B1DB1-Normal12"/>
              <w:spacing w:after="0" w:line="240" w:lineRule="auto"/>
              <w:rPr>
                <w:rFonts w:eastAsia="Times New Roman"/>
                <w:noProof/>
              </w:rPr>
            </w:pPr>
            <w:r>
              <w:rPr>
                <w:noProof/>
              </w:rPr>
              <w:t>2024</w:t>
            </w:r>
          </w:p>
        </w:tc>
        <w:tc>
          <w:tcPr>
            <w:tcW w:w="3536" w:type="dxa"/>
            <w:shd w:val="clear" w:color="auto" w:fill="C6EFCE"/>
            <w:noWrap/>
          </w:tcPr>
          <w:p w14:paraId="425C87F5" w14:textId="77777777" w:rsidR="00A00259" w:rsidRDefault="00371282">
            <w:pPr>
              <w:pStyle w:val="P68B1DB1-Normal12"/>
              <w:spacing w:after="0" w:line="240" w:lineRule="auto"/>
              <w:rPr>
                <w:rFonts w:eastAsia="Times New Roman"/>
                <w:noProof/>
              </w:rPr>
            </w:pPr>
            <w:r>
              <w:rPr>
                <w:noProof/>
              </w:rPr>
              <w:t xml:space="preserve">Publication des décisions d’approbation pour les bénéficiaires sélectionnés afin de moderniser les infrastructures des ports touristiques et d’améliorer, entre autres, leur efficacité énergétique. </w:t>
            </w:r>
          </w:p>
        </w:tc>
      </w:tr>
      <w:tr w:rsidR="00A00259" w14:paraId="5D2661C4" w14:textId="77777777">
        <w:trPr>
          <w:trHeight w:val="313"/>
          <w:jc w:val="center"/>
        </w:trPr>
        <w:tc>
          <w:tcPr>
            <w:tcW w:w="583" w:type="dxa"/>
            <w:shd w:val="clear" w:color="auto" w:fill="C6EFCE"/>
            <w:noWrap/>
          </w:tcPr>
          <w:p w14:paraId="7C0D518F" w14:textId="77777777" w:rsidR="00A00259" w:rsidRDefault="00371282">
            <w:pPr>
              <w:pStyle w:val="P68B1DB1-Normal12"/>
              <w:spacing w:after="0" w:line="240" w:lineRule="auto"/>
              <w:rPr>
                <w:rFonts w:eastAsia="Times New Roman"/>
                <w:noProof/>
              </w:rPr>
            </w:pPr>
            <w:r>
              <w:rPr>
                <w:noProof/>
              </w:rPr>
              <w:t>296</w:t>
            </w:r>
          </w:p>
        </w:tc>
        <w:tc>
          <w:tcPr>
            <w:tcW w:w="2500" w:type="dxa"/>
            <w:shd w:val="clear" w:color="auto" w:fill="C6EFCE"/>
            <w:noWrap/>
          </w:tcPr>
          <w:p w14:paraId="25FED010"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- 16921_Reskilling and Upskilling in Tourism</w:t>
            </w:r>
          </w:p>
        </w:tc>
        <w:tc>
          <w:tcPr>
            <w:tcW w:w="1230" w:type="dxa"/>
            <w:shd w:val="clear" w:color="auto" w:fill="C6EFCE"/>
            <w:noWrap/>
          </w:tcPr>
          <w:p w14:paraId="3B80CC0E" w14:textId="77777777" w:rsidR="00A00259" w:rsidRDefault="00371282">
            <w:pPr>
              <w:pStyle w:val="P68B1DB1-Normal12"/>
              <w:spacing w:after="0" w:line="240" w:lineRule="auto"/>
              <w:rPr>
                <w:rFonts w:eastAsia="Times New Roman"/>
                <w:noProof/>
              </w:rPr>
            </w:pPr>
            <w:r>
              <w:rPr>
                <w:noProof/>
              </w:rPr>
              <w:t>Étape</w:t>
            </w:r>
          </w:p>
        </w:tc>
        <w:tc>
          <w:tcPr>
            <w:tcW w:w="1628" w:type="dxa"/>
            <w:shd w:val="clear" w:color="auto" w:fill="C6EFCE"/>
            <w:noWrap/>
          </w:tcPr>
          <w:p w14:paraId="5721118C" w14:textId="7C031500" w:rsidR="00A00259" w:rsidRDefault="00371282">
            <w:pPr>
              <w:pStyle w:val="P68B1DB1-Normal12"/>
              <w:spacing w:after="0" w:line="240" w:lineRule="auto"/>
              <w:rPr>
                <w:rFonts w:eastAsia="Times New Roman"/>
                <w:noProof/>
              </w:rPr>
            </w:pPr>
            <w:r>
              <w:rPr>
                <w:noProof/>
              </w:rPr>
              <w:t xml:space="preserve">Requalification et perfectionnement professionnel dans le secteur du tourisme </w:t>
            </w:r>
          </w:p>
        </w:tc>
        <w:tc>
          <w:tcPr>
            <w:tcW w:w="1909" w:type="dxa"/>
            <w:shd w:val="clear" w:color="auto" w:fill="C6EFCE"/>
            <w:noWrap/>
          </w:tcPr>
          <w:p w14:paraId="2AAB073F" w14:textId="2B8F2717" w:rsidR="00A00259" w:rsidRDefault="00371282">
            <w:pPr>
              <w:pStyle w:val="P68B1DB1-Normal12"/>
              <w:spacing w:after="0" w:line="240" w:lineRule="auto"/>
              <w:rPr>
                <w:rFonts w:eastAsia="Times New Roman"/>
                <w:noProof/>
              </w:rPr>
            </w:pPr>
            <w:r>
              <w:rPr>
                <w:noProof/>
              </w:rPr>
              <w:t>Certificats délivrés</w:t>
            </w:r>
          </w:p>
        </w:tc>
        <w:tc>
          <w:tcPr>
            <w:tcW w:w="1741" w:type="dxa"/>
            <w:shd w:val="clear" w:color="auto" w:fill="C6EFCE"/>
            <w:noWrap/>
          </w:tcPr>
          <w:p w14:paraId="7E41B82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3A41A55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03704B2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86" w:type="dxa"/>
            <w:shd w:val="clear" w:color="auto" w:fill="C6EFCE"/>
            <w:noWrap/>
          </w:tcPr>
          <w:p w14:paraId="0600D804" w14:textId="77777777" w:rsidR="00A00259" w:rsidRDefault="00371282">
            <w:pPr>
              <w:pStyle w:val="P68B1DB1-Normal12"/>
              <w:spacing w:after="0" w:line="240" w:lineRule="auto"/>
              <w:rPr>
                <w:rFonts w:eastAsia="Times New Roman"/>
                <w:noProof/>
              </w:rPr>
            </w:pPr>
            <w:r>
              <w:rPr>
                <w:noProof/>
              </w:rPr>
              <w:t>T4</w:t>
            </w:r>
          </w:p>
        </w:tc>
        <w:tc>
          <w:tcPr>
            <w:tcW w:w="662" w:type="dxa"/>
            <w:shd w:val="clear" w:color="auto" w:fill="C6EFCE"/>
            <w:noWrap/>
          </w:tcPr>
          <w:p w14:paraId="696BBCAF" w14:textId="77777777" w:rsidR="00A00259" w:rsidRDefault="00371282">
            <w:pPr>
              <w:pStyle w:val="P68B1DB1-Normal12"/>
              <w:spacing w:after="0" w:line="240" w:lineRule="auto"/>
              <w:rPr>
                <w:rFonts w:eastAsia="Times New Roman"/>
                <w:noProof/>
              </w:rPr>
            </w:pPr>
            <w:r>
              <w:rPr>
                <w:noProof/>
              </w:rPr>
              <w:t>2025</w:t>
            </w:r>
          </w:p>
        </w:tc>
        <w:tc>
          <w:tcPr>
            <w:tcW w:w="3536" w:type="dxa"/>
            <w:shd w:val="clear" w:color="auto" w:fill="C6EFCE"/>
            <w:noWrap/>
          </w:tcPr>
          <w:p w14:paraId="65327E5B" w14:textId="60812627" w:rsidR="00A00259" w:rsidRDefault="00371282">
            <w:pPr>
              <w:pStyle w:val="P68B1DB1-Normal12"/>
              <w:spacing w:after="0" w:line="240" w:lineRule="auto"/>
              <w:rPr>
                <w:noProof/>
              </w:rPr>
            </w:pPr>
            <w:r>
              <w:rPr>
                <w:noProof/>
              </w:rPr>
              <w:t>18 000 participants ont suivi avec succès les programmes de formation</w:t>
            </w:r>
          </w:p>
        </w:tc>
      </w:tr>
      <w:tr w:rsidR="00A00259" w14:paraId="70ED76FE" w14:textId="77777777">
        <w:trPr>
          <w:trHeight w:val="313"/>
          <w:jc w:val="center"/>
        </w:trPr>
        <w:tc>
          <w:tcPr>
            <w:tcW w:w="583" w:type="dxa"/>
            <w:shd w:val="clear" w:color="auto" w:fill="C6EFCE"/>
            <w:noWrap/>
          </w:tcPr>
          <w:p w14:paraId="24818DF2" w14:textId="77777777" w:rsidR="00A00259" w:rsidRDefault="00371282">
            <w:pPr>
              <w:pStyle w:val="P68B1DB1-Normal12"/>
              <w:spacing w:after="0" w:line="240" w:lineRule="auto"/>
              <w:rPr>
                <w:rFonts w:eastAsia="Times New Roman"/>
                <w:noProof/>
              </w:rPr>
            </w:pPr>
            <w:r>
              <w:rPr>
                <w:noProof/>
              </w:rPr>
              <w:t>297</w:t>
            </w:r>
          </w:p>
        </w:tc>
        <w:tc>
          <w:tcPr>
            <w:tcW w:w="2500" w:type="dxa"/>
            <w:shd w:val="clear" w:color="auto" w:fill="C6EFCE"/>
            <w:noWrap/>
          </w:tcPr>
          <w:p w14:paraId="192F4C6A"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- 16931_Tourisme Développement</w:t>
            </w:r>
          </w:p>
        </w:tc>
        <w:tc>
          <w:tcPr>
            <w:tcW w:w="1230" w:type="dxa"/>
            <w:shd w:val="clear" w:color="auto" w:fill="C6EFCE"/>
            <w:noWrap/>
          </w:tcPr>
          <w:p w14:paraId="46934DA2" w14:textId="77777777" w:rsidR="00A00259" w:rsidRDefault="00371282">
            <w:pPr>
              <w:pStyle w:val="P68B1DB1-Normal12"/>
              <w:spacing w:after="0" w:line="240" w:lineRule="auto"/>
              <w:rPr>
                <w:rFonts w:eastAsia="Times New Roman"/>
                <w:noProof/>
              </w:rPr>
            </w:pPr>
            <w:r>
              <w:rPr>
                <w:noProof/>
              </w:rPr>
              <w:t>Étape</w:t>
            </w:r>
          </w:p>
        </w:tc>
        <w:tc>
          <w:tcPr>
            <w:tcW w:w="1628" w:type="dxa"/>
            <w:shd w:val="clear" w:color="auto" w:fill="C6EFCE"/>
            <w:noWrap/>
          </w:tcPr>
          <w:p w14:paraId="1C161280" w14:textId="54CC9EE4" w:rsidR="00A00259" w:rsidRDefault="00371282">
            <w:pPr>
              <w:pStyle w:val="P68B1DB1-Normal12"/>
              <w:spacing w:after="0" w:line="240" w:lineRule="auto"/>
              <w:rPr>
                <w:noProof/>
              </w:rPr>
            </w:pPr>
            <w:r>
              <w:rPr>
                <w:noProof/>
              </w:rPr>
              <w:t xml:space="preserve">Projets touristiques </w:t>
            </w:r>
          </w:p>
        </w:tc>
        <w:tc>
          <w:tcPr>
            <w:tcW w:w="1909" w:type="dxa"/>
            <w:shd w:val="clear" w:color="auto" w:fill="C6EFCE"/>
            <w:noWrap/>
          </w:tcPr>
          <w:p w14:paraId="15D07964" w14:textId="56466A60" w:rsidR="00A00259" w:rsidRDefault="00371282">
            <w:pPr>
              <w:pStyle w:val="P68B1DB1-Normal12"/>
              <w:spacing w:after="0" w:line="240" w:lineRule="auto"/>
              <w:rPr>
                <w:noProof/>
              </w:rPr>
            </w:pPr>
            <w:r>
              <w:rPr>
                <w:noProof/>
              </w:rPr>
              <w:t>Exécution des travaux et création de bureaux locaux de gestion des destinations et d'observatoires du tourisme durable</w:t>
            </w:r>
          </w:p>
        </w:tc>
        <w:tc>
          <w:tcPr>
            <w:tcW w:w="1741" w:type="dxa"/>
            <w:shd w:val="clear" w:color="auto" w:fill="C6EFCE"/>
            <w:noWrap/>
          </w:tcPr>
          <w:p w14:paraId="79CDB05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62F2F09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1D04BBC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86" w:type="dxa"/>
            <w:shd w:val="clear" w:color="auto" w:fill="C6EFCE"/>
            <w:noWrap/>
          </w:tcPr>
          <w:p w14:paraId="59A4A2D9" w14:textId="77777777" w:rsidR="00A00259" w:rsidRDefault="00371282">
            <w:pPr>
              <w:pStyle w:val="P68B1DB1-Normal12"/>
              <w:spacing w:after="0" w:line="240" w:lineRule="auto"/>
              <w:rPr>
                <w:rFonts w:eastAsia="Times New Roman"/>
                <w:noProof/>
              </w:rPr>
            </w:pPr>
            <w:r>
              <w:rPr>
                <w:noProof/>
              </w:rPr>
              <w:t>T4</w:t>
            </w:r>
          </w:p>
        </w:tc>
        <w:tc>
          <w:tcPr>
            <w:tcW w:w="662" w:type="dxa"/>
            <w:shd w:val="clear" w:color="auto" w:fill="C6EFCE"/>
            <w:noWrap/>
          </w:tcPr>
          <w:p w14:paraId="1C084BB5" w14:textId="77777777" w:rsidR="00A00259" w:rsidRDefault="00371282">
            <w:pPr>
              <w:pStyle w:val="P68B1DB1-Normal12"/>
              <w:spacing w:after="0" w:line="240" w:lineRule="auto"/>
              <w:rPr>
                <w:rFonts w:eastAsia="Times New Roman"/>
                <w:noProof/>
              </w:rPr>
            </w:pPr>
            <w:r>
              <w:rPr>
                <w:noProof/>
              </w:rPr>
              <w:t>2025</w:t>
            </w:r>
          </w:p>
        </w:tc>
        <w:tc>
          <w:tcPr>
            <w:tcW w:w="3536" w:type="dxa"/>
            <w:shd w:val="clear" w:color="auto" w:fill="C6EFCE"/>
            <w:noWrap/>
          </w:tcPr>
          <w:p w14:paraId="054D0F50" w14:textId="7EA39333" w:rsidR="00A00259" w:rsidRDefault="00371282">
            <w:pPr>
              <w:pStyle w:val="P68B1DB1-Normal49"/>
              <w:spacing w:after="0" w:line="240" w:lineRule="auto"/>
              <w:rPr>
                <w:rFonts w:ascii="Times New Roman" w:hAnsi="Times New Roman" w:cs="Times New Roman"/>
                <w:noProof/>
                <w:color w:val="006100"/>
                <w:sz w:val="8"/>
                <w:szCs w:val="8"/>
              </w:rPr>
            </w:pPr>
            <w:r>
              <w:rPr>
                <w:rFonts w:ascii="Times New Roman" w:hAnsi="Times New Roman"/>
                <w:noProof/>
              </w:rPr>
              <w:t xml:space="preserve">- Développement </w:t>
            </w:r>
            <w:r>
              <w:rPr>
                <w:rFonts w:ascii="Times New Roman" w:hAnsi="Times New Roman" w:cs="Times New Roman"/>
                <w:noProof/>
                <w:color w:val="006100"/>
              </w:rPr>
              <w:t>vert: créer des bureaux locaux de gestion des destinations et des observatoires du tourisme durable; moderniser 4 centres de ski couvrant les rénovations économes en énergie des infrastructures/équipements publics et privés et/ou l’installation de nouvelles capacités en matière de sources d’énergie renouvelables.</w:t>
            </w:r>
          </w:p>
          <w:p w14:paraId="78511825" w14:textId="47891A9E" w:rsidR="00A00259" w:rsidRDefault="00A00259">
            <w:pPr>
              <w:spacing w:after="0" w:line="240" w:lineRule="auto"/>
              <w:rPr>
                <w:rFonts w:ascii="Times New Roman" w:eastAsia="Times New Roman" w:hAnsi="Times New Roman" w:cs="Times New Roman"/>
                <w:noProof/>
                <w:color w:val="006100"/>
                <w:sz w:val="8"/>
                <w:szCs w:val="8"/>
              </w:rPr>
            </w:pPr>
          </w:p>
          <w:p w14:paraId="5A184A76" w14:textId="77777777" w:rsidR="00A00259" w:rsidRDefault="00371282">
            <w:pPr>
              <w:pStyle w:val="P68B1DB1-Normal12"/>
              <w:spacing w:after="0" w:line="240" w:lineRule="auto"/>
              <w:rPr>
                <w:rFonts w:eastAsia="Times New Roman"/>
                <w:noProof/>
              </w:rPr>
            </w:pPr>
            <w:r>
              <w:rPr>
                <w:noProof/>
              </w:rPr>
              <w:t>- Développement bleu: moderniser les infrastructures de 18 ports touristiques, installer des infrastructures et des installations pour l’accessibilité des plages pour les personnes âgées et les personnes handicapées, et rénover ou construire les infrastructures ou acquérir des équipements pour les activités de plongée.</w:t>
            </w:r>
          </w:p>
        </w:tc>
      </w:tr>
      <w:tr w:rsidR="00A00259" w14:paraId="723F4DEE" w14:textId="77777777">
        <w:trPr>
          <w:trHeight w:val="313"/>
          <w:jc w:val="center"/>
        </w:trPr>
        <w:tc>
          <w:tcPr>
            <w:tcW w:w="583" w:type="dxa"/>
            <w:shd w:val="clear" w:color="auto" w:fill="C6EFCE"/>
            <w:noWrap/>
          </w:tcPr>
          <w:p w14:paraId="60FADE37" w14:textId="77777777" w:rsidR="00A00259" w:rsidRDefault="00371282">
            <w:pPr>
              <w:pStyle w:val="P68B1DB1-Normal12"/>
              <w:spacing w:after="0" w:line="240" w:lineRule="auto"/>
              <w:rPr>
                <w:rFonts w:eastAsia="Times New Roman"/>
                <w:noProof/>
              </w:rPr>
            </w:pPr>
            <w:r>
              <w:rPr>
                <w:noProof/>
              </w:rPr>
              <w:t>298</w:t>
            </w:r>
          </w:p>
        </w:tc>
        <w:tc>
          <w:tcPr>
            <w:tcW w:w="2500" w:type="dxa"/>
            <w:shd w:val="clear" w:color="auto" w:fill="C6EFCE"/>
            <w:noWrap/>
          </w:tcPr>
          <w:p w14:paraId="132BCC35"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- 16975_Mise à niveau des interventions pour les ports régionaux</w:t>
            </w:r>
          </w:p>
        </w:tc>
        <w:tc>
          <w:tcPr>
            <w:tcW w:w="1230" w:type="dxa"/>
            <w:shd w:val="clear" w:color="auto" w:fill="C6EFCE"/>
            <w:noWrap/>
          </w:tcPr>
          <w:p w14:paraId="1245DA22" w14:textId="77777777" w:rsidR="00A00259" w:rsidRDefault="00371282">
            <w:pPr>
              <w:pStyle w:val="P68B1DB1-Normal12"/>
              <w:spacing w:after="0" w:line="240" w:lineRule="auto"/>
              <w:rPr>
                <w:rFonts w:eastAsia="Times New Roman"/>
                <w:noProof/>
              </w:rPr>
            </w:pPr>
            <w:r>
              <w:rPr>
                <w:noProof/>
              </w:rPr>
              <w:t>Étape</w:t>
            </w:r>
          </w:p>
        </w:tc>
        <w:tc>
          <w:tcPr>
            <w:tcW w:w="1628" w:type="dxa"/>
            <w:shd w:val="clear" w:color="auto" w:fill="C6EFCE"/>
            <w:noWrap/>
          </w:tcPr>
          <w:p w14:paraId="1CCE0BC4" w14:textId="77777777" w:rsidR="00A00259" w:rsidRDefault="00371282">
            <w:pPr>
              <w:pStyle w:val="P68B1DB1-Normal12"/>
              <w:spacing w:after="0" w:line="240" w:lineRule="auto"/>
              <w:rPr>
                <w:rFonts w:eastAsia="Times New Roman"/>
                <w:noProof/>
              </w:rPr>
            </w:pPr>
            <w:r>
              <w:rPr>
                <w:noProof/>
              </w:rPr>
              <w:t>Construction de travaux d'infrastructure dans les ports</w:t>
            </w:r>
          </w:p>
        </w:tc>
        <w:tc>
          <w:tcPr>
            <w:tcW w:w="1909" w:type="dxa"/>
            <w:shd w:val="clear" w:color="auto" w:fill="C6EFCE"/>
            <w:noWrap/>
          </w:tcPr>
          <w:p w14:paraId="27A627A2" w14:textId="77777777" w:rsidR="00A00259" w:rsidRDefault="00371282">
            <w:pPr>
              <w:pStyle w:val="P68B1DB1-Normal27"/>
              <w:spacing w:after="0" w:line="240" w:lineRule="auto"/>
              <w:rPr>
                <w:noProof/>
              </w:rPr>
            </w:pPr>
            <w:r>
              <w:rPr>
                <w:noProof/>
              </w:rPr>
              <w:t>Travaux d'infrastructure dans les ports construits</w:t>
            </w:r>
          </w:p>
        </w:tc>
        <w:tc>
          <w:tcPr>
            <w:tcW w:w="1741" w:type="dxa"/>
            <w:shd w:val="clear" w:color="auto" w:fill="C6EFCE"/>
            <w:noWrap/>
          </w:tcPr>
          <w:p w14:paraId="2C4B4BF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5FAF167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5AFD4F6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86" w:type="dxa"/>
            <w:shd w:val="clear" w:color="auto" w:fill="C6EFCE"/>
            <w:noWrap/>
          </w:tcPr>
          <w:p w14:paraId="42DC3EDE" w14:textId="77777777" w:rsidR="00A00259" w:rsidRDefault="00371282">
            <w:pPr>
              <w:pStyle w:val="P68B1DB1-Normal12"/>
              <w:spacing w:after="0" w:line="240" w:lineRule="auto"/>
              <w:rPr>
                <w:rFonts w:eastAsia="Times New Roman"/>
                <w:noProof/>
              </w:rPr>
            </w:pPr>
            <w:r>
              <w:rPr>
                <w:noProof/>
              </w:rPr>
              <w:t>T4</w:t>
            </w:r>
          </w:p>
        </w:tc>
        <w:tc>
          <w:tcPr>
            <w:tcW w:w="662" w:type="dxa"/>
            <w:shd w:val="clear" w:color="auto" w:fill="C6EFCE"/>
            <w:noWrap/>
          </w:tcPr>
          <w:p w14:paraId="1664AEAE" w14:textId="77777777" w:rsidR="00A00259" w:rsidRDefault="00371282">
            <w:pPr>
              <w:pStyle w:val="P68B1DB1-Normal12"/>
              <w:spacing w:after="0" w:line="240" w:lineRule="auto"/>
              <w:rPr>
                <w:rFonts w:eastAsia="Times New Roman"/>
                <w:noProof/>
              </w:rPr>
            </w:pPr>
            <w:r>
              <w:rPr>
                <w:noProof/>
              </w:rPr>
              <w:t>2025</w:t>
            </w:r>
          </w:p>
        </w:tc>
        <w:tc>
          <w:tcPr>
            <w:tcW w:w="3536" w:type="dxa"/>
            <w:shd w:val="clear" w:color="auto" w:fill="C6EFCE"/>
            <w:noWrap/>
          </w:tcPr>
          <w:p w14:paraId="2F8E0F7F" w14:textId="6D7A7EFC" w:rsidR="00A00259" w:rsidRDefault="00371282">
            <w:pPr>
              <w:pStyle w:val="P68B1DB1-Normal12"/>
              <w:spacing w:after="0" w:line="240" w:lineRule="auto"/>
              <w:rPr>
                <w:rFonts w:eastAsiaTheme="minorEastAsia"/>
                <w:noProof/>
              </w:rPr>
            </w:pPr>
            <w:r>
              <w:rPr>
                <w:noProof/>
              </w:rPr>
              <w:t>Certificats d'achèvement confirmant la construction de travaux d'infrastructure dans 13 ports, y compris la restauration des quais des ports, les brise-vagues, les travaux de réaménagement du front de mer et l'amélioration des infrastructures portuaires, la restauration des profondeurs et des travaux de dragage, la construction de rampes de service, de murs de quai et de travaux de protection côtière, ou la restauration du bassin portuaire après une inondation importante.</w:t>
            </w:r>
          </w:p>
          <w:p w14:paraId="77F53D25" w14:textId="77777777" w:rsidR="00A00259" w:rsidRDefault="00A00259">
            <w:pPr>
              <w:spacing w:after="0" w:line="240" w:lineRule="auto"/>
              <w:rPr>
                <w:rFonts w:ascii="Times New Roman" w:eastAsiaTheme="minorEastAsia" w:hAnsi="Times New Roman" w:cs="Times New Roman"/>
                <w:noProof/>
                <w:color w:val="006100"/>
                <w:sz w:val="6"/>
                <w:szCs w:val="6"/>
              </w:rPr>
            </w:pPr>
          </w:p>
          <w:p w14:paraId="1637B59F" w14:textId="77777777" w:rsidR="00A00259" w:rsidRDefault="00371282">
            <w:pPr>
              <w:pStyle w:val="P68B1DB1-Normal16"/>
              <w:spacing w:after="0"/>
              <w:rPr>
                <w:noProof/>
              </w:rPr>
            </w:pPr>
            <w:r>
              <w:rPr>
                <w:noProof/>
                <w:color w:val="006100"/>
              </w:rPr>
              <w:t>Les mesures d’atténuation et les mesures compensatoires requises dans le cadre de l’évaluation des incidences sur l’environnement conformément à la directive 2011/92/UE ont été mises en œuvre.</w:t>
            </w:r>
            <w:r>
              <w:rPr>
                <w:noProof/>
              </w:rPr>
              <w:t xml:space="preserve"> </w:t>
            </w:r>
          </w:p>
        </w:tc>
      </w:tr>
    </w:tbl>
    <w:p w14:paraId="62CDDBF1" w14:textId="77777777" w:rsidR="00A00259" w:rsidRDefault="00371282">
      <w:pPr>
        <w:pStyle w:val="P68B1DB1-Normal9"/>
        <w:keepNext/>
        <w:keepLines/>
        <w:spacing w:before="40" w:after="0" w:line="240" w:lineRule="auto"/>
        <w:jc w:val="both"/>
        <w:outlineLvl w:val="4"/>
        <w:rPr>
          <w:rFonts w:eastAsia="Times New Roman"/>
          <w:noProof/>
        </w:rPr>
      </w:pPr>
      <w:r>
        <w:rPr>
          <w:noProof/>
        </w:rPr>
        <w:t>Groupe 27: Industrie &amp; Investissements</w:t>
      </w:r>
    </w:p>
    <w:p w14:paraId="0E7BA2D4" w14:textId="77777777" w:rsidR="00A00259" w:rsidRDefault="00371282">
      <w:pPr>
        <w:pStyle w:val="P68B1DB1-Normal5"/>
        <w:numPr>
          <w:ilvl w:val="0"/>
          <w:numId w:val="82"/>
        </w:numPr>
        <w:spacing w:before="120" w:after="0" w:line="240" w:lineRule="auto"/>
        <w:jc w:val="both"/>
        <w:rPr>
          <w:rFonts w:cs="Times New Roman"/>
          <w:noProof/>
        </w:rPr>
      </w:pPr>
      <w:r>
        <w:rPr>
          <w:noProof/>
        </w:rPr>
        <w:t>Modification du cadre juridique pour attirer les investissements stratégiques (ID: 16593)</w:t>
      </w:r>
    </w:p>
    <w:p w14:paraId="38225AF6" w14:textId="77777777" w:rsidR="00A00259" w:rsidRDefault="00371282">
      <w:pPr>
        <w:pStyle w:val="P68B1DB1-Normal5"/>
        <w:numPr>
          <w:ilvl w:val="0"/>
          <w:numId w:val="82"/>
        </w:numPr>
        <w:spacing w:before="120" w:after="0" w:line="240" w:lineRule="auto"/>
        <w:jc w:val="both"/>
        <w:rPr>
          <w:rFonts w:cs="Times New Roman"/>
          <w:noProof/>
        </w:rPr>
      </w:pPr>
      <w:r>
        <w:rPr>
          <w:noProof/>
        </w:rPr>
        <w:t>Parcs industriels (ID: 16634)</w:t>
      </w:r>
    </w:p>
    <w:p w14:paraId="19084ED6" w14:textId="77777777" w:rsidR="00A00259" w:rsidRDefault="00371282">
      <w:pPr>
        <w:pStyle w:val="P68B1DB1-Normal7"/>
        <w:numPr>
          <w:ilvl w:val="0"/>
          <w:numId w:val="82"/>
        </w:numPr>
        <w:spacing w:before="120" w:after="120" w:line="240" w:lineRule="auto"/>
        <w:jc w:val="both"/>
        <w:rPr>
          <w:rFonts w:cs="Times New Roman"/>
          <w:noProof/>
        </w:rPr>
      </w:pPr>
      <w:r>
        <w:rPr>
          <w:noProof/>
        </w:rPr>
        <w:t xml:space="preserve">Accélération de la fabrication intelligente (ID: 16721) </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
        <w:gridCol w:w="2084"/>
        <w:gridCol w:w="1298"/>
        <w:gridCol w:w="1396"/>
        <w:gridCol w:w="1823"/>
        <w:gridCol w:w="866"/>
        <w:gridCol w:w="1027"/>
        <w:gridCol w:w="851"/>
        <w:gridCol w:w="992"/>
        <w:gridCol w:w="850"/>
        <w:gridCol w:w="3696"/>
      </w:tblGrid>
      <w:tr w:rsidR="00A00259" w14:paraId="4C93C45D" w14:textId="77777777" w:rsidTr="00096954">
        <w:trPr>
          <w:trHeight w:val="839"/>
          <w:tblHeader/>
          <w:jc w:val="center"/>
        </w:trPr>
        <w:tc>
          <w:tcPr>
            <w:tcW w:w="619" w:type="dxa"/>
            <w:vMerge w:val="restart"/>
            <w:shd w:val="clear" w:color="auto" w:fill="BDD7EE"/>
            <w:vAlign w:val="center"/>
            <w:hideMark/>
          </w:tcPr>
          <w:p w14:paraId="6EC51572" w14:textId="77777777" w:rsidR="00A00259" w:rsidRDefault="00371282">
            <w:pPr>
              <w:pStyle w:val="P68B1DB1-Normal15"/>
              <w:spacing w:after="0" w:line="240" w:lineRule="auto"/>
              <w:jc w:val="center"/>
              <w:rPr>
                <w:rFonts w:eastAsia="Times New Roman"/>
                <w:noProof/>
              </w:rPr>
            </w:pPr>
            <w:r>
              <w:rPr>
                <w:noProof/>
              </w:rPr>
              <w:t xml:space="preserve">Seq. </w:t>
            </w:r>
            <w:r>
              <w:rPr>
                <w:noProof/>
              </w:rPr>
              <w:br/>
              <w:t>Non.</w:t>
            </w:r>
          </w:p>
        </w:tc>
        <w:tc>
          <w:tcPr>
            <w:tcW w:w="2084" w:type="dxa"/>
            <w:vMerge w:val="restart"/>
            <w:shd w:val="clear" w:color="auto" w:fill="BDD7EE"/>
            <w:vAlign w:val="center"/>
            <w:hideMark/>
          </w:tcPr>
          <w:p w14:paraId="19D4AEFA" w14:textId="77777777" w:rsidR="00A00259" w:rsidRDefault="00371282">
            <w:pPr>
              <w:pStyle w:val="P68B1DB1-Normal10"/>
              <w:spacing w:after="0" w:line="240" w:lineRule="auto"/>
              <w:jc w:val="center"/>
              <w:rPr>
                <w:rFonts w:eastAsia="Times New Roman" w:cs="Times New Roman"/>
                <w:noProof/>
                <w:szCs w:val="18"/>
              </w:rPr>
            </w:pPr>
            <w:r>
              <w:rPr>
                <w:noProof/>
              </w:rPr>
              <w:t>Mesure connexe (réforme ou investissement)</w:t>
            </w:r>
          </w:p>
        </w:tc>
        <w:tc>
          <w:tcPr>
            <w:tcW w:w="1298" w:type="dxa"/>
            <w:vMerge w:val="restart"/>
            <w:shd w:val="clear" w:color="auto" w:fill="BDD7EE"/>
            <w:vAlign w:val="center"/>
            <w:hideMark/>
          </w:tcPr>
          <w:p w14:paraId="0F496A57" w14:textId="77777777" w:rsidR="00A00259" w:rsidRDefault="00371282">
            <w:pPr>
              <w:pStyle w:val="P68B1DB1-Normal10"/>
              <w:spacing w:after="0" w:line="240" w:lineRule="auto"/>
              <w:jc w:val="center"/>
              <w:rPr>
                <w:rFonts w:eastAsia="Times New Roman" w:cs="Times New Roman"/>
                <w:noProof/>
                <w:szCs w:val="18"/>
              </w:rPr>
            </w:pPr>
            <w:r>
              <w:rPr>
                <w:noProof/>
              </w:rPr>
              <w:t>Étape/cible</w:t>
            </w:r>
          </w:p>
        </w:tc>
        <w:tc>
          <w:tcPr>
            <w:tcW w:w="1396" w:type="dxa"/>
            <w:vMerge w:val="restart"/>
            <w:shd w:val="clear" w:color="auto" w:fill="BDD7EE"/>
            <w:vAlign w:val="center"/>
            <w:hideMark/>
          </w:tcPr>
          <w:p w14:paraId="0E8143F4" w14:textId="77777777" w:rsidR="00A00259" w:rsidRDefault="00371282">
            <w:pPr>
              <w:pStyle w:val="P68B1DB1-Normal10"/>
              <w:spacing w:after="0" w:line="240" w:lineRule="auto"/>
              <w:jc w:val="center"/>
              <w:rPr>
                <w:rFonts w:eastAsia="Times New Roman" w:cs="Times New Roman"/>
                <w:noProof/>
                <w:szCs w:val="18"/>
              </w:rPr>
            </w:pPr>
            <w:r>
              <w:rPr>
                <w:noProof/>
              </w:rPr>
              <w:t>Nom</w:t>
            </w:r>
          </w:p>
        </w:tc>
        <w:tc>
          <w:tcPr>
            <w:tcW w:w="1823" w:type="dxa"/>
            <w:vMerge w:val="restart"/>
            <w:shd w:val="clear" w:color="auto" w:fill="BDD7EE"/>
            <w:vAlign w:val="center"/>
            <w:hideMark/>
          </w:tcPr>
          <w:p w14:paraId="1018B1E6" w14:textId="77777777" w:rsidR="00A00259" w:rsidRDefault="00371282">
            <w:pPr>
              <w:pStyle w:val="P68B1DB1-Normal10"/>
              <w:spacing w:after="0" w:line="240" w:lineRule="auto"/>
              <w:jc w:val="center"/>
              <w:rPr>
                <w:rFonts w:eastAsia="Times New Roman" w:cs="Times New Roman"/>
                <w:noProof/>
                <w:szCs w:val="18"/>
              </w:rPr>
            </w:pPr>
            <w:r>
              <w:rPr>
                <w:noProof/>
              </w:rPr>
              <w:t>Indicateurs qualitatifs (pour les jalons)</w:t>
            </w:r>
          </w:p>
        </w:tc>
        <w:tc>
          <w:tcPr>
            <w:tcW w:w="2744" w:type="dxa"/>
            <w:gridSpan w:val="3"/>
            <w:shd w:val="clear" w:color="auto" w:fill="BDD7EE"/>
            <w:vAlign w:val="center"/>
            <w:hideMark/>
          </w:tcPr>
          <w:p w14:paraId="1E6D7842" w14:textId="77777777" w:rsidR="00A00259" w:rsidRDefault="00371282">
            <w:pPr>
              <w:pStyle w:val="P68B1DB1-Normal10"/>
              <w:spacing w:after="0" w:line="240" w:lineRule="auto"/>
              <w:jc w:val="center"/>
              <w:rPr>
                <w:rFonts w:eastAsia="Times New Roman" w:cs="Times New Roman"/>
                <w:noProof/>
                <w:szCs w:val="18"/>
              </w:rPr>
            </w:pPr>
            <w:r>
              <w:rPr>
                <w:noProof/>
              </w:rPr>
              <w:t>Indicateurs quantitatifs (pour les objectifs)</w:t>
            </w:r>
          </w:p>
        </w:tc>
        <w:tc>
          <w:tcPr>
            <w:tcW w:w="1842" w:type="dxa"/>
            <w:gridSpan w:val="2"/>
            <w:shd w:val="clear" w:color="auto" w:fill="BDD7EE"/>
            <w:vAlign w:val="center"/>
            <w:hideMark/>
          </w:tcPr>
          <w:p w14:paraId="68AB3C30" w14:textId="77777777" w:rsidR="00A00259" w:rsidRDefault="00371282">
            <w:pPr>
              <w:pStyle w:val="P68B1DB1-Normal10"/>
              <w:spacing w:after="0" w:line="240" w:lineRule="auto"/>
              <w:jc w:val="center"/>
              <w:rPr>
                <w:rFonts w:eastAsia="Times New Roman" w:cs="Times New Roman"/>
                <w:noProof/>
                <w:szCs w:val="18"/>
              </w:rPr>
            </w:pPr>
            <w:r>
              <w:rPr>
                <w:noProof/>
              </w:rPr>
              <w:t xml:space="preserve">Calendrier indicatif d'achèvement </w:t>
            </w:r>
          </w:p>
        </w:tc>
        <w:tc>
          <w:tcPr>
            <w:tcW w:w="3696" w:type="dxa"/>
            <w:vMerge w:val="restart"/>
            <w:shd w:val="clear" w:color="auto" w:fill="BDD7EE"/>
            <w:vAlign w:val="center"/>
            <w:hideMark/>
          </w:tcPr>
          <w:p w14:paraId="0C30F0D5" w14:textId="77777777" w:rsidR="00A00259" w:rsidRDefault="00371282">
            <w:pPr>
              <w:pStyle w:val="P68B1DB1-Normal10"/>
              <w:spacing w:after="0" w:line="240" w:lineRule="auto"/>
              <w:jc w:val="center"/>
              <w:rPr>
                <w:rFonts w:eastAsia="Times New Roman" w:cs="Times New Roman"/>
                <w:noProof/>
                <w:szCs w:val="18"/>
              </w:rPr>
            </w:pPr>
            <w:r>
              <w:rPr>
                <w:noProof/>
              </w:rPr>
              <w:t>Description de chaque jalon et cible</w:t>
            </w:r>
          </w:p>
        </w:tc>
      </w:tr>
      <w:tr w:rsidR="00A00259" w14:paraId="659B3C89" w14:textId="77777777" w:rsidTr="00096954">
        <w:trPr>
          <w:trHeight w:val="456"/>
          <w:tblHeader/>
          <w:jc w:val="center"/>
        </w:trPr>
        <w:tc>
          <w:tcPr>
            <w:tcW w:w="619" w:type="dxa"/>
            <w:vMerge/>
            <w:vAlign w:val="center"/>
            <w:hideMark/>
          </w:tcPr>
          <w:p w14:paraId="5BE10B56" w14:textId="77777777" w:rsidR="00A00259" w:rsidRDefault="00A00259">
            <w:pPr>
              <w:spacing w:after="0" w:line="240" w:lineRule="auto"/>
              <w:rPr>
                <w:rFonts w:ascii="Times New Roman" w:eastAsia="Times New Roman" w:hAnsi="Times New Roman" w:cs="Times New Roman"/>
                <w:b/>
                <w:bCs/>
                <w:noProof/>
                <w:sz w:val="18"/>
                <w:szCs w:val="18"/>
              </w:rPr>
            </w:pPr>
          </w:p>
        </w:tc>
        <w:tc>
          <w:tcPr>
            <w:tcW w:w="2084" w:type="dxa"/>
            <w:vMerge/>
            <w:vAlign w:val="center"/>
            <w:hideMark/>
          </w:tcPr>
          <w:p w14:paraId="637CBD21" w14:textId="77777777" w:rsidR="00A00259" w:rsidRDefault="00A00259">
            <w:pPr>
              <w:spacing w:after="0" w:line="240" w:lineRule="auto"/>
              <w:rPr>
                <w:rFonts w:ascii="Times New Roman" w:eastAsia="Times New Roman" w:hAnsi="Times New Roman" w:cs="Times New Roman"/>
                <w:b/>
                <w:bCs/>
                <w:noProof/>
                <w:sz w:val="18"/>
                <w:szCs w:val="18"/>
              </w:rPr>
            </w:pPr>
          </w:p>
        </w:tc>
        <w:tc>
          <w:tcPr>
            <w:tcW w:w="1298" w:type="dxa"/>
            <w:vMerge/>
            <w:vAlign w:val="center"/>
            <w:hideMark/>
          </w:tcPr>
          <w:p w14:paraId="4370817E" w14:textId="77777777" w:rsidR="00A00259" w:rsidRDefault="00A00259">
            <w:pPr>
              <w:spacing w:after="0" w:line="240" w:lineRule="auto"/>
              <w:rPr>
                <w:rFonts w:ascii="Times New Roman" w:eastAsia="Times New Roman" w:hAnsi="Times New Roman" w:cs="Times New Roman"/>
                <w:b/>
                <w:bCs/>
                <w:noProof/>
                <w:sz w:val="18"/>
                <w:szCs w:val="18"/>
              </w:rPr>
            </w:pPr>
          </w:p>
        </w:tc>
        <w:tc>
          <w:tcPr>
            <w:tcW w:w="1396" w:type="dxa"/>
            <w:vMerge/>
            <w:vAlign w:val="center"/>
            <w:hideMark/>
          </w:tcPr>
          <w:p w14:paraId="4E2484D5" w14:textId="77777777" w:rsidR="00A00259" w:rsidRDefault="00A00259">
            <w:pPr>
              <w:spacing w:after="0" w:line="240" w:lineRule="auto"/>
              <w:rPr>
                <w:rFonts w:ascii="Times New Roman" w:eastAsia="Times New Roman" w:hAnsi="Times New Roman" w:cs="Times New Roman"/>
                <w:b/>
                <w:bCs/>
                <w:noProof/>
                <w:sz w:val="18"/>
                <w:szCs w:val="18"/>
              </w:rPr>
            </w:pPr>
          </w:p>
        </w:tc>
        <w:tc>
          <w:tcPr>
            <w:tcW w:w="1823" w:type="dxa"/>
            <w:vMerge/>
            <w:vAlign w:val="center"/>
            <w:hideMark/>
          </w:tcPr>
          <w:p w14:paraId="6A08B2D9" w14:textId="77777777" w:rsidR="00A00259" w:rsidRDefault="00A00259">
            <w:pPr>
              <w:spacing w:after="0" w:line="240" w:lineRule="auto"/>
              <w:rPr>
                <w:rFonts w:ascii="Times New Roman" w:eastAsia="Times New Roman" w:hAnsi="Times New Roman" w:cs="Times New Roman"/>
                <w:b/>
                <w:bCs/>
                <w:noProof/>
                <w:sz w:val="18"/>
                <w:szCs w:val="18"/>
              </w:rPr>
            </w:pPr>
          </w:p>
        </w:tc>
        <w:tc>
          <w:tcPr>
            <w:tcW w:w="866" w:type="dxa"/>
            <w:shd w:val="clear" w:color="auto" w:fill="BDD7EE"/>
            <w:vAlign w:val="center"/>
            <w:hideMark/>
          </w:tcPr>
          <w:p w14:paraId="6AC21602" w14:textId="77777777" w:rsidR="00A00259" w:rsidRDefault="00371282">
            <w:pPr>
              <w:pStyle w:val="P68B1DB1-Normal10"/>
              <w:spacing w:after="0" w:line="240" w:lineRule="auto"/>
              <w:jc w:val="center"/>
              <w:rPr>
                <w:rFonts w:eastAsia="Times New Roman" w:cs="Times New Roman"/>
                <w:noProof/>
                <w:szCs w:val="18"/>
              </w:rPr>
            </w:pPr>
            <w:r>
              <w:rPr>
                <w:noProof/>
              </w:rPr>
              <w:t>Unité de mesure</w:t>
            </w:r>
          </w:p>
        </w:tc>
        <w:tc>
          <w:tcPr>
            <w:tcW w:w="1027" w:type="dxa"/>
            <w:shd w:val="clear" w:color="auto" w:fill="BDD7EE"/>
            <w:vAlign w:val="center"/>
            <w:hideMark/>
          </w:tcPr>
          <w:p w14:paraId="32D32923" w14:textId="77777777" w:rsidR="00A00259" w:rsidRDefault="00371282">
            <w:pPr>
              <w:pStyle w:val="P68B1DB1-Normal10"/>
              <w:spacing w:after="0" w:line="240" w:lineRule="auto"/>
              <w:jc w:val="center"/>
              <w:rPr>
                <w:rFonts w:eastAsia="Times New Roman" w:cs="Times New Roman"/>
                <w:noProof/>
                <w:szCs w:val="18"/>
              </w:rPr>
            </w:pPr>
            <w:r>
              <w:rPr>
                <w:noProof/>
              </w:rPr>
              <w:t xml:space="preserve">Données de référence </w:t>
            </w:r>
          </w:p>
        </w:tc>
        <w:tc>
          <w:tcPr>
            <w:tcW w:w="851" w:type="dxa"/>
            <w:shd w:val="clear" w:color="auto" w:fill="BDD7EE"/>
            <w:vAlign w:val="center"/>
            <w:hideMark/>
          </w:tcPr>
          <w:p w14:paraId="69DDF875" w14:textId="77777777" w:rsidR="00A00259" w:rsidRDefault="00371282">
            <w:pPr>
              <w:pStyle w:val="P68B1DB1-Normal10"/>
              <w:spacing w:after="0" w:line="240" w:lineRule="auto"/>
              <w:jc w:val="center"/>
              <w:rPr>
                <w:rFonts w:eastAsia="Times New Roman" w:cs="Times New Roman"/>
                <w:noProof/>
                <w:szCs w:val="18"/>
              </w:rPr>
            </w:pPr>
            <w:r>
              <w:rPr>
                <w:noProof/>
              </w:rPr>
              <w:t xml:space="preserve">Objectif </w:t>
            </w:r>
          </w:p>
        </w:tc>
        <w:tc>
          <w:tcPr>
            <w:tcW w:w="992" w:type="dxa"/>
            <w:shd w:val="clear" w:color="auto" w:fill="BDD7EE"/>
            <w:vAlign w:val="center"/>
            <w:hideMark/>
          </w:tcPr>
          <w:p w14:paraId="03918B0E" w14:textId="77777777" w:rsidR="00A00259" w:rsidRDefault="00371282">
            <w:pPr>
              <w:pStyle w:val="P68B1DB1-Normal10"/>
              <w:spacing w:after="0" w:line="240" w:lineRule="auto"/>
              <w:jc w:val="center"/>
              <w:rPr>
                <w:rFonts w:eastAsia="Times New Roman" w:cs="Times New Roman"/>
                <w:noProof/>
                <w:szCs w:val="18"/>
              </w:rPr>
            </w:pPr>
            <w:r>
              <w:rPr>
                <w:noProof/>
              </w:rPr>
              <w:t>Trimestre</w:t>
            </w:r>
          </w:p>
        </w:tc>
        <w:tc>
          <w:tcPr>
            <w:tcW w:w="850" w:type="dxa"/>
            <w:shd w:val="clear" w:color="auto" w:fill="BDD7EE"/>
            <w:vAlign w:val="center"/>
            <w:hideMark/>
          </w:tcPr>
          <w:p w14:paraId="019056CE" w14:textId="77777777" w:rsidR="00A00259" w:rsidRDefault="00371282">
            <w:pPr>
              <w:pStyle w:val="P68B1DB1-Normal10"/>
              <w:spacing w:after="0" w:line="240" w:lineRule="auto"/>
              <w:jc w:val="center"/>
              <w:rPr>
                <w:rFonts w:eastAsia="Times New Roman" w:cs="Times New Roman"/>
                <w:noProof/>
                <w:szCs w:val="18"/>
              </w:rPr>
            </w:pPr>
            <w:r>
              <w:rPr>
                <w:noProof/>
              </w:rPr>
              <w:t>Année</w:t>
            </w:r>
          </w:p>
        </w:tc>
        <w:tc>
          <w:tcPr>
            <w:tcW w:w="3696" w:type="dxa"/>
            <w:vMerge/>
            <w:vAlign w:val="center"/>
            <w:hideMark/>
          </w:tcPr>
          <w:p w14:paraId="195ED197"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6D41D90A" w14:textId="77777777" w:rsidTr="00096954">
        <w:trPr>
          <w:trHeight w:val="313"/>
          <w:jc w:val="center"/>
        </w:trPr>
        <w:tc>
          <w:tcPr>
            <w:tcW w:w="619" w:type="dxa"/>
            <w:shd w:val="clear" w:color="auto" w:fill="C6EFCE"/>
            <w:noWrap/>
          </w:tcPr>
          <w:p w14:paraId="0F6E3F55" w14:textId="77777777" w:rsidR="00A00259" w:rsidRDefault="00371282">
            <w:pPr>
              <w:pStyle w:val="P68B1DB1-Normal12"/>
              <w:spacing w:after="0" w:line="240" w:lineRule="auto"/>
              <w:rPr>
                <w:rFonts w:eastAsia="Times New Roman"/>
                <w:noProof/>
              </w:rPr>
            </w:pPr>
            <w:r>
              <w:rPr>
                <w:noProof/>
              </w:rPr>
              <w:t>299</w:t>
            </w:r>
          </w:p>
        </w:tc>
        <w:tc>
          <w:tcPr>
            <w:tcW w:w="2084" w:type="dxa"/>
            <w:shd w:val="clear" w:color="auto" w:fill="C6EFCE"/>
            <w:noWrap/>
          </w:tcPr>
          <w:p w14:paraId="13805CB9"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- 16593_Modification du cadre juridique visant à attirer les investissements stratégiques</w:t>
            </w:r>
          </w:p>
        </w:tc>
        <w:tc>
          <w:tcPr>
            <w:tcW w:w="1298" w:type="dxa"/>
            <w:shd w:val="clear" w:color="auto" w:fill="C6EFCE"/>
            <w:noWrap/>
          </w:tcPr>
          <w:p w14:paraId="3E71EB91" w14:textId="77777777" w:rsidR="00A00259" w:rsidRDefault="00371282">
            <w:pPr>
              <w:pStyle w:val="P68B1DB1-Normal12"/>
              <w:spacing w:after="0" w:line="240" w:lineRule="auto"/>
              <w:rPr>
                <w:rFonts w:eastAsia="Times New Roman"/>
                <w:noProof/>
              </w:rPr>
            </w:pPr>
            <w:r>
              <w:rPr>
                <w:noProof/>
              </w:rPr>
              <w:t>Étape</w:t>
            </w:r>
          </w:p>
        </w:tc>
        <w:tc>
          <w:tcPr>
            <w:tcW w:w="1396" w:type="dxa"/>
            <w:shd w:val="clear" w:color="auto" w:fill="C6EFCE"/>
            <w:noWrap/>
          </w:tcPr>
          <w:p w14:paraId="3366E2A8" w14:textId="77777777" w:rsidR="00A00259" w:rsidRDefault="00371282">
            <w:pPr>
              <w:pStyle w:val="P68B1DB1-Normal12"/>
              <w:spacing w:after="0" w:line="240" w:lineRule="auto"/>
              <w:rPr>
                <w:rFonts w:eastAsia="Times New Roman"/>
                <w:noProof/>
              </w:rPr>
            </w:pPr>
            <w:r>
              <w:rPr>
                <w:noProof/>
              </w:rPr>
              <w:t>Investissements stratégiques – Réforme législative</w:t>
            </w:r>
          </w:p>
        </w:tc>
        <w:tc>
          <w:tcPr>
            <w:tcW w:w="1823" w:type="dxa"/>
            <w:shd w:val="clear" w:color="auto" w:fill="C6EFCE"/>
            <w:noWrap/>
          </w:tcPr>
          <w:p w14:paraId="0D121DBA" w14:textId="77777777" w:rsidR="00A00259" w:rsidRDefault="00371282">
            <w:pPr>
              <w:pStyle w:val="P68B1DB1-Normal12"/>
              <w:spacing w:after="0" w:line="240" w:lineRule="auto"/>
              <w:rPr>
                <w:rFonts w:eastAsia="Times New Roman"/>
                <w:noProof/>
              </w:rPr>
            </w:pPr>
            <w:r>
              <w:rPr>
                <w:noProof/>
              </w:rPr>
              <w:t>Entrée en vigueur des modifications législatives</w:t>
            </w:r>
          </w:p>
        </w:tc>
        <w:tc>
          <w:tcPr>
            <w:tcW w:w="866" w:type="dxa"/>
            <w:shd w:val="clear" w:color="auto" w:fill="C6EFCE"/>
            <w:noWrap/>
          </w:tcPr>
          <w:p w14:paraId="0B0B221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45289F8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427DEF7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74578841" w14:textId="77777777" w:rsidR="00A00259" w:rsidRDefault="00371282">
            <w:pPr>
              <w:pStyle w:val="P68B1DB1-Normal12"/>
              <w:spacing w:after="0" w:line="240" w:lineRule="auto"/>
              <w:rPr>
                <w:rFonts w:eastAsia="Times New Roman"/>
                <w:noProof/>
              </w:rPr>
            </w:pPr>
            <w:r>
              <w:rPr>
                <w:noProof/>
              </w:rPr>
              <w:t>T4</w:t>
            </w:r>
          </w:p>
        </w:tc>
        <w:tc>
          <w:tcPr>
            <w:tcW w:w="850" w:type="dxa"/>
            <w:shd w:val="clear" w:color="auto" w:fill="C6EFCE"/>
            <w:noWrap/>
          </w:tcPr>
          <w:p w14:paraId="5D132D62" w14:textId="77777777" w:rsidR="00A00259" w:rsidRDefault="00371282">
            <w:pPr>
              <w:pStyle w:val="P68B1DB1-Normal12"/>
              <w:spacing w:after="0" w:line="240" w:lineRule="auto"/>
              <w:rPr>
                <w:rFonts w:eastAsia="Times New Roman"/>
                <w:noProof/>
              </w:rPr>
            </w:pPr>
            <w:r>
              <w:rPr>
                <w:noProof/>
              </w:rPr>
              <w:t>2021</w:t>
            </w:r>
          </w:p>
        </w:tc>
        <w:tc>
          <w:tcPr>
            <w:tcW w:w="3696" w:type="dxa"/>
            <w:shd w:val="clear" w:color="auto" w:fill="C6EFCE"/>
            <w:noWrap/>
          </w:tcPr>
          <w:p w14:paraId="43C0E789" w14:textId="77777777" w:rsidR="00A00259" w:rsidRDefault="00371282">
            <w:pPr>
              <w:pStyle w:val="P68B1DB1-Normal12"/>
              <w:spacing w:after="0" w:line="240" w:lineRule="auto"/>
              <w:rPr>
                <w:rFonts w:eastAsia="Times New Roman"/>
                <w:noProof/>
              </w:rPr>
            </w:pPr>
            <w:r>
              <w:rPr>
                <w:noProof/>
              </w:rPr>
              <w:t xml:space="preserve">Entrée en vigueur de modifications législatives visant à réformer le cadre législatif pour attirer les investissements stratégiques (lois 3894/2010 et 4608/2019), y compris au moyen d’une codification juridique visant à créer un cadre uniforme et cohérent et de modifications juridiques visant à introduire une nouvelle catégorie d’investissements stratégiques «Investissements emblématiques de grande importance». </w:t>
            </w:r>
          </w:p>
          <w:p w14:paraId="5A7F51ED" w14:textId="77777777" w:rsidR="00A00259" w:rsidRDefault="00A00259">
            <w:pPr>
              <w:spacing w:after="0" w:line="240" w:lineRule="auto"/>
              <w:rPr>
                <w:rFonts w:ascii="Times New Roman" w:eastAsia="Times New Roman" w:hAnsi="Times New Roman" w:cs="Times New Roman"/>
                <w:noProof/>
                <w:color w:val="006100"/>
                <w:sz w:val="18"/>
                <w:szCs w:val="18"/>
              </w:rPr>
            </w:pPr>
          </w:p>
          <w:p w14:paraId="29423D99" w14:textId="55A1A120" w:rsidR="00A00259" w:rsidRDefault="00371282">
            <w:pPr>
              <w:pStyle w:val="P68B1DB1-Normal12"/>
              <w:spacing w:after="0" w:line="240" w:lineRule="auto"/>
              <w:rPr>
                <w:rFonts w:eastAsia="Times New Roman"/>
                <w:noProof/>
                <w:highlight w:val="yellow"/>
              </w:rPr>
            </w:pPr>
            <w:r>
              <w:rPr>
                <w:noProof/>
              </w:rPr>
              <w:t>La réforme du cadre d’investissement stratégique introduit également des dispositions visant à accélérer la procédure administrative relative à l’approbation et à l’octroi de licences pour un investissement stratégique (c’est-à-dire à améliorer la procédure accélérée). De nouvelles catégories d’investissements stratégiques sont introduites dans la loi sur la base de critères propices à l’innovation ou à la diffusion des technologies, à l’utilisation des énergies renouvelables et à la transition vers une économie à faible intensité de carbone et/ou visant à promouvoir de manière significative la compétitivité de l’économie grecque au niveau international.</w:t>
            </w:r>
          </w:p>
        </w:tc>
      </w:tr>
      <w:tr w:rsidR="00A00259" w14:paraId="34FA76C0" w14:textId="77777777" w:rsidTr="00096954">
        <w:trPr>
          <w:trHeight w:val="313"/>
          <w:jc w:val="center"/>
        </w:trPr>
        <w:tc>
          <w:tcPr>
            <w:tcW w:w="619" w:type="dxa"/>
            <w:shd w:val="clear" w:color="auto" w:fill="C6EFCE"/>
            <w:noWrap/>
          </w:tcPr>
          <w:p w14:paraId="12305942" w14:textId="77777777" w:rsidR="00A00259" w:rsidRDefault="00371282">
            <w:pPr>
              <w:pStyle w:val="P68B1DB1-Normal12"/>
              <w:spacing w:after="0" w:line="240" w:lineRule="auto"/>
              <w:rPr>
                <w:rFonts w:eastAsia="Times New Roman"/>
                <w:noProof/>
              </w:rPr>
            </w:pPr>
            <w:r>
              <w:rPr>
                <w:noProof/>
              </w:rPr>
              <w:t>300</w:t>
            </w:r>
          </w:p>
        </w:tc>
        <w:tc>
          <w:tcPr>
            <w:tcW w:w="2084" w:type="dxa"/>
            <w:shd w:val="clear" w:color="auto" w:fill="C6EFCE"/>
            <w:noWrap/>
          </w:tcPr>
          <w:p w14:paraId="63DCFFEF"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-16721_Accélération de la fabrication intelligente</w:t>
            </w:r>
          </w:p>
        </w:tc>
        <w:tc>
          <w:tcPr>
            <w:tcW w:w="1298" w:type="dxa"/>
            <w:shd w:val="clear" w:color="auto" w:fill="C6EFCE"/>
            <w:noWrap/>
          </w:tcPr>
          <w:p w14:paraId="30534E30" w14:textId="77777777" w:rsidR="00A00259" w:rsidRDefault="00371282">
            <w:pPr>
              <w:pStyle w:val="P68B1DB1-Normal12"/>
              <w:spacing w:after="0" w:line="240" w:lineRule="auto"/>
              <w:rPr>
                <w:rFonts w:eastAsia="Times New Roman"/>
                <w:noProof/>
              </w:rPr>
            </w:pPr>
            <w:r>
              <w:rPr>
                <w:noProof/>
              </w:rPr>
              <w:t>Étape</w:t>
            </w:r>
          </w:p>
        </w:tc>
        <w:tc>
          <w:tcPr>
            <w:tcW w:w="1396" w:type="dxa"/>
            <w:shd w:val="clear" w:color="auto" w:fill="C6EFCE"/>
            <w:noWrap/>
          </w:tcPr>
          <w:p w14:paraId="06EB6387" w14:textId="77777777" w:rsidR="00A00259" w:rsidRDefault="00371282">
            <w:pPr>
              <w:pStyle w:val="P68B1DB1-Normal12"/>
              <w:spacing w:after="0" w:line="240" w:lineRule="auto"/>
              <w:rPr>
                <w:rFonts w:eastAsia="Times New Roman"/>
                <w:noProof/>
              </w:rPr>
            </w:pPr>
            <w:r>
              <w:rPr>
                <w:noProof/>
              </w:rPr>
              <w:t>Lancement d'appels à la fabrication</w:t>
            </w:r>
          </w:p>
        </w:tc>
        <w:tc>
          <w:tcPr>
            <w:tcW w:w="1823" w:type="dxa"/>
            <w:shd w:val="clear" w:color="auto" w:fill="C6EFCE"/>
            <w:noWrap/>
          </w:tcPr>
          <w:p w14:paraId="0F55EE97" w14:textId="77777777" w:rsidR="00A00259" w:rsidRDefault="00371282">
            <w:pPr>
              <w:pStyle w:val="P68B1DB1-Normal12"/>
              <w:spacing w:after="0" w:line="240" w:lineRule="auto"/>
              <w:rPr>
                <w:rFonts w:eastAsia="Times New Roman"/>
                <w:noProof/>
              </w:rPr>
            </w:pPr>
            <w:r>
              <w:rPr>
                <w:noProof/>
              </w:rPr>
              <w:t xml:space="preserve">Lancement d'appels pour les entreprises manufacturières </w:t>
            </w:r>
          </w:p>
        </w:tc>
        <w:tc>
          <w:tcPr>
            <w:tcW w:w="866" w:type="dxa"/>
            <w:shd w:val="clear" w:color="auto" w:fill="C6EFCE"/>
            <w:noWrap/>
          </w:tcPr>
          <w:p w14:paraId="6EAEC15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413C001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35DB87E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1F8BEAB" w14:textId="77777777" w:rsidR="00A00259" w:rsidRDefault="00371282">
            <w:pPr>
              <w:pStyle w:val="P68B1DB1-Normal12"/>
              <w:spacing w:after="0" w:line="240" w:lineRule="auto"/>
              <w:rPr>
                <w:rFonts w:eastAsia="Times New Roman"/>
                <w:noProof/>
              </w:rPr>
            </w:pPr>
            <w:r>
              <w:rPr>
                <w:noProof/>
              </w:rPr>
              <w:t>T1</w:t>
            </w:r>
          </w:p>
        </w:tc>
        <w:tc>
          <w:tcPr>
            <w:tcW w:w="850" w:type="dxa"/>
            <w:shd w:val="clear" w:color="auto" w:fill="C6EFCE"/>
            <w:noWrap/>
          </w:tcPr>
          <w:p w14:paraId="7EB79097" w14:textId="77777777" w:rsidR="00A00259" w:rsidRDefault="00371282">
            <w:pPr>
              <w:pStyle w:val="P68B1DB1-Normal12"/>
              <w:spacing w:after="0" w:line="240" w:lineRule="auto"/>
              <w:rPr>
                <w:rFonts w:eastAsia="Times New Roman"/>
                <w:noProof/>
              </w:rPr>
            </w:pPr>
            <w:r>
              <w:rPr>
                <w:noProof/>
              </w:rPr>
              <w:t>2022</w:t>
            </w:r>
          </w:p>
        </w:tc>
        <w:tc>
          <w:tcPr>
            <w:tcW w:w="3696" w:type="dxa"/>
            <w:shd w:val="clear" w:color="auto" w:fill="C6EFCE"/>
            <w:noWrap/>
          </w:tcPr>
          <w:p w14:paraId="6332F554" w14:textId="77777777" w:rsidR="00A00259" w:rsidRDefault="00371282">
            <w:pPr>
              <w:pStyle w:val="P68B1DB1-Normal12"/>
              <w:spacing w:after="0" w:line="240" w:lineRule="auto"/>
              <w:rPr>
                <w:rFonts w:eastAsia="Times New Roman"/>
                <w:noProof/>
              </w:rPr>
            </w:pPr>
            <w:r>
              <w:rPr>
                <w:noProof/>
              </w:rPr>
              <w:t>Lancement de tous les appels à propositions concurrentiels pour le secteur manufacturier en ce qui concerne les investissements relatifs à la numérisation des lignes de production, à l’automatisation et à l’interconnexion des chaînes d’approvisionnement, à la conception et à la production de produits et services intelligents, à la mise en œuvre de technologies de fabrication intelligentes dans les domaines de la mécanique, du laboratoire et de l’ampli, des équipements de fabrication, des équipements de contrôle de la qualité, des TIC et de l’ampli, des équipements logiciels, des licences logicielles, des licences en nuage, des services de mise en œuvre de la nouvelle infrastructure informatique et du S/W, des services de sécurité informatique, de la conception des produits, de la propriété intellectuelle, des brevets et des coûts de certification, avec des termes de référence comprenant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A00259" w14:paraId="020AB5F5" w14:textId="77777777" w:rsidTr="00096954">
        <w:trPr>
          <w:trHeight w:val="313"/>
          <w:jc w:val="center"/>
        </w:trPr>
        <w:tc>
          <w:tcPr>
            <w:tcW w:w="619" w:type="dxa"/>
            <w:shd w:val="clear" w:color="auto" w:fill="C6EFCE"/>
            <w:noWrap/>
          </w:tcPr>
          <w:p w14:paraId="07AA786C" w14:textId="77777777" w:rsidR="00A00259" w:rsidRDefault="00371282">
            <w:pPr>
              <w:pStyle w:val="P68B1DB1-Normal12"/>
              <w:spacing w:after="0" w:line="240" w:lineRule="auto"/>
              <w:rPr>
                <w:rFonts w:eastAsia="Times New Roman"/>
                <w:noProof/>
              </w:rPr>
            </w:pPr>
            <w:r>
              <w:rPr>
                <w:noProof/>
              </w:rPr>
              <w:t>301</w:t>
            </w:r>
          </w:p>
        </w:tc>
        <w:tc>
          <w:tcPr>
            <w:tcW w:w="2084" w:type="dxa"/>
            <w:shd w:val="clear" w:color="auto" w:fill="C6EFCE"/>
            <w:noWrap/>
          </w:tcPr>
          <w:p w14:paraId="31DA8474"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- 16634_Nouveaux parcs industriels</w:t>
            </w:r>
          </w:p>
          <w:p w14:paraId="271818F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298" w:type="dxa"/>
            <w:shd w:val="clear" w:color="auto" w:fill="C6EFCE"/>
            <w:noWrap/>
          </w:tcPr>
          <w:p w14:paraId="6283098F" w14:textId="77777777" w:rsidR="00A00259" w:rsidRDefault="00371282">
            <w:pPr>
              <w:pStyle w:val="P68B1DB1-Normal12"/>
              <w:spacing w:after="0" w:line="240" w:lineRule="auto"/>
              <w:rPr>
                <w:rFonts w:eastAsia="Times New Roman"/>
                <w:noProof/>
              </w:rPr>
            </w:pPr>
            <w:r>
              <w:rPr>
                <w:noProof/>
              </w:rPr>
              <w:t>Étape</w:t>
            </w:r>
          </w:p>
        </w:tc>
        <w:tc>
          <w:tcPr>
            <w:tcW w:w="1396" w:type="dxa"/>
            <w:shd w:val="clear" w:color="auto" w:fill="C6EFCE"/>
            <w:noWrap/>
          </w:tcPr>
          <w:p w14:paraId="58128B83" w14:textId="77777777" w:rsidR="00A00259" w:rsidRDefault="00371282">
            <w:pPr>
              <w:pStyle w:val="P68B1DB1-Normal12"/>
              <w:spacing w:after="0" w:line="240" w:lineRule="auto"/>
              <w:rPr>
                <w:rFonts w:eastAsia="Times New Roman"/>
                <w:noProof/>
              </w:rPr>
            </w:pPr>
            <w:r>
              <w:rPr>
                <w:noProof/>
              </w:rPr>
              <w:t>Lancement d'appels pour les parcs industriels</w:t>
            </w:r>
          </w:p>
        </w:tc>
        <w:tc>
          <w:tcPr>
            <w:tcW w:w="1823" w:type="dxa"/>
            <w:shd w:val="clear" w:color="auto" w:fill="C6EFCE"/>
            <w:noWrap/>
          </w:tcPr>
          <w:p w14:paraId="5A7F1540" w14:textId="77777777" w:rsidR="00A00259" w:rsidRDefault="00371282">
            <w:pPr>
              <w:pStyle w:val="P68B1DB1-Normal12"/>
              <w:spacing w:after="0" w:line="240" w:lineRule="auto"/>
              <w:rPr>
                <w:rFonts w:eastAsia="Times New Roman"/>
                <w:noProof/>
              </w:rPr>
            </w:pPr>
            <w:r>
              <w:rPr>
                <w:noProof/>
              </w:rPr>
              <w:t xml:space="preserve">Lancement d'appels à propositions pour les parcs industriels </w:t>
            </w:r>
          </w:p>
        </w:tc>
        <w:tc>
          <w:tcPr>
            <w:tcW w:w="866" w:type="dxa"/>
            <w:shd w:val="clear" w:color="auto" w:fill="C6EFCE"/>
            <w:noWrap/>
          </w:tcPr>
          <w:p w14:paraId="585F315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56F4781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7BB0385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326E329B" w14:textId="77777777" w:rsidR="00A00259" w:rsidRDefault="00371282">
            <w:pPr>
              <w:pStyle w:val="P68B1DB1-Normal12"/>
              <w:spacing w:after="0" w:line="240" w:lineRule="auto"/>
              <w:rPr>
                <w:rFonts w:eastAsia="Times New Roman"/>
                <w:noProof/>
              </w:rPr>
            </w:pPr>
            <w:r>
              <w:rPr>
                <w:noProof/>
              </w:rPr>
              <w:t>T1</w:t>
            </w:r>
          </w:p>
        </w:tc>
        <w:tc>
          <w:tcPr>
            <w:tcW w:w="850" w:type="dxa"/>
            <w:shd w:val="clear" w:color="auto" w:fill="C6EFCE"/>
            <w:noWrap/>
          </w:tcPr>
          <w:p w14:paraId="4898256C" w14:textId="77777777" w:rsidR="00A00259" w:rsidRDefault="00371282">
            <w:pPr>
              <w:pStyle w:val="P68B1DB1-Normal12"/>
              <w:spacing w:after="0" w:line="240" w:lineRule="auto"/>
              <w:rPr>
                <w:rFonts w:eastAsia="Times New Roman"/>
                <w:noProof/>
              </w:rPr>
            </w:pPr>
            <w:r>
              <w:rPr>
                <w:noProof/>
              </w:rPr>
              <w:t>2022</w:t>
            </w:r>
          </w:p>
        </w:tc>
        <w:tc>
          <w:tcPr>
            <w:tcW w:w="3696" w:type="dxa"/>
            <w:shd w:val="clear" w:color="auto" w:fill="C6EFCE"/>
            <w:noWrap/>
          </w:tcPr>
          <w:p w14:paraId="0FE07428" w14:textId="77777777" w:rsidR="00A00259" w:rsidRDefault="00371282">
            <w:pPr>
              <w:pStyle w:val="P68B1DB1-Normal12"/>
              <w:spacing w:after="0" w:line="240" w:lineRule="auto"/>
              <w:rPr>
                <w:rFonts w:eastAsia="Times New Roman"/>
                <w:noProof/>
              </w:rPr>
            </w:pPr>
            <w:r>
              <w:rPr>
                <w:noProof/>
              </w:rPr>
              <w:t>Lancement de tous les appels à propositions concurrentiels pour le développement de parcs industriels en vue d’investissements dans a) des infrastructures pour la création de parcs de nouvelle génération (y compris l’acquisition des terrains) avec des critères spécifiques d’efficacité énergétique pour la construction de nouveaux bâtiments et des projets d’efficacité énergétique et de démonstration dans les grandes entreprises et des mesures de soutien, b) des infrastructures pour transformer numériquement et créer des zones industrielles intelligentes, c) des énergies renouvelables solaires, d) la gestion de l’eau et la conservation des ressources en eau [les investissements auront un indice moyen de fuite des infrastructures (ILI) de &lt;= 1,5], e) des systèmes de collecte et de traitement des eaux usées conformes aux critères d’efficacité énergétique, f) l’électromobilité (développement de réseaux de ravitaillement pour véhicules électriques ou à hydrogène ou de points de ravitaillement en biométhane pour les transports), g) des projets de réhabilitation de sites industriels et de terres contaminées. Les termes de référence, y compris les critères d’éligibilité,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p w14:paraId="30D4E6CB" w14:textId="77777777" w:rsidR="00A00259" w:rsidRDefault="00A00259">
            <w:pPr>
              <w:spacing w:after="0" w:line="240" w:lineRule="auto"/>
              <w:rPr>
                <w:rFonts w:ascii="Times New Roman" w:eastAsia="Times New Roman" w:hAnsi="Times New Roman" w:cs="Times New Roman"/>
                <w:noProof/>
                <w:color w:val="006100"/>
                <w:sz w:val="18"/>
                <w:szCs w:val="18"/>
              </w:rPr>
            </w:pPr>
          </w:p>
          <w:p w14:paraId="72A6BF6D" w14:textId="12EC6A9E" w:rsidR="00A00259" w:rsidRDefault="00371282">
            <w:pPr>
              <w:pStyle w:val="P68B1DB1-Normal12"/>
              <w:spacing w:after="0" w:line="240" w:lineRule="auto"/>
              <w:rPr>
                <w:rFonts w:eastAsia="Times New Roman"/>
                <w:noProof/>
              </w:rPr>
            </w:pPr>
            <w:r>
              <w:rPr>
                <w:noProof/>
              </w:rPr>
              <w:t>La construction de nouveaux bâtiments doit être conforme à une demande d’énergie primaire (DEP) inférieure d’au moins 20 % à l’exigence relative aux bâtiments à consommation d’énergie quasi nulle (bâtiment à consommation d’énergie quasi nulle, directives nationales). Dans le cas de la construction de systèmes d’assainissement frontaux, la mesure doit avoir une consommation d’énergie nette nulle et, dans le cas du renouvellement des systèmes d’assainissement frontaux, la mesure doit entraîner une diminution de la consommation d’énergie moyenne d’au moins 10 % (uniquement par des mesures d’efficacité énergétique et non par des modifications matérielles ou des changements de charge). Les investissements dans l’électromobilité sont conformes à la directive (UE) 2018/2001 et concernent les carburants de substitution pour les transports.</w:t>
            </w:r>
          </w:p>
        </w:tc>
      </w:tr>
      <w:tr w:rsidR="00A00259" w14:paraId="65887A85" w14:textId="77777777" w:rsidTr="00096954">
        <w:trPr>
          <w:trHeight w:val="313"/>
          <w:jc w:val="center"/>
        </w:trPr>
        <w:tc>
          <w:tcPr>
            <w:tcW w:w="619" w:type="dxa"/>
            <w:shd w:val="clear" w:color="auto" w:fill="C6EFCE"/>
            <w:noWrap/>
          </w:tcPr>
          <w:p w14:paraId="6FF32722" w14:textId="77777777" w:rsidR="00A00259" w:rsidRDefault="00371282">
            <w:pPr>
              <w:pStyle w:val="P68B1DB1-Normal12"/>
              <w:spacing w:after="0" w:line="240" w:lineRule="auto"/>
              <w:rPr>
                <w:rFonts w:eastAsia="Times New Roman"/>
                <w:noProof/>
              </w:rPr>
            </w:pPr>
            <w:r>
              <w:rPr>
                <w:noProof/>
              </w:rPr>
              <w:t>302</w:t>
            </w:r>
          </w:p>
        </w:tc>
        <w:tc>
          <w:tcPr>
            <w:tcW w:w="2084" w:type="dxa"/>
            <w:shd w:val="clear" w:color="auto" w:fill="C6EFCE"/>
            <w:noWrap/>
          </w:tcPr>
          <w:p w14:paraId="5E3126DB"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- 16634_Nouveaux parcs industriels</w:t>
            </w:r>
          </w:p>
        </w:tc>
        <w:tc>
          <w:tcPr>
            <w:tcW w:w="1298" w:type="dxa"/>
            <w:shd w:val="clear" w:color="auto" w:fill="C6EFCE"/>
            <w:noWrap/>
          </w:tcPr>
          <w:p w14:paraId="1EAC98DF" w14:textId="77777777" w:rsidR="00A00259" w:rsidRDefault="00371282">
            <w:pPr>
              <w:pStyle w:val="P68B1DB1-Normal12"/>
              <w:spacing w:after="0" w:line="240" w:lineRule="auto"/>
              <w:rPr>
                <w:rFonts w:eastAsia="Times New Roman"/>
                <w:noProof/>
              </w:rPr>
            </w:pPr>
            <w:r>
              <w:rPr>
                <w:noProof/>
              </w:rPr>
              <w:t>Étape</w:t>
            </w:r>
          </w:p>
        </w:tc>
        <w:tc>
          <w:tcPr>
            <w:tcW w:w="1396" w:type="dxa"/>
            <w:shd w:val="clear" w:color="auto" w:fill="C6EFCE"/>
            <w:noWrap/>
          </w:tcPr>
          <w:p w14:paraId="5E715968" w14:textId="77777777" w:rsidR="00A00259" w:rsidRDefault="00371282">
            <w:pPr>
              <w:pStyle w:val="P68B1DB1-Normal12"/>
              <w:spacing w:after="0" w:line="240" w:lineRule="auto"/>
              <w:rPr>
                <w:rFonts w:eastAsia="Times New Roman"/>
                <w:noProof/>
              </w:rPr>
            </w:pPr>
            <w:r>
              <w:rPr>
                <w:noProof/>
              </w:rPr>
              <w:t>Parcs industriels – réforme législative (droit primaire)</w:t>
            </w:r>
          </w:p>
        </w:tc>
        <w:tc>
          <w:tcPr>
            <w:tcW w:w="1823" w:type="dxa"/>
            <w:shd w:val="clear" w:color="auto" w:fill="C6EFCE"/>
            <w:noWrap/>
          </w:tcPr>
          <w:p w14:paraId="3D7FE60A" w14:textId="77777777" w:rsidR="00A00259" w:rsidRDefault="00371282">
            <w:pPr>
              <w:pStyle w:val="P68B1DB1-Normal12"/>
              <w:spacing w:after="0" w:line="240" w:lineRule="auto"/>
              <w:rPr>
                <w:rFonts w:eastAsia="Times New Roman"/>
                <w:noProof/>
              </w:rPr>
            </w:pPr>
            <w:r>
              <w:rPr>
                <w:noProof/>
              </w:rPr>
              <w:t>Publication de la législation au Journal officiel</w:t>
            </w:r>
          </w:p>
        </w:tc>
        <w:tc>
          <w:tcPr>
            <w:tcW w:w="866" w:type="dxa"/>
            <w:shd w:val="clear" w:color="auto" w:fill="C6EFCE"/>
            <w:noWrap/>
          </w:tcPr>
          <w:p w14:paraId="6EA8DFC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5F9CCBF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1D49053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559E3F4" w14:textId="77777777" w:rsidR="00A00259" w:rsidRDefault="00371282">
            <w:pPr>
              <w:pStyle w:val="P68B1DB1-Normal12"/>
              <w:spacing w:after="0" w:line="240" w:lineRule="auto"/>
              <w:rPr>
                <w:rFonts w:eastAsia="Times New Roman"/>
                <w:noProof/>
              </w:rPr>
            </w:pPr>
            <w:r>
              <w:rPr>
                <w:noProof/>
              </w:rPr>
              <w:t>T3</w:t>
            </w:r>
          </w:p>
        </w:tc>
        <w:tc>
          <w:tcPr>
            <w:tcW w:w="850" w:type="dxa"/>
            <w:shd w:val="clear" w:color="auto" w:fill="C6EFCE"/>
            <w:noWrap/>
          </w:tcPr>
          <w:p w14:paraId="348ABA5E" w14:textId="77777777" w:rsidR="00A00259" w:rsidRDefault="00371282">
            <w:pPr>
              <w:pStyle w:val="P68B1DB1-Normal12"/>
              <w:spacing w:after="0" w:line="240" w:lineRule="auto"/>
              <w:rPr>
                <w:rFonts w:eastAsia="Times New Roman"/>
                <w:noProof/>
              </w:rPr>
            </w:pPr>
            <w:r>
              <w:rPr>
                <w:noProof/>
              </w:rPr>
              <w:t>2022</w:t>
            </w:r>
          </w:p>
        </w:tc>
        <w:tc>
          <w:tcPr>
            <w:tcW w:w="3696" w:type="dxa"/>
            <w:shd w:val="clear" w:color="auto" w:fill="C6EFCE"/>
            <w:noWrap/>
          </w:tcPr>
          <w:p w14:paraId="491C80DD" w14:textId="77777777" w:rsidR="00A00259" w:rsidRDefault="00371282">
            <w:pPr>
              <w:pStyle w:val="P68B1DB1-Normal12"/>
              <w:spacing w:after="0" w:line="240" w:lineRule="auto"/>
              <w:rPr>
                <w:rFonts w:eastAsia="Times New Roman"/>
                <w:noProof/>
              </w:rPr>
            </w:pPr>
            <w:r>
              <w:rPr>
                <w:noProof/>
              </w:rPr>
              <w:t>Adoption d'une législation primaire visant à améliorer le cadre réglementaire pour les parcs industriels industriels, notamment en remédiant aux incertitudes juridiques, en résolvant les problèmes de gouvernance et en fournissant des incitations efficaces à la résolution des concentrations industrielles informelles</w:t>
            </w:r>
          </w:p>
        </w:tc>
      </w:tr>
      <w:tr w:rsidR="00A00259" w14:paraId="5773FD83" w14:textId="77777777" w:rsidTr="00096954">
        <w:trPr>
          <w:trHeight w:val="313"/>
          <w:jc w:val="center"/>
        </w:trPr>
        <w:tc>
          <w:tcPr>
            <w:tcW w:w="619" w:type="dxa"/>
            <w:shd w:val="clear" w:color="auto" w:fill="C6EFCE"/>
            <w:noWrap/>
            <w:hideMark/>
          </w:tcPr>
          <w:p w14:paraId="3FD13129" w14:textId="77777777" w:rsidR="00A00259" w:rsidRDefault="00371282">
            <w:pPr>
              <w:pStyle w:val="P68B1DB1-Normal12"/>
              <w:spacing w:after="0" w:line="240" w:lineRule="auto"/>
              <w:rPr>
                <w:rFonts w:eastAsia="Times New Roman"/>
                <w:noProof/>
              </w:rPr>
            </w:pPr>
            <w:r>
              <w:rPr>
                <w:noProof/>
              </w:rPr>
              <w:t>303</w:t>
            </w:r>
          </w:p>
        </w:tc>
        <w:tc>
          <w:tcPr>
            <w:tcW w:w="2084" w:type="dxa"/>
            <w:shd w:val="clear" w:color="auto" w:fill="C6EFCE"/>
            <w:noWrap/>
            <w:hideMark/>
          </w:tcPr>
          <w:p w14:paraId="5757BA80"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- 16593_Modification du cadre juridique visant à attirer les investissements stratégiques</w:t>
            </w:r>
          </w:p>
        </w:tc>
        <w:tc>
          <w:tcPr>
            <w:tcW w:w="1298" w:type="dxa"/>
            <w:shd w:val="clear" w:color="auto" w:fill="C6EFCE"/>
            <w:noWrap/>
            <w:hideMark/>
          </w:tcPr>
          <w:p w14:paraId="5B9A9AB6" w14:textId="77777777" w:rsidR="00A00259" w:rsidRDefault="00371282">
            <w:pPr>
              <w:pStyle w:val="P68B1DB1-Normal12"/>
              <w:spacing w:after="0" w:line="240" w:lineRule="auto"/>
              <w:rPr>
                <w:rFonts w:eastAsia="Times New Roman"/>
                <w:noProof/>
              </w:rPr>
            </w:pPr>
            <w:r>
              <w:rPr>
                <w:noProof/>
              </w:rPr>
              <w:t>Étape</w:t>
            </w:r>
          </w:p>
        </w:tc>
        <w:tc>
          <w:tcPr>
            <w:tcW w:w="1396" w:type="dxa"/>
            <w:shd w:val="clear" w:color="auto" w:fill="C6EFCE"/>
            <w:noWrap/>
            <w:hideMark/>
          </w:tcPr>
          <w:p w14:paraId="552E2CA1" w14:textId="77777777" w:rsidR="00A00259" w:rsidRDefault="00371282">
            <w:pPr>
              <w:pStyle w:val="P68B1DB1-Normal12"/>
              <w:spacing w:after="0" w:line="240" w:lineRule="auto"/>
              <w:rPr>
                <w:rFonts w:eastAsia="Times New Roman"/>
                <w:noProof/>
              </w:rPr>
            </w:pPr>
            <w:r>
              <w:rPr>
                <w:noProof/>
              </w:rPr>
              <w:t>Investissements stratégiques - sélection des projets éligibles</w:t>
            </w:r>
          </w:p>
        </w:tc>
        <w:tc>
          <w:tcPr>
            <w:tcW w:w="1823" w:type="dxa"/>
            <w:shd w:val="clear" w:color="auto" w:fill="C6EFCE"/>
            <w:noWrap/>
            <w:hideMark/>
          </w:tcPr>
          <w:p w14:paraId="677307A2" w14:textId="34AF253D" w:rsidR="00A00259" w:rsidRDefault="00371282">
            <w:pPr>
              <w:pStyle w:val="P68B1DB1-Normal12"/>
              <w:spacing w:after="0" w:line="240" w:lineRule="auto"/>
              <w:rPr>
                <w:rFonts w:eastAsia="Times New Roman"/>
                <w:noProof/>
              </w:rPr>
            </w:pPr>
            <w:r>
              <w:rPr>
                <w:noProof/>
              </w:rPr>
              <w:t xml:space="preserve">Sélection des «investissements emblématiques de grande importance» éligibles à un financement </w:t>
            </w:r>
          </w:p>
        </w:tc>
        <w:tc>
          <w:tcPr>
            <w:tcW w:w="866" w:type="dxa"/>
            <w:shd w:val="clear" w:color="auto" w:fill="C6EFCE"/>
            <w:noWrap/>
            <w:hideMark/>
          </w:tcPr>
          <w:p w14:paraId="42F8C850" w14:textId="77777777" w:rsidR="00A00259" w:rsidRDefault="00371282">
            <w:pPr>
              <w:pStyle w:val="P68B1DB1-Normal12"/>
              <w:spacing w:after="0" w:line="240" w:lineRule="auto"/>
              <w:rPr>
                <w:rFonts w:eastAsia="Times New Roman"/>
                <w:noProof/>
              </w:rPr>
            </w:pPr>
            <w:r>
              <w:rPr>
                <w:noProof/>
              </w:rPr>
              <w:t xml:space="preserve"> </w:t>
            </w:r>
          </w:p>
        </w:tc>
        <w:tc>
          <w:tcPr>
            <w:tcW w:w="1027" w:type="dxa"/>
            <w:shd w:val="clear" w:color="auto" w:fill="C6EFCE"/>
            <w:noWrap/>
            <w:hideMark/>
          </w:tcPr>
          <w:p w14:paraId="5D298592" w14:textId="77777777" w:rsidR="00A00259" w:rsidRDefault="00371282">
            <w:pPr>
              <w:pStyle w:val="P68B1DB1-Normal12"/>
              <w:spacing w:after="0" w:line="240" w:lineRule="auto"/>
              <w:rPr>
                <w:rFonts w:eastAsia="Times New Roman"/>
                <w:noProof/>
              </w:rPr>
            </w:pPr>
            <w:r>
              <w:rPr>
                <w:noProof/>
              </w:rPr>
              <w:t xml:space="preserve"> </w:t>
            </w:r>
          </w:p>
        </w:tc>
        <w:tc>
          <w:tcPr>
            <w:tcW w:w="851" w:type="dxa"/>
            <w:shd w:val="clear" w:color="auto" w:fill="C6EFCE"/>
            <w:noWrap/>
            <w:hideMark/>
          </w:tcPr>
          <w:p w14:paraId="1CF60A15" w14:textId="77777777" w:rsidR="00A00259" w:rsidRDefault="00371282">
            <w:pPr>
              <w:pStyle w:val="P68B1DB1-Normal12"/>
              <w:spacing w:after="0" w:line="240" w:lineRule="auto"/>
              <w:rPr>
                <w:rFonts w:eastAsia="Times New Roman"/>
                <w:noProof/>
              </w:rPr>
            </w:pPr>
            <w:r>
              <w:rPr>
                <w:noProof/>
              </w:rPr>
              <w:t xml:space="preserve"> </w:t>
            </w:r>
          </w:p>
        </w:tc>
        <w:tc>
          <w:tcPr>
            <w:tcW w:w="992" w:type="dxa"/>
            <w:shd w:val="clear" w:color="auto" w:fill="C6EFCE"/>
            <w:noWrap/>
            <w:hideMark/>
          </w:tcPr>
          <w:p w14:paraId="25ED8B84" w14:textId="77777777" w:rsidR="00A00259" w:rsidRDefault="00371282">
            <w:pPr>
              <w:pStyle w:val="P68B1DB1-Normal12"/>
              <w:spacing w:after="0" w:line="240" w:lineRule="auto"/>
              <w:rPr>
                <w:rFonts w:eastAsia="Times New Roman"/>
                <w:noProof/>
              </w:rPr>
            </w:pPr>
            <w:r>
              <w:rPr>
                <w:noProof/>
              </w:rPr>
              <w:t>T4</w:t>
            </w:r>
          </w:p>
        </w:tc>
        <w:tc>
          <w:tcPr>
            <w:tcW w:w="850" w:type="dxa"/>
            <w:shd w:val="clear" w:color="auto" w:fill="C6EFCE"/>
            <w:noWrap/>
            <w:hideMark/>
          </w:tcPr>
          <w:p w14:paraId="250E1029" w14:textId="77777777" w:rsidR="00A00259" w:rsidRDefault="00371282">
            <w:pPr>
              <w:pStyle w:val="P68B1DB1-Normal12"/>
              <w:spacing w:after="0" w:line="240" w:lineRule="auto"/>
              <w:rPr>
                <w:rFonts w:eastAsia="Times New Roman"/>
                <w:noProof/>
              </w:rPr>
            </w:pPr>
            <w:r>
              <w:rPr>
                <w:noProof/>
              </w:rPr>
              <w:t>2023</w:t>
            </w:r>
          </w:p>
        </w:tc>
        <w:tc>
          <w:tcPr>
            <w:tcW w:w="3696" w:type="dxa"/>
            <w:shd w:val="clear" w:color="auto" w:fill="C6EFCE"/>
            <w:noWrap/>
            <w:hideMark/>
          </w:tcPr>
          <w:p w14:paraId="278EBA21" w14:textId="77777777" w:rsidR="00A00259" w:rsidRDefault="00371282">
            <w:pPr>
              <w:pStyle w:val="P68B1DB1-Normal12"/>
              <w:spacing w:after="0" w:line="240" w:lineRule="auto"/>
              <w:rPr>
                <w:rFonts w:eastAsia="Times New Roman"/>
                <w:noProof/>
              </w:rPr>
            </w:pPr>
            <w:r>
              <w:rPr>
                <w:noProof/>
              </w:rPr>
              <w:t xml:space="preserve">Sélection des «investissements emblématiques de grande importance» par la décision d’approbation du comité interministériel pour les investissements stratégiques (attestée par la publication de la décision). En ce qui concerne les investissements énergétiques, les investissements admissibles comprennent des investissements dans a) des infrastructures répondant à des critères énergétiques spécifiques pour la construction de nouveaux bâtiments, b) des projets de production d’électricité hybride à partir de sources d’énergie renouvelables dans des îles non connectées, c) des investissements pour la production d’hydrogène vert, d) des systèmes de stockage d’électricité produits à partir de sources d’énergie renouvelables, ou e) des installations de parcs éoliens en mer et de parcs photovoltaïques en mer conformément aux orientations techniques «Ne pas causer de préjudice important» (2021/C58/01) grâce à l’utilisation d’une liste d’exclusion et à l’exigence de conformité avec la législation environnementale pertinente de l’UE et nationale. </w:t>
            </w:r>
          </w:p>
          <w:p w14:paraId="29875789" w14:textId="77777777" w:rsidR="00A00259" w:rsidRDefault="00A00259">
            <w:pPr>
              <w:spacing w:after="0" w:line="240" w:lineRule="auto"/>
              <w:rPr>
                <w:rFonts w:ascii="Times New Roman" w:eastAsia="Times New Roman" w:hAnsi="Times New Roman" w:cs="Times New Roman"/>
                <w:noProof/>
                <w:color w:val="006100"/>
                <w:sz w:val="18"/>
                <w:szCs w:val="18"/>
              </w:rPr>
            </w:pPr>
          </w:p>
          <w:p w14:paraId="4835EA8D" w14:textId="77777777" w:rsidR="00A00259" w:rsidRDefault="00371282">
            <w:pPr>
              <w:pStyle w:val="P68B1DB1-Normal12"/>
              <w:spacing w:after="0" w:line="240" w:lineRule="auto"/>
              <w:rPr>
                <w:rFonts w:eastAsia="Times New Roman"/>
                <w:noProof/>
              </w:rPr>
            </w:pPr>
            <w:r>
              <w:rPr>
                <w:noProof/>
              </w:rPr>
              <w:t>La construction de nouveaux bâtiments doit être conforme à une demande d’énergie primaire (DEP) inférieure d’au moins 20 % à l’exigence relative aux bâtiments à consommation d’énergie quasi nulle (bâtiment à consommation d’énergie quasi nulle, directives nationales).</w:t>
            </w:r>
          </w:p>
        </w:tc>
      </w:tr>
      <w:tr w:rsidR="00A00259" w14:paraId="05831A8B" w14:textId="77777777" w:rsidTr="00096954">
        <w:trPr>
          <w:trHeight w:val="313"/>
          <w:jc w:val="center"/>
        </w:trPr>
        <w:tc>
          <w:tcPr>
            <w:tcW w:w="619" w:type="dxa"/>
            <w:shd w:val="clear" w:color="auto" w:fill="C6EFCE"/>
            <w:noWrap/>
            <w:hideMark/>
          </w:tcPr>
          <w:p w14:paraId="17D15FB6" w14:textId="77777777" w:rsidR="00A00259" w:rsidRDefault="00371282">
            <w:pPr>
              <w:pStyle w:val="P68B1DB1-Normal12"/>
              <w:spacing w:after="0" w:line="240" w:lineRule="auto"/>
              <w:rPr>
                <w:rFonts w:eastAsia="Times New Roman"/>
                <w:noProof/>
              </w:rPr>
            </w:pPr>
            <w:r>
              <w:rPr>
                <w:noProof/>
              </w:rPr>
              <w:t>304</w:t>
            </w:r>
          </w:p>
        </w:tc>
        <w:tc>
          <w:tcPr>
            <w:tcW w:w="2084" w:type="dxa"/>
            <w:shd w:val="clear" w:color="auto" w:fill="C6EFCE"/>
            <w:noWrap/>
            <w:hideMark/>
          </w:tcPr>
          <w:p w14:paraId="565189C7"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- 16634_Nouveaux parcs industriels</w:t>
            </w:r>
          </w:p>
        </w:tc>
        <w:tc>
          <w:tcPr>
            <w:tcW w:w="1298" w:type="dxa"/>
            <w:shd w:val="clear" w:color="auto" w:fill="C6EFCE"/>
            <w:noWrap/>
            <w:hideMark/>
          </w:tcPr>
          <w:p w14:paraId="111F8E22" w14:textId="77777777" w:rsidR="00A00259" w:rsidRDefault="00371282">
            <w:pPr>
              <w:pStyle w:val="P68B1DB1-Normal12"/>
              <w:spacing w:after="0" w:line="240" w:lineRule="auto"/>
              <w:rPr>
                <w:rFonts w:eastAsia="Times New Roman"/>
                <w:noProof/>
              </w:rPr>
            </w:pPr>
            <w:r>
              <w:rPr>
                <w:noProof/>
              </w:rPr>
              <w:t>Étape</w:t>
            </w:r>
          </w:p>
        </w:tc>
        <w:tc>
          <w:tcPr>
            <w:tcW w:w="1396" w:type="dxa"/>
            <w:shd w:val="clear" w:color="auto" w:fill="C6EFCE"/>
            <w:noWrap/>
            <w:hideMark/>
          </w:tcPr>
          <w:p w14:paraId="029C64FA" w14:textId="77777777" w:rsidR="00A00259" w:rsidRDefault="00371282">
            <w:pPr>
              <w:pStyle w:val="P68B1DB1-Normal12"/>
              <w:spacing w:after="0" w:line="240" w:lineRule="auto"/>
              <w:rPr>
                <w:rFonts w:eastAsia="Times New Roman"/>
                <w:noProof/>
              </w:rPr>
            </w:pPr>
            <w:r>
              <w:rPr>
                <w:noProof/>
              </w:rPr>
              <w:t>Parcs industriels – réforme législative (législation secondaire)</w:t>
            </w:r>
          </w:p>
        </w:tc>
        <w:tc>
          <w:tcPr>
            <w:tcW w:w="1823" w:type="dxa"/>
            <w:shd w:val="clear" w:color="auto" w:fill="C6EFCE"/>
            <w:noWrap/>
            <w:hideMark/>
          </w:tcPr>
          <w:p w14:paraId="44DA8E41" w14:textId="77777777" w:rsidR="00A00259" w:rsidRDefault="00371282">
            <w:pPr>
              <w:pStyle w:val="P68B1DB1-Normal12"/>
              <w:spacing w:after="0" w:line="240" w:lineRule="auto"/>
              <w:rPr>
                <w:rFonts w:eastAsia="Times New Roman"/>
                <w:noProof/>
              </w:rPr>
            </w:pPr>
            <w:r>
              <w:rPr>
                <w:noProof/>
              </w:rPr>
              <w:t xml:space="preserve">Entrée en vigueur de toute la législation requise </w:t>
            </w:r>
          </w:p>
        </w:tc>
        <w:tc>
          <w:tcPr>
            <w:tcW w:w="866" w:type="dxa"/>
            <w:shd w:val="clear" w:color="auto" w:fill="C6EFCE"/>
            <w:noWrap/>
            <w:hideMark/>
          </w:tcPr>
          <w:p w14:paraId="0F903FBE" w14:textId="77777777" w:rsidR="00A00259" w:rsidRDefault="00371282">
            <w:pPr>
              <w:pStyle w:val="P68B1DB1-Normal12"/>
              <w:spacing w:after="0" w:line="240" w:lineRule="auto"/>
              <w:rPr>
                <w:rFonts w:eastAsia="Times New Roman"/>
                <w:noProof/>
              </w:rPr>
            </w:pPr>
            <w:r>
              <w:rPr>
                <w:noProof/>
              </w:rPr>
              <w:t xml:space="preserve"> </w:t>
            </w:r>
          </w:p>
        </w:tc>
        <w:tc>
          <w:tcPr>
            <w:tcW w:w="1027" w:type="dxa"/>
            <w:shd w:val="clear" w:color="auto" w:fill="C6EFCE"/>
            <w:noWrap/>
            <w:hideMark/>
          </w:tcPr>
          <w:p w14:paraId="2BEA0443" w14:textId="77777777" w:rsidR="00A00259" w:rsidRDefault="00371282">
            <w:pPr>
              <w:pStyle w:val="P68B1DB1-Normal12"/>
              <w:spacing w:after="0" w:line="240" w:lineRule="auto"/>
              <w:rPr>
                <w:rFonts w:eastAsia="Times New Roman"/>
                <w:noProof/>
              </w:rPr>
            </w:pPr>
            <w:r>
              <w:rPr>
                <w:noProof/>
              </w:rPr>
              <w:t xml:space="preserve"> </w:t>
            </w:r>
          </w:p>
        </w:tc>
        <w:tc>
          <w:tcPr>
            <w:tcW w:w="851" w:type="dxa"/>
            <w:shd w:val="clear" w:color="auto" w:fill="C6EFCE"/>
            <w:noWrap/>
            <w:hideMark/>
          </w:tcPr>
          <w:p w14:paraId="4BB24692" w14:textId="77777777" w:rsidR="00A00259" w:rsidRDefault="00371282">
            <w:pPr>
              <w:pStyle w:val="P68B1DB1-Normal12"/>
              <w:spacing w:after="0" w:line="240" w:lineRule="auto"/>
              <w:rPr>
                <w:rFonts w:eastAsia="Times New Roman"/>
                <w:noProof/>
              </w:rPr>
            </w:pPr>
            <w:r>
              <w:rPr>
                <w:noProof/>
              </w:rPr>
              <w:t xml:space="preserve"> </w:t>
            </w:r>
          </w:p>
        </w:tc>
        <w:tc>
          <w:tcPr>
            <w:tcW w:w="992" w:type="dxa"/>
            <w:shd w:val="clear" w:color="auto" w:fill="C6EFCE"/>
            <w:noWrap/>
            <w:hideMark/>
          </w:tcPr>
          <w:p w14:paraId="114A2CC7" w14:textId="77777777" w:rsidR="00A00259" w:rsidRDefault="00371282">
            <w:pPr>
              <w:pStyle w:val="P68B1DB1-Normal12"/>
              <w:spacing w:after="0" w:line="240" w:lineRule="auto"/>
              <w:rPr>
                <w:rFonts w:eastAsia="Times New Roman"/>
                <w:noProof/>
              </w:rPr>
            </w:pPr>
            <w:r>
              <w:rPr>
                <w:noProof/>
              </w:rPr>
              <w:t>T2</w:t>
            </w:r>
          </w:p>
        </w:tc>
        <w:tc>
          <w:tcPr>
            <w:tcW w:w="850" w:type="dxa"/>
            <w:shd w:val="clear" w:color="auto" w:fill="C6EFCE"/>
            <w:noWrap/>
            <w:hideMark/>
          </w:tcPr>
          <w:p w14:paraId="65A48AAF" w14:textId="77777777" w:rsidR="00A00259" w:rsidRDefault="00371282">
            <w:pPr>
              <w:pStyle w:val="P68B1DB1-Normal12"/>
              <w:spacing w:after="0" w:line="240" w:lineRule="auto"/>
              <w:rPr>
                <w:rFonts w:eastAsia="Times New Roman"/>
                <w:noProof/>
              </w:rPr>
            </w:pPr>
            <w:r>
              <w:rPr>
                <w:noProof/>
              </w:rPr>
              <w:t>2024</w:t>
            </w:r>
          </w:p>
        </w:tc>
        <w:tc>
          <w:tcPr>
            <w:tcW w:w="3696" w:type="dxa"/>
            <w:shd w:val="clear" w:color="auto" w:fill="C6EFCE"/>
            <w:noWrap/>
            <w:hideMark/>
          </w:tcPr>
          <w:p w14:paraId="746944D8" w14:textId="77777777" w:rsidR="00A00259" w:rsidRDefault="00371282">
            <w:pPr>
              <w:pStyle w:val="P68B1DB1-Normal12"/>
              <w:spacing w:after="0" w:line="240" w:lineRule="auto"/>
              <w:rPr>
                <w:rFonts w:eastAsia="Times New Roman"/>
                <w:noProof/>
              </w:rPr>
            </w:pPr>
            <w:r>
              <w:rPr>
                <w:noProof/>
              </w:rPr>
              <w:t>Entrée en vigueur de l’ensemble du droit dérivé nécessaire pour rendre opérationnel le nouveau cadre visant à améliorer le cadre réglementaire pour les parcs industriels, notamment en remédiant aux incertitudes juridiques, en résolvant les problèmes de gouvernance et en fournissant des incitations efficaces à la résolution des concentrations industrielles informelles.</w:t>
            </w:r>
          </w:p>
        </w:tc>
      </w:tr>
      <w:tr w:rsidR="00A00259" w14:paraId="210F8154" w14:textId="77777777" w:rsidTr="00096954">
        <w:trPr>
          <w:trHeight w:val="313"/>
          <w:jc w:val="center"/>
        </w:trPr>
        <w:tc>
          <w:tcPr>
            <w:tcW w:w="619" w:type="dxa"/>
            <w:shd w:val="clear" w:color="auto" w:fill="C6EFCE"/>
            <w:noWrap/>
          </w:tcPr>
          <w:p w14:paraId="119DF495" w14:textId="77777777" w:rsidR="00A00259" w:rsidRDefault="00371282">
            <w:pPr>
              <w:pStyle w:val="P68B1DB1-Normal12"/>
              <w:spacing w:after="0" w:line="240" w:lineRule="auto"/>
              <w:rPr>
                <w:rFonts w:eastAsia="Times New Roman"/>
                <w:noProof/>
              </w:rPr>
            </w:pPr>
            <w:r>
              <w:rPr>
                <w:noProof/>
              </w:rPr>
              <w:t>307</w:t>
            </w:r>
          </w:p>
        </w:tc>
        <w:tc>
          <w:tcPr>
            <w:tcW w:w="2084" w:type="dxa"/>
            <w:shd w:val="clear" w:color="auto" w:fill="C6EFCE"/>
            <w:noWrap/>
          </w:tcPr>
          <w:p w14:paraId="73BCA070"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- 16634_ Parcs industriels</w:t>
            </w:r>
          </w:p>
        </w:tc>
        <w:tc>
          <w:tcPr>
            <w:tcW w:w="1298" w:type="dxa"/>
            <w:shd w:val="clear" w:color="auto" w:fill="C6EFCE"/>
            <w:noWrap/>
          </w:tcPr>
          <w:p w14:paraId="2663DE40" w14:textId="77777777" w:rsidR="00A00259" w:rsidRDefault="00371282">
            <w:pPr>
              <w:pStyle w:val="P68B1DB1-Normal12"/>
              <w:spacing w:after="0" w:line="240" w:lineRule="auto"/>
              <w:rPr>
                <w:rFonts w:eastAsia="Times New Roman"/>
                <w:noProof/>
              </w:rPr>
            </w:pPr>
            <w:r>
              <w:rPr>
                <w:noProof/>
              </w:rPr>
              <w:t>Étape</w:t>
            </w:r>
          </w:p>
        </w:tc>
        <w:tc>
          <w:tcPr>
            <w:tcW w:w="1396" w:type="dxa"/>
            <w:shd w:val="clear" w:color="auto" w:fill="C6EFCE"/>
            <w:noWrap/>
          </w:tcPr>
          <w:p w14:paraId="605216F0" w14:textId="77777777" w:rsidR="00A00259" w:rsidRDefault="00371282">
            <w:pPr>
              <w:pStyle w:val="P68B1DB1-Normal12"/>
              <w:spacing w:after="0" w:line="240" w:lineRule="auto"/>
              <w:rPr>
                <w:rFonts w:eastAsia="Times New Roman"/>
                <w:noProof/>
              </w:rPr>
            </w:pPr>
            <w:r>
              <w:rPr>
                <w:noProof/>
              </w:rPr>
              <w:t>Parcs industriels — exécution de plans d’investissement</w:t>
            </w:r>
          </w:p>
        </w:tc>
        <w:tc>
          <w:tcPr>
            <w:tcW w:w="1823" w:type="dxa"/>
            <w:shd w:val="clear" w:color="auto" w:fill="C6EFCE"/>
            <w:noWrap/>
          </w:tcPr>
          <w:p w14:paraId="4846DF49" w14:textId="64530968" w:rsidR="00A00259" w:rsidRDefault="00371282">
            <w:pPr>
              <w:pStyle w:val="P68B1DB1-Normal12"/>
              <w:spacing w:after="0" w:line="240" w:lineRule="auto"/>
              <w:rPr>
                <w:rFonts w:eastAsia="Times New Roman"/>
                <w:noProof/>
              </w:rPr>
            </w:pPr>
            <w:r>
              <w:rPr>
                <w:noProof/>
              </w:rPr>
              <w:t xml:space="preserve">Rapport de certification vérifiant l'exécution des plans d'investissement </w:t>
            </w:r>
          </w:p>
          <w:p w14:paraId="61F0D526" w14:textId="77777777" w:rsidR="00A00259" w:rsidRDefault="00A00259">
            <w:pPr>
              <w:spacing w:after="0" w:line="240" w:lineRule="auto"/>
              <w:ind w:left="198" w:hanging="198"/>
              <w:rPr>
                <w:rFonts w:ascii="Times New Roman" w:eastAsia="Times New Roman" w:hAnsi="Times New Roman" w:cs="Times New Roman"/>
                <w:noProof/>
                <w:color w:val="006100"/>
                <w:sz w:val="18"/>
                <w:szCs w:val="18"/>
              </w:rPr>
            </w:pPr>
          </w:p>
        </w:tc>
        <w:tc>
          <w:tcPr>
            <w:tcW w:w="866" w:type="dxa"/>
            <w:shd w:val="clear" w:color="auto" w:fill="C6EFCE"/>
            <w:noWrap/>
          </w:tcPr>
          <w:p w14:paraId="6F2E06A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53C1BAB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4A25B38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2366590E" w14:textId="77777777" w:rsidR="00A00259" w:rsidRDefault="00371282">
            <w:pPr>
              <w:pStyle w:val="P68B1DB1-Normal12"/>
              <w:spacing w:after="0" w:line="240" w:lineRule="auto"/>
              <w:rPr>
                <w:rFonts w:eastAsia="Times New Roman"/>
                <w:noProof/>
              </w:rPr>
            </w:pPr>
            <w:r>
              <w:rPr>
                <w:noProof/>
              </w:rPr>
              <w:t>T4</w:t>
            </w:r>
          </w:p>
        </w:tc>
        <w:tc>
          <w:tcPr>
            <w:tcW w:w="850" w:type="dxa"/>
            <w:shd w:val="clear" w:color="auto" w:fill="C6EFCE"/>
            <w:noWrap/>
          </w:tcPr>
          <w:p w14:paraId="28733B57" w14:textId="77777777" w:rsidR="00A00259" w:rsidRDefault="00371282">
            <w:pPr>
              <w:pStyle w:val="P68B1DB1-Normal12"/>
              <w:spacing w:after="0" w:line="240" w:lineRule="auto"/>
              <w:rPr>
                <w:rFonts w:eastAsia="Times New Roman"/>
                <w:noProof/>
              </w:rPr>
            </w:pPr>
            <w:r>
              <w:rPr>
                <w:noProof/>
              </w:rPr>
              <w:t>2025</w:t>
            </w:r>
          </w:p>
        </w:tc>
        <w:tc>
          <w:tcPr>
            <w:tcW w:w="3696" w:type="dxa"/>
            <w:shd w:val="clear" w:color="auto" w:fill="C6EFCE"/>
            <w:noWrap/>
          </w:tcPr>
          <w:p w14:paraId="67B8367F" w14:textId="77AFFF16" w:rsidR="00A00259" w:rsidRDefault="00371282">
            <w:pPr>
              <w:pStyle w:val="P68B1DB1-Normal12"/>
              <w:spacing w:after="0" w:line="240" w:lineRule="auto"/>
              <w:rPr>
                <w:rFonts w:eastAsia="Times New Roman"/>
                <w:noProof/>
              </w:rPr>
            </w:pPr>
            <w:r>
              <w:rPr>
                <w:noProof/>
              </w:rPr>
              <w:t xml:space="preserve">Exécution des plans d'investissement pour un total combiné de 22 parcs industriels et sous-stations de transport d'électricité. </w:t>
            </w:r>
          </w:p>
        </w:tc>
      </w:tr>
      <w:tr w:rsidR="00A00259" w14:paraId="0F0BB2BE" w14:textId="77777777" w:rsidTr="00096954">
        <w:trPr>
          <w:trHeight w:val="313"/>
          <w:jc w:val="center"/>
        </w:trPr>
        <w:tc>
          <w:tcPr>
            <w:tcW w:w="619" w:type="dxa"/>
            <w:shd w:val="clear" w:color="auto" w:fill="C6EFCE"/>
            <w:noWrap/>
          </w:tcPr>
          <w:p w14:paraId="6AE12929" w14:textId="77777777" w:rsidR="00A00259" w:rsidRDefault="00371282">
            <w:pPr>
              <w:pStyle w:val="P68B1DB1-Normal12"/>
              <w:spacing w:after="0" w:line="240" w:lineRule="auto"/>
              <w:rPr>
                <w:rFonts w:eastAsia="Times New Roman"/>
                <w:noProof/>
              </w:rPr>
            </w:pPr>
            <w:r>
              <w:rPr>
                <w:noProof/>
              </w:rPr>
              <w:t>308</w:t>
            </w:r>
          </w:p>
        </w:tc>
        <w:tc>
          <w:tcPr>
            <w:tcW w:w="2084" w:type="dxa"/>
            <w:shd w:val="clear" w:color="auto" w:fill="C6EFCE"/>
            <w:noWrap/>
          </w:tcPr>
          <w:p w14:paraId="5AF50C32"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- 16593_Modification du cadre juridique visant à attirer les investissements stratégiques</w:t>
            </w:r>
          </w:p>
        </w:tc>
        <w:tc>
          <w:tcPr>
            <w:tcW w:w="1298" w:type="dxa"/>
            <w:shd w:val="clear" w:color="auto" w:fill="C6EFCE"/>
            <w:noWrap/>
          </w:tcPr>
          <w:p w14:paraId="05E1AF36" w14:textId="77777777" w:rsidR="00A00259" w:rsidRDefault="00371282">
            <w:pPr>
              <w:pStyle w:val="P68B1DB1-Normal12"/>
              <w:spacing w:after="0" w:line="240" w:lineRule="auto"/>
              <w:rPr>
                <w:rFonts w:eastAsia="Times New Roman"/>
                <w:noProof/>
              </w:rPr>
            </w:pPr>
            <w:r>
              <w:rPr>
                <w:noProof/>
              </w:rPr>
              <w:t>Étape</w:t>
            </w:r>
          </w:p>
        </w:tc>
        <w:tc>
          <w:tcPr>
            <w:tcW w:w="1396" w:type="dxa"/>
            <w:shd w:val="clear" w:color="auto" w:fill="C6EFCE"/>
            <w:noWrap/>
          </w:tcPr>
          <w:p w14:paraId="3E0B6450" w14:textId="77777777" w:rsidR="00A00259" w:rsidRDefault="00371282">
            <w:pPr>
              <w:pStyle w:val="P68B1DB1-Normal12"/>
              <w:spacing w:after="0" w:line="240" w:lineRule="auto"/>
              <w:rPr>
                <w:rFonts w:eastAsia="Times New Roman"/>
                <w:noProof/>
              </w:rPr>
            </w:pPr>
            <w:r>
              <w:rPr>
                <w:noProof/>
              </w:rPr>
              <w:t>Investissements stratégiques – Exécution des plans d’investissement</w:t>
            </w:r>
          </w:p>
        </w:tc>
        <w:tc>
          <w:tcPr>
            <w:tcW w:w="1823" w:type="dxa"/>
            <w:shd w:val="clear" w:color="auto" w:fill="C6EFCE"/>
            <w:noWrap/>
          </w:tcPr>
          <w:p w14:paraId="561425A8" w14:textId="35D9D7F8" w:rsidR="00A00259" w:rsidRDefault="00371282">
            <w:pPr>
              <w:pStyle w:val="P68B1DB1-Normal12"/>
              <w:spacing w:after="0" w:line="240" w:lineRule="auto"/>
              <w:rPr>
                <w:rFonts w:eastAsia="Times New Roman"/>
                <w:noProof/>
              </w:rPr>
            </w:pPr>
            <w:r>
              <w:rPr>
                <w:noProof/>
              </w:rPr>
              <w:t>Certifications techniques et rapports de vérification de l’exécution de la partie FRR de 5 plans d’investissement.</w:t>
            </w:r>
          </w:p>
        </w:tc>
        <w:tc>
          <w:tcPr>
            <w:tcW w:w="866" w:type="dxa"/>
            <w:shd w:val="clear" w:color="auto" w:fill="C6EFCE"/>
            <w:noWrap/>
          </w:tcPr>
          <w:p w14:paraId="5DF57AA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2D6ED2E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0F9D9BE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2C736276" w14:textId="77777777" w:rsidR="00A00259" w:rsidRDefault="00371282">
            <w:pPr>
              <w:pStyle w:val="P68B1DB1-Normal12"/>
              <w:spacing w:after="0" w:line="240" w:lineRule="auto"/>
              <w:rPr>
                <w:rFonts w:eastAsia="Times New Roman"/>
                <w:noProof/>
              </w:rPr>
            </w:pPr>
            <w:r>
              <w:rPr>
                <w:noProof/>
              </w:rPr>
              <w:t>T4</w:t>
            </w:r>
          </w:p>
        </w:tc>
        <w:tc>
          <w:tcPr>
            <w:tcW w:w="850" w:type="dxa"/>
            <w:shd w:val="clear" w:color="auto" w:fill="C6EFCE"/>
            <w:noWrap/>
          </w:tcPr>
          <w:p w14:paraId="61950568" w14:textId="77777777" w:rsidR="00A00259" w:rsidRDefault="00371282">
            <w:pPr>
              <w:pStyle w:val="P68B1DB1-Normal12"/>
              <w:spacing w:after="0" w:line="240" w:lineRule="auto"/>
              <w:rPr>
                <w:rFonts w:eastAsia="Times New Roman"/>
                <w:noProof/>
              </w:rPr>
            </w:pPr>
            <w:r>
              <w:rPr>
                <w:noProof/>
              </w:rPr>
              <w:t>2025</w:t>
            </w:r>
          </w:p>
        </w:tc>
        <w:tc>
          <w:tcPr>
            <w:tcW w:w="3696" w:type="dxa"/>
            <w:shd w:val="clear" w:color="auto" w:fill="C6EFCE"/>
            <w:noWrap/>
          </w:tcPr>
          <w:p w14:paraId="438501F1" w14:textId="013F0B02" w:rsidR="00A00259" w:rsidRDefault="00371282">
            <w:pPr>
              <w:pStyle w:val="P68B1DB1-Normal12"/>
              <w:spacing w:after="0" w:line="240" w:lineRule="auto"/>
              <w:rPr>
                <w:noProof/>
              </w:rPr>
            </w:pPr>
            <w:r>
              <w:rPr>
                <w:noProof/>
              </w:rPr>
              <w:t xml:space="preserve">Exécution des plans d'investissement pour 4 Investissements Emblématiques de Grande Importance sélectionnés conformément aux décisions d'approbation du Comité Interministériel des Investissements Stratégiques. </w:t>
            </w:r>
          </w:p>
          <w:p w14:paraId="71203643" w14:textId="77777777" w:rsidR="00A00259" w:rsidRDefault="00A00259">
            <w:pPr>
              <w:spacing w:after="0" w:line="240" w:lineRule="auto"/>
              <w:rPr>
                <w:rFonts w:ascii="Times New Roman" w:hAnsi="Times New Roman" w:cs="Times New Roman"/>
                <w:noProof/>
                <w:color w:val="006100"/>
                <w:sz w:val="18"/>
                <w:szCs w:val="18"/>
              </w:rPr>
            </w:pPr>
          </w:p>
          <w:p w14:paraId="2CFD5DFE" w14:textId="1F0E711C" w:rsidR="00A00259" w:rsidRDefault="00371282">
            <w:pPr>
              <w:pStyle w:val="P68B1DB1-Normal23"/>
              <w:spacing w:after="0" w:line="240" w:lineRule="auto"/>
              <w:rPr>
                <w:noProof/>
              </w:rPr>
            </w:pPr>
            <w:r>
              <w:rPr>
                <w:noProof/>
              </w:rPr>
              <w:t>L’exécution de la FRR a soutenu une partie d’un 5e investissement emblématique de grande importance sélectionné conformément à la décision d’approbation du comité interministériel pour les investissements stratégiques et tel que décrit dans la décision ministérielle pertinente pour l’octroi d’incitations.</w:t>
            </w:r>
          </w:p>
        </w:tc>
      </w:tr>
      <w:tr w:rsidR="00A00259" w14:paraId="10B0C2AA" w14:textId="77777777" w:rsidTr="00096954">
        <w:trPr>
          <w:trHeight w:val="313"/>
          <w:jc w:val="center"/>
        </w:trPr>
        <w:tc>
          <w:tcPr>
            <w:tcW w:w="619" w:type="dxa"/>
            <w:shd w:val="clear" w:color="auto" w:fill="C6EFCE"/>
            <w:noWrap/>
          </w:tcPr>
          <w:p w14:paraId="4ED4D1DA" w14:textId="77777777" w:rsidR="00A00259" w:rsidRDefault="00371282">
            <w:pPr>
              <w:pStyle w:val="P68B1DB1-Normal12"/>
              <w:spacing w:after="0" w:line="240" w:lineRule="auto"/>
              <w:rPr>
                <w:rFonts w:eastAsia="Times New Roman"/>
                <w:noProof/>
              </w:rPr>
            </w:pPr>
            <w:r>
              <w:rPr>
                <w:noProof/>
              </w:rPr>
              <w:t>309</w:t>
            </w:r>
          </w:p>
        </w:tc>
        <w:tc>
          <w:tcPr>
            <w:tcW w:w="2084" w:type="dxa"/>
            <w:shd w:val="clear" w:color="auto" w:fill="C6EFCE"/>
            <w:noWrap/>
          </w:tcPr>
          <w:p w14:paraId="55838630"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- 16721_Accélération de la fabrication intelligente</w:t>
            </w:r>
          </w:p>
        </w:tc>
        <w:tc>
          <w:tcPr>
            <w:tcW w:w="1298" w:type="dxa"/>
            <w:shd w:val="clear" w:color="auto" w:fill="C6EFCE"/>
            <w:noWrap/>
          </w:tcPr>
          <w:p w14:paraId="31BFD227" w14:textId="77777777" w:rsidR="00A00259" w:rsidRDefault="00371282">
            <w:pPr>
              <w:pStyle w:val="P68B1DB1-Normal12"/>
              <w:spacing w:after="0" w:line="240" w:lineRule="auto"/>
              <w:rPr>
                <w:rFonts w:eastAsia="Times New Roman"/>
                <w:noProof/>
              </w:rPr>
            </w:pPr>
            <w:r>
              <w:rPr>
                <w:noProof/>
              </w:rPr>
              <w:t>Étape</w:t>
            </w:r>
          </w:p>
        </w:tc>
        <w:tc>
          <w:tcPr>
            <w:tcW w:w="1396" w:type="dxa"/>
            <w:shd w:val="clear" w:color="auto" w:fill="C6EFCE"/>
            <w:noWrap/>
          </w:tcPr>
          <w:p w14:paraId="26EDFF88" w14:textId="77777777" w:rsidR="00A00259" w:rsidRDefault="00371282">
            <w:pPr>
              <w:pStyle w:val="P68B1DB1-Normal12"/>
              <w:spacing w:after="0" w:line="240" w:lineRule="auto"/>
              <w:rPr>
                <w:rFonts w:eastAsia="Times New Roman"/>
                <w:noProof/>
              </w:rPr>
            </w:pPr>
            <w:r>
              <w:rPr>
                <w:noProof/>
              </w:rPr>
              <w:t>Secteur manufacturier – Exécution des plans d’investissement</w:t>
            </w:r>
          </w:p>
        </w:tc>
        <w:tc>
          <w:tcPr>
            <w:tcW w:w="1823" w:type="dxa"/>
            <w:shd w:val="clear" w:color="auto" w:fill="C6EFCE"/>
            <w:noWrap/>
          </w:tcPr>
          <w:p w14:paraId="1370C453" w14:textId="6A95EAE5" w:rsidR="00A00259" w:rsidRDefault="00371282">
            <w:pPr>
              <w:pStyle w:val="P68B1DB1-Normal12"/>
              <w:spacing w:after="0" w:line="240" w:lineRule="auto"/>
              <w:rPr>
                <w:noProof/>
              </w:rPr>
            </w:pPr>
            <w:r>
              <w:rPr>
                <w:noProof/>
              </w:rPr>
              <w:t>Rapport de certification vérifiant l'exécution des plans d'investissement</w:t>
            </w:r>
          </w:p>
        </w:tc>
        <w:tc>
          <w:tcPr>
            <w:tcW w:w="866" w:type="dxa"/>
            <w:shd w:val="clear" w:color="auto" w:fill="C6EFCE"/>
            <w:noWrap/>
          </w:tcPr>
          <w:p w14:paraId="6828554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27" w:type="dxa"/>
            <w:shd w:val="clear" w:color="auto" w:fill="C6EFCE"/>
            <w:noWrap/>
          </w:tcPr>
          <w:p w14:paraId="6E5D712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11CB64A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2E2039C" w14:textId="77777777" w:rsidR="00A00259" w:rsidRDefault="00371282">
            <w:pPr>
              <w:pStyle w:val="P68B1DB1-Normal12"/>
              <w:spacing w:after="0" w:line="240" w:lineRule="auto"/>
              <w:rPr>
                <w:rFonts w:eastAsia="Times New Roman"/>
                <w:noProof/>
              </w:rPr>
            </w:pPr>
            <w:r>
              <w:rPr>
                <w:noProof/>
              </w:rPr>
              <w:t>T4</w:t>
            </w:r>
          </w:p>
        </w:tc>
        <w:tc>
          <w:tcPr>
            <w:tcW w:w="850" w:type="dxa"/>
            <w:shd w:val="clear" w:color="auto" w:fill="C6EFCE"/>
            <w:noWrap/>
          </w:tcPr>
          <w:p w14:paraId="73B14B70" w14:textId="77777777" w:rsidR="00A00259" w:rsidRDefault="00371282">
            <w:pPr>
              <w:pStyle w:val="P68B1DB1-Normal12"/>
              <w:spacing w:after="0" w:line="240" w:lineRule="auto"/>
              <w:rPr>
                <w:rFonts w:eastAsia="Times New Roman"/>
                <w:noProof/>
              </w:rPr>
            </w:pPr>
            <w:r>
              <w:rPr>
                <w:noProof/>
              </w:rPr>
              <w:t>2025</w:t>
            </w:r>
          </w:p>
        </w:tc>
        <w:tc>
          <w:tcPr>
            <w:tcW w:w="3696" w:type="dxa"/>
            <w:shd w:val="clear" w:color="auto" w:fill="C6EFCE"/>
            <w:noWrap/>
          </w:tcPr>
          <w:p w14:paraId="73A80ABC" w14:textId="6646BCE1" w:rsidR="00A00259" w:rsidRDefault="00371282">
            <w:pPr>
              <w:pStyle w:val="P68B1DB1-Normal12"/>
              <w:spacing w:after="0" w:line="240" w:lineRule="auto"/>
              <w:rPr>
                <w:rFonts w:eastAsia="Times New Roman"/>
                <w:noProof/>
              </w:rPr>
            </w:pPr>
            <w:r>
              <w:rPr>
                <w:noProof/>
              </w:rPr>
              <w:t>Exécution d'au moins 36 plans d'investissement.</w:t>
            </w:r>
          </w:p>
        </w:tc>
      </w:tr>
    </w:tbl>
    <w:p w14:paraId="6828AAAE" w14:textId="77777777" w:rsidR="00A00259" w:rsidRDefault="00A00259">
      <w:pPr>
        <w:spacing w:before="120" w:after="0" w:line="240" w:lineRule="auto"/>
        <w:jc w:val="both"/>
        <w:rPr>
          <w:rFonts w:ascii="Times New Roman" w:hAnsi="Times New Roman" w:cs="Times New Roman"/>
          <w:noProof/>
          <w:sz w:val="24"/>
        </w:rPr>
      </w:pPr>
    </w:p>
    <w:p w14:paraId="7B28B484" w14:textId="77777777" w:rsidR="00A00259" w:rsidRDefault="00A00259">
      <w:pPr>
        <w:spacing w:before="120" w:after="0" w:line="240" w:lineRule="auto"/>
        <w:jc w:val="both"/>
        <w:rPr>
          <w:rFonts w:ascii="Times New Roman" w:hAnsi="Times New Roman" w:cs="Times New Roman"/>
          <w:noProof/>
          <w:sz w:val="24"/>
        </w:rPr>
        <w:sectPr w:rsidR="00A00259">
          <w:headerReference w:type="even" r:id="rId342"/>
          <w:headerReference w:type="default" r:id="rId343"/>
          <w:footerReference w:type="even" r:id="rId344"/>
          <w:footerReference w:type="default" r:id="rId345"/>
          <w:headerReference w:type="first" r:id="rId346"/>
          <w:footerReference w:type="first" r:id="rId347"/>
          <w:pgSz w:w="16839" w:h="11907" w:orient="landscape"/>
          <w:pgMar w:top="1134" w:right="1134" w:bottom="1134" w:left="1134" w:header="567" w:footer="567" w:gutter="0"/>
          <w:cols w:space="720"/>
          <w:docGrid w:linePitch="360"/>
        </w:sectPr>
      </w:pPr>
    </w:p>
    <w:p w14:paraId="63A22DF4" w14:textId="77777777" w:rsidR="00A00259" w:rsidRDefault="00371282">
      <w:pPr>
        <w:pStyle w:val="P68B1DB1-Normal9"/>
        <w:keepNext/>
        <w:keepLines/>
        <w:spacing w:before="40" w:after="0" w:line="240" w:lineRule="auto"/>
        <w:jc w:val="both"/>
        <w:outlineLvl w:val="4"/>
        <w:rPr>
          <w:rFonts w:eastAsia="Times New Roman"/>
          <w:noProof/>
        </w:rPr>
      </w:pPr>
      <w:r>
        <w:rPr>
          <w:noProof/>
        </w:rPr>
        <w:t>Groupe 28: Agriculture</w:t>
      </w:r>
    </w:p>
    <w:p w14:paraId="5FC9C92C" w14:textId="77777777" w:rsidR="00A00259" w:rsidRDefault="00371282">
      <w:pPr>
        <w:pStyle w:val="P68B1DB1-Normal5"/>
        <w:numPr>
          <w:ilvl w:val="0"/>
          <w:numId w:val="83"/>
        </w:numPr>
        <w:spacing w:before="120" w:after="0" w:line="240" w:lineRule="auto"/>
        <w:jc w:val="both"/>
        <w:rPr>
          <w:rFonts w:cs="Times New Roman"/>
          <w:noProof/>
        </w:rPr>
      </w:pPr>
      <w:r>
        <w:rPr>
          <w:noProof/>
        </w:rPr>
        <w:t xml:space="preserve">Transformation économique des secteurs de l'agriculture </w:t>
      </w:r>
      <w:r>
        <w:rPr>
          <w:noProof/>
          <w:szCs w:val="24"/>
        </w:rPr>
        <w:t xml:space="preserve">et de l'aquaculture </w:t>
      </w:r>
      <w:r>
        <w:rPr>
          <w:noProof/>
        </w:rPr>
        <w:t>(ID: 16626)</w:t>
      </w:r>
    </w:p>
    <w:p w14:paraId="5B378D86" w14:textId="77777777" w:rsidR="00A00259" w:rsidRDefault="00371282">
      <w:pPr>
        <w:pStyle w:val="P68B1DB1-Normal5"/>
        <w:numPr>
          <w:ilvl w:val="0"/>
          <w:numId w:val="83"/>
        </w:numPr>
        <w:spacing w:before="120" w:after="0" w:line="240" w:lineRule="auto"/>
        <w:jc w:val="both"/>
        <w:rPr>
          <w:rFonts w:cs="Times New Roman"/>
          <w:noProof/>
        </w:rPr>
      </w:pPr>
      <w:r>
        <w:rPr>
          <w:noProof/>
        </w:rPr>
        <w:t>Transformation numérique du secteur agroalimentaire (ID: 16653)</w:t>
      </w:r>
    </w:p>
    <w:tbl>
      <w:tblPr>
        <w:tblW w:w="16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6"/>
        <w:gridCol w:w="2298"/>
        <w:gridCol w:w="1589"/>
        <w:gridCol w:w="1666"/>
        <w:gridCol w:w="1704"/>
        <w:gridCol w:w="899"/>
        <w:gridCol w:w="936"/>
        <w:gridCol w:w="846"/>
        <w:gridCol w:w="986"/>
        <w:gridCol w:w="706"/>
        <w:gridCol w:w="4332"/>
      </w:tblGrid>
      <w:tr w:rsidR="00A00259" w14:paraId="4C38A5E7" w14:textId="77777777">
        <w:trPr>
          <w:trHeight w:val="731"/>
          <w:tblHeader/>
          <w:jc w:val="center"/>
        </w:trPr>
        <w:tc>
          <w:tcPr>
            <w:tcW w:w="786" w:type="dxa"/>
            <w:vMerge w:val="restart"/>
            <w:shd w:val="clear" w:color="auto" w:fill="BDD7EE"/>
            <w:vAlign w:val="center"/>
            <w:hideMark/>
          </w:tcPr>
          <w:p w14:paraId="7D3D4723" w14:textId="77777777" w:rsidR="00A00259" w:rsidRDefault="00371282">
            <w:pPr>
              <w:pStyle w:val="P68B1DB1-Normal41"/>
              <w:spacing w:after="0" w:line="240" w:lineRule="auto"/>
              <w:jc w:val="center"/>
              <w:rPr>
                <w:rFonts w:eastAsia="Times New Roman" w:cs="Times New Roman"/>
                <w:noProof/>
              </w:rPr>
            </w:pPr>
            <w:r>
              <w:rPr>
                <w:noProof/>
              </w:rPr>
              <w:t>Seq. Non.</w:t>
            </w:r>
          </w:p>
        </w:tc>
        <w:tc>
          <w:tcPr>
            <w:tcW w:w="2298" w:type="dxa"/>
            <w:vMerge w:val="restart"/>
            <w:shd w:val="clear" w:color="auto" w:fill="BDD7EE"/>
            <w:vAlign w:val="center"/>
            <w:hideMark/>
          </w:tcPr>
          <w:p w14:paraId="32DEF46A" w14:textId="77777777" w:rsidR="00A00259" w:rsidRDefault="00371282">
            <w:pPr>
              <w:pStyle w:val="P68B1DB1-Normal41"/>
              <w:spacing w:after="0" w:line="240" w:lineRule="auto"/>
              <w:jc w:val="center"/>
              <w:rPr>
                <w:rFonts w:eastAsia="Times New Roman" w:cs="Times New Roman"/>
                <w:noProof/>
              </w:rPr>
            </w:pPr>
            <w:r>
              <w:rPr>
                <w:noProof/>
              </w:rPr>
              <w:t>Mesure connexe (réforme ou investissement)</w:t>
            </w:r>
          </w:p>
        </w:tc>
        <w:tc>
          <w:tcPr>
            <w:tcW w:w="1589" w:type="dxa"/>
            <w:vMerge w:val="restart"/>
            <w:shd w:val="clear" w:color="auto" w:fill="BDD7EE"/>
            <w:vAlign w:val="center"/>
            <w:hideMark/>
          </w:tcPr>
          <w:p w14:paraId="2E535329" w14:textId="77777777" w:rsidR="00A00259" w:rsidRDefault="00371282">
            <w:pPr>
              <w:pStyle w:val="P68B1DB1-Normal41"/>
              <w:spacing w:after="0" w:line="240" w:lineRule="auto"/>
              <w:jc w:val="center"/>
              <w:rPr>
                <w:rFonts w:eastAsia="Times New Roman" w:cs="Times New Roman"/>
                <w:noProof/>
              </w:rPr>
            </w:pPr>
            <w:r>
              <w:rPr>
                <w:noProof/>
              </w:rPr>
              <w:t>Étape/cible</w:t>
            </w:r>
          </w:p>
        </w:tc>
        <w:tc>
          <w:tcPr>
            <w:tcW w:w="1666" w:type="dxa"/>
            <w:vMerge w:val="restart"/>
            <w:shd w:val="clear" w:color="auto" w:fill="BDD7EE"/>
            <w:vAlign w:val="center"/>
            <w:hideMark/>
          </w:tcPr>
          <w:p w14:paraId="4DAA1EC4" w14:textId="77777777" w:rsidR="00A00259" w:rsidRDefault="00371282">
            <w:pPr>
              <w:pStyle w:val="P68B1DB1-Normal41"/>
              <w:spacing w:after="0" w:line="240" w:lineRule="auto"/>
              <w:jc w:val="center"/>
              <w:rPr>
                <w:rFonts w:eastAsia="Times New Roman" w:cs="Times New Roman"/>
                <w:noProof/>
              </w:rPr>
            </w:pPr>
            <w:r>
              <w:rPr>
                <w:noProof/>
              </w:rPr>
              <w:t>Nom</w:t>
            </w:r>
          </w:p>
        </w:tc>
        <w:tc>
          <w:tcPr>
            <w:tcW w:w="1704" w:type="dxa"/>
            <w:vMerge w:val="restart"/>
            <w:shd w:val="clear" w:color="auto" w:fill="BDD7EE"/>
            <w:vAlign w:val="center"/>
            <w:hideMark/>
          </w:tcPr>
          <w:p w14:paraId="126B1B00" w14:textId="77777777" w:rsidR="00A00259" w:rsidRDefault="00371282">
            <w:pPr>
              <w:pStyle w:val="P68B1DB1-Normal41"/>
              <w:spacing w:after="0" w:line="240" w:lineRule="auto"/>
              <w:jc w:val="center"/>
              <w:rPr>
                <w:rFonts w:eastAsia="Times New Roman" w:cs="Times New Roman"/>
                <w:noProof/>
              </w:rPr>
            </w:pPr>
            <w:r>
              <w:rPr>
                <w:noProof/>
              </w:rPr>
              <w:t>Indicateurs qualitatifs (pour les jalons)</w:t>
            </w:r>
          </w:p>
        </w:tc>
        <w:tc>
          <w:tcPr>
            <w:tcW w:w="2343" w:type="dxa"/>
            <w:gridSpan w:val="3"/>
            <w:shd w:val="clear" w:color="auto" w:fill="BDD7EE"/>
            <w:vAlign w:val="center"/>
            <w:hideMark/>
          </w:tcPr>
          <w:p w14:paraId="31F781A7" w14:textId="1DA2C58A" w:rsidR="00A00259" w:rsidRDefault="00371282">
            <w:pPr>
              <w:pStyle w:val="P68B1DB1-Normal41"/>
              <w:spacing w:after="0" w:line="240" w:lineRule="auto"/>
              <w:jc w:val="center"/>
              <w:rPr>
                <w:rFonts w:eastAsia="Times New Roman" w:cs="Times New Roman"/>
                <w:noProof/>
              </w:rPr>
            </w:pPr>
            <w:r>
              <w:rPr>
                <w:noProof/>
              </w:rPr>
              <w:t>Indicateurs quantitatifs (pour les objectifs)</w:t>
            </w:r>
          </w:p>
        </w:tc>
        <w:tc>
          <w:tcPr>
            <w:tcW w:w="1533" w:type="dxa"/>
            <w:gridSpan w:val="2"/>
            <w:shd w:val="clear" w:color="auto" w:fill="BDD7EE"/>
            <w:vAlign w:val="center"/>
            <w:hideMark/>
          </w:tcPr>
          <w:p w14:paraId="7F35B569" w14:textId="77777777" w:rsidR="00A00259" w:rsidRDefault="00371282">
            <w:pPr>
              <w:pStyle w:val="P68B1DB1-Normal41"/>
              <w:spacing w:after="0" w:line="240" w:lineRule="auto"/>
              <w:jc w:val="center"/>
              <w:rPr>
                <w:rFonts w:eastAsia="Times New Roman" w:cs="Times New Roman"/>
                <w:noProof/>
              </w:rPr>
            </w:pPr>
            <w:r>
              <w:rPr>
                <w:noProof/>
              </w:rPr>
              <w:t xml:space="preserve">Calendrier indicatif d'achèvement </w:t>
            </w:r>
          </w:p>
        </w:tc>
        <w:tc>
          <w:tcPr>
            <w:tcW w:w="4332" w:type="dxa"/>
            <w:vMerge w:val="restart"/>
            <w:shd w:val="clear" w:color="auto" w:fill="BDD7EE"/>
            <w:vAlign w:val="center"/>
            <w:hideMark/>
          </w:tcPr>
          <w:p w14:paraId="4A7D83DE" w14:textId="77777777" w:rsidR="00A00259" w:rsidRDefault="00371282">
            <w:pPr>
              <w:pStyle w:val="P68B1DB1-Normal41"/>
              <w:spacing w:after="0" w:line="240" w:lineRule="auto"/>
              <w:jc w:val="center"/>
              <w:rPr>
                <w:rFonts w:eastAsia="Times New Roman" w:cs="Times New Roman"/>
                <w:noProof/>
              </w:rPr>
            </w:pPr>
            <w:r>
              <w:rPr>
                <w:noProof/>
              </w:rPr>
              <w:t>Description de chaque jalon et cible</w:t>
            </w:r>
          </w:p>
        </w:tc>
      </w:tr>
      <w:tr w:rsidR="00A00259" w14:paraId="00CF71A8" w14:textId="77777777">
        <w:trPr>
          <w:trHeight w:val="504"/>
          <w:tblHeader/>
          <w:jc w:val="center"/>
        </w:trPr>
        <w:tc>
          <w:tcPr>
            <w:tcW w:w="786" w:type="dxa"/>
            <w:vMerge/>
            <w:vAlign w:val="center"/>
            <w:hideMark/>
          </w:tcPr>
          <w:p w14:paraId="344168FC" w14:textId="77777777" w:rsidR="00A00259" w:rsidRDefault="00A00259">
            <w:pPr>
              <w:spacing w:after="0" w:line="240" w:lineRule="auto"/>
              <w:rPr>
                <w:rFonts w:ascii="Times New Roman" w:eastAsia="Times New Roman" w:hAnsi="Times New Roman" w:cs="Times New Roman"/>
                <w:b/>
                <w:noProof/>
                <w:sz w:val="18"/>
                <w:szCs w:val="18"/>
              </w:rPr>
            </w:pPr>
          </w:p>
        </w:tc>
        <w:tc>
          <w:tcPr>
            <w:tcW w:w="2298" w:type="dxa"/>
            <w:vMerge/>
            <w:vAlign w:val="center"/>
            <w:hideMark/>
          </w:tcPr>
          <w:p w14:paraId="4C654BC3" w14:textId="77777777" w:rsidR="00A00259" w:rsidRDefault="00A00259">
            <w:pPr>
              <w:spacing w:after="0" w:line="240" w:lineRule="auto"/>
              <w:rPr>
                <w:rFonts w:ascii="Times New Roman" w:eastAsia="Times New Roman" w:hAnsi="Times New Roman" w:cs="Times New Roman"/>
                <w:b/>
                <w:noProof/>
                <w:sz w:val="18"/>
                <w:szCs w:val="18"/>
              </w:rPr>
            </w:pPr>
          </w:p>
        </w:tc>
        <w:tc>
          <w:tcPr>
            <w:tcW w:w="1589" w:type="dxa"/>
            <w:vMerge/>
            <w:vAlign w:val="center"/>
            <w:hideMark/>
          </w:tcPr>
          <w:p w14:paraId="651844DD" w14:textId="77777777" w:rsidR="00A00259" w:rsidRDefault="00A00259">
            <w:pPr>
              <w:spacing w:after="0" w:line="240" w:lineRule="auto"/>
              <w:rPr>
                <w:rFonts w:ascii="Times New Roman" w:eastAsia="Times New Roman" w:hAnsi="Times New Roman" w:cs="Times New Roman"/>
                <w:b/>
                <w:noProof/>
                <w:sz w:val="18"/>
                <w:szCs w:val="18"/>
              </w:rPr>
            </w:pPr>
          </w:p>
        </w:tc>
        <w:tc>
          <w:tcPr>
            <w:tcW w:w="1666" w:type="dxa"/>
            <w:vMerge/>
            <w:vAlign w:val="center"/>
            <w:hideMark/>
          </w:tcPr>
          <w:p w14:paraId="6F16C7FF" w14:textId="77777777" w:rsidR="00A00259" w:rsidRDefault="00A00259">
            <w:pPr>
              <w:spacing w:after="0" w:line="240" w:lineRule="auto"/>
              <w:rPr>
                <w:rFonts w:ascii="Times New Roman" w:eastAsia="Times New Roman" w:hAnsi="Times New Roman" w:cs="Times New Roman"/>
                <w:b/>
                <w:noProof/>
                <w:sz w:val="18"/>
                <w:szCs w:val="18"/>
              </w:rPr>
            </w:pPr>
          </w:p>
        </w:tc>
        <w:tc>
          <w:tcPr>
            <w:tcW w:w="1704" w:type="dxa"/>
            <w:vMerge/>
            <w:vAlign w:val="center"/>
            <w:hideMark/>
          </w:tcPr>
          <w:p w14:paraId="58036930" w14:textId="77777777" w:rsidR="00A00259" w:rsidRDefault="00A00259">
            <w:pPr>
              <w:spacing w:after="0" w:line="240" w:lineRule="auto"/>
              <w:rPr>
                <w:rFonts w:ascii="Times New Roman" w:eastAsia="Times New Roman" w:hAnsi="Times New Roman" w:cs="Times New Roman"/>
                <w:b/>
                <w:noProof/>
                <w:sz w:val="18"/>
                <w:szCs w:val="18"/>
              </w:rPr>
            </w:pPr>
          </w:p>
        </w:tc>
        <w:tc>
          <w:tcPr>
            <w:tcW w:w="899" w:type="dxa"/>
            <w:shd w:val="clear" w:color="auto" w:fill="BDD7EE"/>
            <w:vAlign w:val="center"/>
            <w:hideMark/>
          </w:tcPr>
          <w:p w14:paraId="15E7317A" w14:textId="77777777" w:rsidR="00A00259" w:rsidRDefault="00371282">
            <w:pPr>
              <w:pStyle w:val="P68B1DB1-Normal41"/>
              <w:spacing w:after="0" w:line="240" w:lineRule="auto"/>
              <w:jc w:val="center"/>
              <w:rPr>
                <w:rFonts w:eastAsia="Times New Roman" w:cs="Times New Roman"/>
                <w:noProof/>
              </w:rPr>
            </w:pPr>
            <w:r>
              <w:rPr>
                <w:noProof/>
              </w:rPr>
              <w:t>Unité de mesure</w:t>
            </w:r>
          </w:p>
        </w:tc>
        <w:tc>
          <w:tcPr>
            <w:tcW w:w="857" w:type="dxa"/>
            <w:shd w:val="clear" w:color="auto" w:fill="BDD7EE"/>
            <w:vAlign w:val="center"/>
            <w:hideMark/>
          </w:tcPr>
          <w:p w14:paraId="6161E365" w14:textId="77777777" w:rsidR="00A00259" w:rsidRDefault="00371282">
            <w:pPr>
              <w:pStyle w:val="P68B1DB1-Normal41"/>
              <w:spacing w:after="0" w:line="240" w:lineRule="auto"/>
              <w:jc w:val="center"/>
              <w:rPr>
                <w:rFonts w:eastAsia="Times New Roman" w:cs="Times New Roman"/>
                <w:noProof/>
              </w:rPr>
            </w:pPr>
            <w:r>
              <w:rPr>
                <w:noProof/>
              </w:rPr>
              <w:t xml:space="preserve">Données de référence </w:t>
            </w:r>
          </w:p>
        </w:tc>
        <w:tc>
          <w:tcPr>
            <w:tcW w:w="587" w:type="dxa"/>
            <w:shd w:val="clear" w:color="auto" w:fill="BDD7EE"/>
            <w:vAlign w:val="center"/>
            <w:hideMark/>
          </w:tcPr>
          <w:p w14:paraId="035D7DE0" w14:textId="77777777" w:rsidR="00A00259" w:rsidRDefault="00371282">
            <w:pPr>
              <w:pStyle w:val="P68B1DB1-Normal41"/>
              <w:spacing w:after="0" w:line="240" w:lineRule="auto"/>
              <w:jc w:val="center"/>
              <w:rPr>
                <w:rFonts w:eastAsia="Times New Roman" w:cs="Times New Roman"/>
                <w:noProof/>
              </w:rPr>
            </w:pPr>
            <w:r>
              <w:rPr>
                <w:noProof/>
              </w:rPr>
              <w:t xml:space="preserve">Objectif </w:t>
            </w:r>
          </w:p>
        </w:tc>
        <w:tc>
          <w:tcPr>
            <w:tcW w:w="846" w:type="dxa"/>
            <w:shd w:val="clear" w:color="auto" w:fill="BDD7EE"/>
            <w:vAlign w:val="center"/>
            <w:hideMark/>
          </w:tcPr>
          <w:p w14:paraId="34B2A83B" w14:textId="77777777" w:rsidR="00A00259" w:rsidRDefault="00371282">
            <w:pPr>
              <w:pStyle w:val="P68B1DB1-Normal41"/>
              <w:spacing w:after="0" w:line="240" w:lineRule="auto"/>
              <w:jc w:val="center"/>
              <w:rPr>
                <w:rFonts w:eastAsia="Times New Roman" w:cs="Times New Roman"/>
                <w:noProof/>
              </w:rPr>
            </w:pPr>
            <w:r>
              <w:rPr>
                <w:noProof/>
              </w:rPr>
              <w:t>Trimestre</w:t>
            </w:r>
          </w:p>
        </w:tc>
        <w:tc>
          <w:tcPr>
            <w:tcW w:w="687" w:type="dxa"/>
            <w:shd w:val="clear" w:color="auto" w:fill="BDD7EE"/>
            <w:vAlign w:val="center"/>
            <w:hideMark/>
          </w:tcPr>
          <w:p w14:paraId="44ECBF91" w14:textId="77777777" w:rsidR="00A00259" w:rsidRDefault="00371282">
            <w:pPr>
              <w:pStyle w:val="P68B1DB1-Normal41"/>
              <w:spacing w:after="0" w:line="240" w:lineRule="auto"/>
              <w:jc w:val="center"/>
              <w:rPr>
                <w:rFonts w:eastAsia="Times New Roman" w:cs="Times New Roman"/>
                <w:noProof/>
              </w:rPr>
            </w:pPr>
            <w:r>
              <w:rPr>
                <w:noProof/>
              </w:rPr>
              <w:t>Année</w:t>
            </w:r>
          </w:p>
        </w:tc>
        <w:tc>
          <w:tcPr>
            <w:tcW w:w="4332" w:type="dxa"/>
            <w:vMerge/>
            <w:vAlign w:val="center"/>
            <w:hideMark/>
          </w:tcPr>
          <w:p w14:paraId="497DF93D" w14:textId="77777777" w:rsidR="00A00259" w:rsidRDefault="00A00259">
            <w:pPr>
              <w:spacing w:after="0" w:line="240" w:lineRule="auto"/>
              <w:rPr>
                <w:rFonts w:ascii="Times New Roman" w:eastAsia="Times New Roman" w:hAnsi="Times New Roman" w:cs="Times New Roman"/>
                <w:b/>
                <w:noProof/>
                <w:sz w:val="18"/>
                <w:szCs w:val="18"/>
              </w:rPr>
            </w:pPr>
          </w:p>
        </w:tc>
      </w:tr>
      <w:tr w:rsidR="00A00259" w14:paraId="3FAD1573" w14:textId="77777777">
        <w:trPr>
          <w:trHeight w:val="309"/>
          <w:jc w:val="center"/>
        </w:trPr>
        <w:tc>
          <w:tcPr>
            <w:tcW w:w="786" w:type="dxa"/>
            <w:shd w:val="clear" w:color="auto" w:fill="C6EFCE"/>
            <w:noWrap/>
          </w:tcPr>
          <w:p w14:paraId="3147DB00" w14:textId="77777777" w:rsidR="00A00259" w:rsidRDefault="00371282">
            <w:pPr>
              <w:pStyle w:val="P68B1DB1-Normal12"/>
              <w:spacing w:after="0" w:line="240" w:lineRule="auto"/>
              <w:rPr>
                <w:rFonts w:eastAsia="Times New Roman"/>
                <w:noProof/>
              </w:rPr>
            </w:pPr>
            <w:r>
              <w:rPr>
                <w:noProof/>
              </w:rPr>
              <w:t>310</w:t>
            </w:r>
          </w:p>
        </w:tc>
        <w:tc>
          <w:tcPr>
            <w:tcW w:w="2298" w:type="dxa"/>
            <w:shd w:val="clear" w:color="auto" w:fill="C6EFCE"/>
            <w:noWrap/>
          </w:tcPr>
          <w:p w14:paraId="2CA965D8"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- 16626_Transformation économique dans le secteur agricole</w:t>
            </w:r>
          </w:p>
        </w:tc>
        <w:tc>
          <w:tcPr>
            <w:tcW w:w="1589" w:type="dxa"/>
            <w:shd w:val="clear" w:color="auto" w:fill="C6EFCE"/>
            <w:noWrap/>
          </w:tcPr>
          <w:p w14:paraId="79B4E273" w14:textId="77777777" w:rsidR="00A00259" w:rsidRDefault="00371282">
            <w:pPr>
              <w:pStyle w:val="P68B1DB1-Normal12"/>
              <w:spacing w:after="0" w:line="240" w:lineRule="auto"/>
              <w:rPr>
                <w:rFonts w:eastAsia="Times New Roman"/>
                <w:noProof/>
              </w:rPr>
            </w:pPr>
            <w:r>
              <w:rPr>
                <w:noProof/>
              </w:rPr>
              <w:t>Étape</w:t>
            </w:r>
          </w:p>
        </w:tc>
        <w:tc>
          <w:tcPr>
            <w:tcW w:w="1666" w:type="dxa"/>
            <w:shd w:val="clear" w:color="auto" w:fill="C6EFCE"/>
            <w:noWrap/>
          </w:tcPr>
          <w:p w14:paraId="2B604935" w14:textId="77777777" w:rsidR="00A00259" w:rsidRDefault="00371282">
            <w:pPr>
              <w:pStyle w:val="P68B1DB1-Normal12"/>
              <w:spacing w:after="0" w:line="240" w:lineRule="auto"/>
              <w:rPr>
                <w:rFonts w:eastAsia="Times New Roman"/>
                <w:noProof/>
              </w:rPr>
            </w:pPr>
            <w:r>
              <w:rPr>
                <w:noProof/>
              </w:rPr>
              <w:t>Transformation économique de l'agriculture: Lancement du programme</w:t>
            </w:r>
          </w:p>
        </w:tc>
        <w:tc>
          <w:tcPr>
            <w:tcW w:w="1704" w:type="dxa"/>
            <w:shd w:val="clear" w:color="auto" w:fill="C6EFCE"/>
            <w:noWrap/>
          </w:tcPr>
          <w:p w14:paraId="27E53605" w14:textId="77777777" w:rsidR="00A00259" w:rsidRDefault="00371282">
            <w:pPr>
              <w:pStyle w:val="P68B1DB1-Normal12"/>
              <w:spacing w:after="0" w:line="240" w:lineRule="auto"/>
              <w:rPr>
                <w:noProof/>
              </w:rPr>
            </w:pPr>
            <w:r>
              <w:rPr>
                <w:noProof/>
              </w:rPr>
              <w:t>Signature du contrat avec le partenaire chargé de la mise en œuvre</w:t>
            </w:r>
          </w:p>
          <w:p w14:paraId="1F562766" w14:textId="77777777" w:rsidR="00A00259" w:rsidRDefault="00A00259">
            <w:pPr>
              <w:spacing w:after="0" w:line="240" w:lineRule="auto"/>
              <w:rPr>
                <w:rFonts w:ascii="Times New Roman" w:hAnsi="Times New Roman" w:cs="Times New Roman"/>
                <w:noProof/>
                <w:color w:val="006100"/>
                <w:sz w:val="18"/>
                <w:szCs w:val="18"/>
              </w:rPr>
            </w:pPr>
          </w:p>
          <w:p w14:paraId="473235C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99" w:type="dxa"/>
            <w:shd w:val="clear" w:color="auto" w:fill="C6EFCE"/>
            <w:noWrap/>
          </w:tcPr>
          <w:p w14:paraId="6C45858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21F95E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shd w:val="clear" w:color="auto" w:fill="C6EFCE"/>
            <w:noWrap/>
          </w:tcPr>
          <w:p w14:paraId="50C5C7D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4E9104B5" w14:textId="77777777" w:rsidR="00A00259" w:rsidRDefault="00371282">
            <w:pPr>
              <w:pStyle w:val="P68B1DB1-Normal12"/>
              <w:spacing w:after="0" w:line="240" w:lineRule="auto"/>
              <w:rPr>
                <w:rFonts w:eastAsia="Times New Roman"/>
                <w:noProof/>
              </w:rPr>
            </w:pPr>
            <w:r>
              <w:rPr>
                <w:noProof/>
              </w:rPr>
              <w:t>T1</w:t>
            </w:r>
          </w:p>
        </w:tc>
        <w:tc>
          <w:tcPr>
            <w:tcW w:w="687" w:type="dxa"/>
            <w:shd w:val="clear" w:color="auto" w:fill="C6EFCE"/>
            <w:noWrap/>
          </w:tcPr>
          <w:p w14:paraId="2C6E8007" w14:textId="77777777" w:rsidR="00A00259" w:rsidRDefault="00371282">
            <w:pPr>
              <w:pStyle w:val="P68B1DB1-Normal12"/>
              <w:spacing w:after="0" w:line="240" w:lineRule="auto"/>
              <w:rPr>
                <w:rFonts w:eastAsia="Times New Roman"/>
                <w:noProof/>
              </w:rPr>
            </w:pPr>
            <w:r>
              <w:rPr>
                <w:noProof/>
              </w:rPr>
              <w:t>2022</w:t>
            </w:r>
          </w:p>
        </w:tc>
        <w:tc>
          <w:tcPr>
            <w:tcW w:w="4332" w:type="dxa"/>
            <w:shd w:val="clear" w:color="auto" w:fill="C6EFCE"/>
            <w:noWrap/>
          </w:tcPr>
          <w:p w14:paraId="26325214" w14:textId="77777777" w:rsidR="00A00259" w:rsidRDefault="00371282">
            <w:pPr>
              <w:pStyle w:val="P68B1DB1-Normal12"/>
              <w:spacing w:after="0" w:line="240" w:lineRule="auto"/>
              <w:rPr>
                <w:noProof/>
              </w:rPr>
            </w:pPr>
            <w:r>
              <w:rPr>
                <w:noProof/>
              </w:rPr>
              <w:t>Lancement des appels à la transformation économique du secteur agricole:</w:t>
            </w:r>
          </w:p>
          <w:p w14:paraId="73839251" w14:textId="77777777" w:rsidR="00A00259" w:rsidRDefault="00371282">
            <w:pPr>
              <w:pStyle w:val="P68B1DB1-Normal12"/>
              <w:spacing w:after="0" w:line="240" w:lineRule="auto"/>
              <w:rPr>
                <w:noProof/>
              </w:rPr>
            </w:pPr>
            <w:r>
              <w:rPr>
                <w:noProof/>
              </w:rPr>
              <w:t>Appels à propositions concurrentiels avec mandat comprenant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p w14:paraId="19913174" w14:textId="77777777" w:rsidR="00A00259" w:rsidRDefault="00A00259">
            <w:pPr>
              <w:spacing w:after="0" w:line="240" w:lineRule="auto"/>
              <w:rPr>
                <w:rFonts w:ascii="Times New Roman" w:hAnsi="Times New Roman" w:cs="Times New Roman"/>
                <w:noProof/>
                <w:color w:val="006100"/>
                <w:sz w:val="18"/>
                <w:szCs w:val="18"/>
              </w:rPr>
            </w:pPr>
          </w:p>
          <w:p w14:paraId="7222E4B6" w14:textId="77777777" w:rsidR="00A00259" w:rsidRDefault="00371282">
            <w:pPr>
              <w:pStyle w:val="P68B1DB1-Normal12"/>
              <w:spacing w:after="0" w:line="240" w:lineRule="auto"/>
              <w:rPr>
                <w:rFonts w:eastAsia="Times New Roman"/>
                <w:noProof/>
              </w:rPr>
            </w:pPr>
            <w:r>
              <w:rPr>
                <w:noProof/>
              </w:rPr>
              <w:t>Les appels à la concurrence comprennent les actions suivantes: les actions liées à la mise à niveau énergétique des unités de production, des bâtiments et des équipements mécaniques à faible consommation d’énergie, à la mise à niveau énergétique des installations touristiques (bâtiments), aux moyens de transport respectueux de l’environnement (voitures électriques, vélos, etc.), au soutien aux processus de production respectueux de l’environnement et à l’utilisation efficace des ressources dans les PME, aux énergies renouvelables (solaires), aux mesures d’adaptation et de prévention du changement climatique et à la gestion des risques liés au climat, à la protection de la biodiversité, ainsi qu’au patrimoine naturel et aux ressources.</w:t>
            </w:r>
          </w:p>
        </w:tc>
      </w:tr>
      <w:tr w:rsidR="00A00259" w14:paraId="0E6C20AD" w14:textId="77777777">
        <w:trPr>
          <w:trHeight w:val="309"/>
          <w:jc w:val="center"/>
        </w:trPr>
        <w:tc>
          <w:tcPr>
            <w:tcW w:w="786" w:type="dxa"/>
            <w:shd w:val="clear" w:color="auto" w:fill="C6EFCE"/>
            <w:noWrap/>
            <w:hideMark/>
          </w:tcPr>
          <w:p w14:paraId="6E1CB604" w14:textId="77777777" w:rsidR="00A00259" w:rsidRDefault="00371282">
            <w:pPr>
              <w:pStyle w:val="P68B1DB1-Normal12"/>
              <w:spacing w:after="0" w:line="240" w:lineRule="auto"/>
              <w:rPr>
                <w:rFonts w:eastAsia="Times New Roman"/>
                <w:noProof/>
              </w:rPr>
            </w:pPr>
            <w:r>
              <w:rPr>
                <w:noProof/>
              </w:rPr>
              <w:t>311</w:t>
            </w:r>
          </w:p>
        </w:tc>
        <w:tc>
          <w:tcPr>
            <w:tcW w:w="2298" w:type="dxa"/>
            <w:shd w:val="clear" w:color="auto" w:fill="C6EFCE"/>
            <w:noWrap/>
            <w:hideMark/>
          </w:tcPr>
          <w:p w14:paraId="5E7F9E1A" w14:textId="77777777" w:rsidR="00A00259" w:rsidRDefault="00371282">
            <w:pPr>
              <w:pStyle w:val="P68B1DB1-Normal12"/>
              <w:spacing w:after="0" w:line="240" w:lineRule="auto"/>
              <w:rPr>
                <w:rFonts w:eastAsia="Times New Roman"/>
                <w:noProof/>
              </w:rPr>
            </w:pPr>
            <w:r>
              <w:rPr>
                <w:noProof/>
              </w:rPr>
              <w:t xml:space="preserve"> 17 - 4.6. Moderniser et améliorer la résilience des secteurs économiques clés - 16653_Transformation numérique du secteur agroalimentaire </w:t>
            </w:r>
          </w:p>
        </w:tc>
        <w:tc>
          <w:tcPr>
            <w:tcW w:w="1589" w:type="dxa"/>
            <w:shd w:val="clear" w:color="auto" w:fill="C6EFCE"/>
            <w:noWrap/>
            <w:hideMark/>
          </w:tcPr>
          <w:p w14:paraId="60E145F4" w14:textId="77777777" w:rsidR="00A00259" w:rsidRDefault="00371282">
            <w:pPr>
              <w:pStyle w:val="P68B1DB1-Normal12"/>
              <w:spacing w:after="0" w:line="240" w:lineRule="auto"/>
              <w:rPr>
                <w:rFonts w:eastAsia="Times New Roman"/>
                <w:noProof/>
              </w:rPr>
            </w:pPr>
            <w:r>
              <w:rPr>
                <w:noProof/>
              </w:rPr>
              <w:t> Étape</w:t>
            </w:r>
          </w:p>
        </w:tc>
        <w:tc>
          <w:tcPr>
            <w:tcW w:w="1666" w:type="dxa"/>
            <w:shd w:val="clear" w:color="auto" w:fill="C6EFCE"/>
            <w:noWrap/>
            <w:hideMark/>
          </w:tcPr>
          <w:p w14:paraId="3D457ACE" w14:textId="77777777" w:rsidR="00A00259" w:rsidRDefault="00371282">
            <w:pPr>
              <w:pStyle w:val="P68B1DB1-Normal12"/>
              <w:spacing w:after="0" w:line="240" w:lineRule="auto"/>
              <w:rPr>
                <w:rFonts w:eastAsia="Times New Roman"/>
                <w:noProof/>
              </w:rPr>
            </w:pPr>
            <w:r>
              <w:rPr>
                <w:noProof/>
              </w:rPr>
              <w:t xml:space="preserve">Lancement de l'appel à la transformation numérique du secteur agroalimentaire </w:t>
            </w:r>
          </w:p>
        </w:tc>
        <w:tc>
          <w:tcPr>
            <w:tcW w:w="1704" w:type="dxa"/>
            <w:shd w:val="clear" w:color="auto" w:fill="C6EFCE"/>
            <w:noWrap/>
            <w:hideMark/>
          </w:tcPr>
          <w:p w14:paraId="2D851085" w14:textId="77777777" w:rsidR="00A00259" w:rsidRDefault="00371282">
            <w:pPr>
              <w:pStyle w:val="P68B1DB1-Normal12"/>
              <w:spacing w:after="0" w:line="240" w:lineRule="auto"/>
              <w:rPr>
                <w:rFonts w:eastAsia="Times New Roman"/>
                <w:noProof/>
              </w:rPr>
            </w:pPr>
            <w:r>
              <w:rPr>
                <w:noProof/>
              </w:rPr>
              <w:t xml:space="preserve">Lancement de l'appel </w:t>
            </w:r>
          </w:p>
        </w:tc>
        <w:tc>
          <w:tcPr>
            <w:tcW w:w="899" w:type="dxa"/>
            <w:shd w:val="clear" w:color="auto" w:fill="C6EFCE"/>
            <w:noWrap/>
          </w:tcPr>
          <w:p w14:paraId="64D7966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3DB2EB2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shd w:val="clear" w:color="auto" w:fill="C6EFCE"/>
            <w:noWrap/>
          </w:tcPr>
          <w:p w14:paraId="13F508C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hideMark/>
          </w:tcPr>
          <w:p w14:paraId="3A5F3FB8" w14:textId="77777777" w:rsidR="00A00259" w:rsidRDefault="00371282">
            <w:pPr>
              <w:pStyle w:val="P68B1DB1-Normal12"/>
              <w:spacing w:after="0" w:line="240" w:lineRule="auto"/>
              <w:rPr>
                <w:rFonts w:eastAsia="Times New Roman"/>
                <w:noProof/>
              </w:rPr>
            </w:pPr>
            <w:r>
              <w:rPr>
                <w:noProof/>
              </w:rPr>
              <w:t>T3</w:t>
            </w:r>
          </w:p>
        </w:tc>
        <w:tc>
          <w:tcPr>
            <w:tcW w:w="687" w:type="dxa"/>
            <w:shd w:val="clear" w:color="auto" w:fill="C6EFCE"/>
            <w:noWrap/>
            <w:hideMark/>
          </w:tcPr>
          <w:p w14:paraId="731C45DD" w14:textId="77777777" w:rsidR="00A00259" w:rsidRDefault="00371282">
            <w:pPr>
              <w:pStyle w:val="P68B1DB1-Normal12"/>
              <w:spacing w:after="0" w:line="240" w:lineRule="auto"/>
              <w:rPr>
                <w:rFonts w:eastAsia="Times New Roman"/>
                <w:noProof/>
              </w:rPr>
            </w:pPr>
            <w:r>
              <w:rPr>
                <w:noProof/>
              </w:rPr>
              <w:t>2022 </w:t>
            </w:r>
          </w:p>
        </w:tc>
        <w:tc>
          <w:tcPr>
            <w:tcW w:w="4332" w:type="dxa"/>
            <w:shd w:val="clear" w:color="auto" w:fill="C6EFCE"/>
            <w:noWrap/>
            <w:hideMark/>
          </w:tcPr>
          <w:p w14:paraId="1EB12F31" w14:textId="77777777" w:rsidR="00A00259" w:rsidRDefault="00371282">
            <w:pPr>
              <w:pStyle w:val="P68B1DB1-Normal12"/>
              <w:spacing w:after="0" w:line="240" w:lineRule="auto"/>
              <w:rPr>
                <w:rFonts w:eastAsia="Times New Roman"/>
                <w:noProof/>
              </w:rPr>
            </w:pPr>
            <w:r>
              <w:rPr>
                <w:noProof/>
              </w:rPr>
              <w:t>Lancement de l'appel au projet de transformation numérique pour le développement d'une infrastructure agricole numérique ouverte à grande échelle et d'un environnement agricole cognitif pour le processus de production et la gestion des ressources naturelles.</w:t>
            </w:r>
          </w:p>
        </w:tc>
      </w:tr>
      <w:tr w:rsidR="00A00259" w14:paraId="53565CBF" w14:textId="77777777">
        <w:trPr>
          <w:trHeight w:val="3855"/>
          <w:jc w:val="center"/>
        </w:trPr>
        <w:tc>
          <w:tcPr>
            <w:tcW w:w="786" w:type="dxa"/>
            <w:shd w:val="clear" w:color="auto" w:fill="C6EFCE"/>
            <w:noWrap/>
            <w:hideMark/>
          </w:tcPr>
          <w:p w14:paraId="652E5753" w14:textId="77777777" w:rsidR="00A00259" w:rsidRDefault="00371282">
            <w:pPr>
              <w:pStyle w:val="P68B1DB1-Normal12"/>
              <w:spacing w:after="0" w:line="240" w:lineRule="auto"/>
              <w:rPr>
                <w:rFonts w:eastAsia="Times New Roman"/>
                <w:noProof/>
              </w:rPr>
            </w:pPr>
            <w:r>
              <w:rPr>
                <w:noProof/>
              </w:rPr>
              <w:t>313</w:t>
            </w:r>
          </w:p>
        </w:tc>
        <w:tc>
          <w:tcPr>
            <w:tcW w:w="2298" w:type="dxa"/>
            <w:shd w:val="clear" w:color="auto" w:fill="C6EFCE"/>
            <w:noWrap/>
            <w:hideMark/>
          </w:tcPr>
          <w:p w14:paraId="3DD8FA1F" w14:textId="77777777" w:rsidR="00A00259" w:rsidRDefault="00371282">
            <w:pPr>
              <w:pStyle w:val="P68B1DB1-Normal12"/>
              <w:spacing w:after="0" w:line="240" w:lineRule="auto"/>
              <w:rPr>
                <w:rFonts w:eastAsia="Times New Roman"/>
                <w:noProof/>
              </w:rPr>
            </w:pPr>
            <w:r>
              <w:rPr>
                <w:noProof/>
              </w:rPr>
              <w:t> 17 - 4.6. Moderniser et améliorer la résilience des secteurs économiques clés - 16653_Transformation numérique du secteur agroalimentaire</w:t>
            </w:r>
          </w:p>
        </w:tc>
        <w:tc>
          <w:tcPr>
            <w:tcW w:w="1589" w:type="dxa"/>
            <w:shd w:val="clear" w:color="auto" w:fill="C6EFCE"/>
            <w:noWrap/>
            <w:hideMark/>
          </w:tcPr>
          <w:p w14:paraId="4800517A" w14:textId="77777777" w:rsidR="00A00259" w:rsidRDefault="00371282">
            <w:pPr>
              <w:pStyle w:val="P68B1DB1-Normal12"/>
              <w:spacing w:after="0" w:line="240" w:lineRule="auto"/>
              <w:rPr>
                <w:rFonts w:eastAsia="Times New Roman"/>
                <w:noProof/>
              </w:rPr>
            </w:pPr>
            <w:r>
              <w:rPr>
                <w:noProof/>
              </w:rPr>
              <w:t>Étape</w:t>
            </w:r>
          </w:p>
        </w:tc>
        <w:tc>
          <w:tcPr>
            <w:tcW w:w="1666" w:type="dxa"/>
            <w:shd w:val="clear" w:color="auto" w:fill="C6EFCE"/>
            <w:noWrap/>
            <w:hideMark/>
          </w:tcPr>
          <w:p w14:paraId="4F428378" w14:textId="77777777" w:rsidR="00A00259" w:rsidRDefault="00371282">
            <w:pPr>
              <w:pStyle w:val="P68B1DB1-Normal12"/>
              <w:spacing w:after="0" w:line="240" w:lineRule="auto"/>
              <w:rPr>
                <w:rFonts w:eastAsia="Times New Roman"/>
                <w:noProof/>
              </w:rPr>
            </w:pPr>
            <w:r>
              <w:rPr>
                <w:noProof/>
              </w:rPr>
              <w:t>Mise en œuvre de la transformation numérique des projets du secteur agroalimentaire</w:t>
            </w:r>
          </w:p>
        </w:tc>
        <w:tc>
          <w:tcPr>
            <w:tcW w:w="1704" w:type="dxa"/>
            <w:shd w:val="clear" w:color="auto" w:fill="C6EFCE"/>
            <w:noWrap/>
            <w:hideMark/>
          </w:tcPr>
          <w:p w14:paraId="45BA7DBE" w14:textId="77777777" w:rsidR="00A00259" w:rsidRDefault="00371282">
            <w:pPr>
              <w:pStyle w:val="P68B1DB1-Normal12"/>
              <w:spacing w:after="0" w:line="240" w:lineRule="auto"/>
              <w:rPr>
                <w:rFonts w:eastAsia="Times New Roman"/>
                <w:noProof/>
              </w:rPr>
            </w:pPr>
            <w:r>
              <w:rPr>
                <w:noProof/>
              </w:rPr>
              <w:t>Mise en œuvre 1) de la transformation numérique du secteur agricole et 2) des projets agricoles tournés vers l’extérieur</w:t>
            </w:r>
          </w:p>
        </w:tc>
        <w:tc>
          <w:tcPr>
            <w:tcW w:w="899" w:type="dxa"/>
            <w:shd w:val="clear" w:color="auto" w:fill="C6EFCE"/>
            <w:noWrap/>
            <w:hideMark/>
          </w:tcPr>
          <w:p w14:paraId="1E76B22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hideMark/>
          </w:tcPr>
          <w:p w14:paraId="4A9C2FC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shd w:val="clear" w:color="auto" w:fill="C6EFCE"/>
            <w:noWrap/>
            <w:hideMark/>
          </w:tcPr>
          <w:p w14:paraId="64E1709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hideMark/>
          </w:tcPr>
          <w:p w14:paraId="37A9D48F" w14:textId="77777777" w:rsidR="00A00259" w:rsidRDefault="00371282">
            <w:pPr>
              <w:pStyle w:val="P68B1DB1-Normal12"/>
              <w:spacing w:after="0" w:line="240" w:lineRule="auto"/>
              <w:rPr>
                <w:rFonts w:eastAsia="Times New Roman"/>
                <w:noProof/>
              </w:rPr>
            </w:pPr>
            <w:r>
              <w:rPr>
                <w:noProof/>
              </w:rPr>
              <w:t>T4</w:t>
            </w:r>
          </w:p>
        </w:tc>
        <w:tc>
          <w:tcPr>
            <w:tcW w:w="687" w:type="dxa"/>
            <w:shd w:val="clear" w:color="auto" w:fill="C6EFCE"/>
            <w:noWrap/>
            <w:hideMark/>
          </w:tcPr>
          <w:p w14:paraId="094C3B28" w14:textId="77777777" w:rsidR="00A00259" w:rsidRDefault="00371282">
            <w:pPr>
              <w:pStyle w:val="P68B1DB1-Normal12"/>
              <w:spacing w:after="0" w:line="240" w:lineRule="auto"/>
              <w:rPr>
                <w:rFonts w:eastAsia="Times New Roman"/>
                <w:noProof/>
              </w:rPr>
            </w:pPr>
            <w:r>
              <w:rPr>
                <w:noProof/>
              </w:rPr>
              <w:t>2024 </w:t>
            </w:r>
          </w:p>
        </w:tc>
        <w:tc>
          <w:tcPr>
            <w:tcW w:w="4332" w:type="dxa"/>
            <w:shd w:val="clear" w:color="auto" w:fill="C6EFCE"/>
            <w:noWrap/>
            <w:hideMark/>
          </w:tcPr>
          <w:p w14:paraId="4C8632C4" w14:textId="77777777" w:rsidR="00A00259" w:rsidRDefault="00371282">
            <w:pPr>
              <w:pStyle w:val="P68B1DB1-Normal12"/>
              <w:spacing w:after="0" w:line="240" w:lineRule="auto"/>
              <w:rPr>
                <w:noProof/>
              </w:rPr>
            </w:pPr>
            <w:r>
              <w:rPr>
                <w:noProof/>
              </w:rPr>
              <w:t>Mise en œuvre 1) de la transformation numérique du secteur agricole et 2) des projets agricoles tournés vers l’extérieur.</w:t>
            </w:r>
          </w:p>
        </w:tc>
      </w:tr>
      <w:tr w:rsidR="00A00259" w14:paraId="4A90AF16" w14:textId="77777777">
        <w:trPr>
          <w:trHeight w:val="309"/>
          <w:jc w:val="center"/>
        </w:trPr>
        <w:tc>
          <w:tcPr>
            <w:tcW w:w="786" w:type="dxa"/>
            <w:shd w:val="clear" w:color="auto" w:fill="C6EFCE"/>
            <w:noWrap/>
            <w:hideMark/>
          </w:tcPr>
          <w:p w14:paraId="3330F988" w14:textId="77777777" w:rsidR="00A00259" w:rsidRDefault="00371282">
            <w:pPr>
              <w:pStyle w:val="P68B1DB1-Normal12"/>
              <w:spacing w:line="240" w:lineRule="auto"/>
              <w:rPr>
                <w:noProof/>
              </w:rPr>
            </w:pPr>
            <w:r>
              <w:rPr>
                <w:noProof/>
              </w:rPr>
              <w:t>313a</w:t>
            </w:r>
          </w:p>
        </w:tc>
        <w:tc>
          <w:tcPr>
            <w:tcW w:w="2298" w:type="dxa"/>
            <w:shd w:val="clear" w:color="auto" w:fill="C6EFCE"/>
            <w:noWrap/>
            <w:hideMark/>
          </w:tcPr>
          <w:p w14:paraId="78E1B0B1" w14:textId="77777777" w:rsidR="00A00259" w:rsidRDefault="00371282">
            <w:pPr>
              <w:pStyle w:val="P68B1DB1-Normal12"/>
              <w:spacing w:line="240" w:lineRule="auto"/>
              <w:rPr>
                <w:rFonts w:eastAsia="Times New Roman"/>
                <w:noProof/>
              </w:rPr>
            </w:pPr>
            <w:r>
              <w:rPr>
                <w:noProof/>
              </w:rPr>
              <w:t>17 - 4.6. Moderniser et améliorer la résilience des secteurs économiques clés - 16653_Transformation numérique du secteur agroalimentaire</w:t>
            </w:r>
          </w:p>
        </w:tc>
        <w:tc>
          <w:tcPr>
            <w:tcW w:w="1589" w:type="dxa"/>
            <w:shd w:val="clear" w:color="auto" w:fill="C6EFCE"/>
            <w:noWrap/>
            <w:hideMark/>
          </w:tcPr>
          <w:p w14:paraId="054471C9" w14:textId="77777777" w:rsidR="00A00259" w:rsidRDefault="00371282">
            <w:pPr>
              <w:pStyle w:val="P68B1DB1-Normal12"/>
              <w:spacing w:after="0" w:line="240" w:lineRule="auto"/>
              <w:rPr>
                <w:rFonts w:eastAsia="Times New Roman"/>
                <w:noProof/>
              </w:rPr>
            </w:pPr>
            <w:r>
              <w:rPr>
                <w:noProof/>
              </w:rPr>
              <w:t>Étape</w:t>
            </w:r>
          </w:p>
        </w:tc>
        <w:tc>
          <w:tcPr>
            <w:tcW w:w="1666" w:type="dxa"/>
            <w:shd w:val="clear" w:color="auto" w:fill="C6EFCE"/>
            <w:noWrap/>
            <w:hideMark/>
          </w:tcPr>
          <w:p w14:paraId="2DCDECAF" w14:textId="77777777" w:rsidR="00A00259" w:rsidRDefault="00371282">
            <w:pPr>
              <w:pStyle w:val="P68B1DB1-Normal12"/>
              <w:spacing w:after="0" w:line="240" w:lineRule="auto"/>
              <w:rPr>
                <w:rFonts w:eastAsia="Times New Roman"/>
                <w:noProof/>
              </w:rPr>
            </w:pPr>
            <w:r>
              <w:rPr>
                <w:noProof/>
              </w:rPr>
              <w:t>Mise en œuvre de la transformation numérique des projets du secteur agroalimentaire</w:t>
            </w:r>
          </w:p>
        </w:tc>
        <w:tc>
          <w:tcPr>
            <w:tcW w:w="1704" w:type="dxa"/>
            <w:shd w:val="clear" w:color="auto" w:fill="C6EFCE"/>
            <w:noWrap/>
            <w:hideMark/>
          </w:tcPr>
          <w:p w14:paraId="4FFDC60C" w14:textId="77777777" w:rsidR="00A00259" w:rsidRDefault="00371282">
            <w:pPr>
              <w:pStyle w:val="P68B1DB1-Normal12"/>
              <w:spacing w:line="240" w:lineRule="auto"/>
              <w:rPr>
                <w:noProof/>
              </w:rPr>
            </w:pPr>
            <w:r>
              <w:rPr>
                <w:noProof/>
              </w:rPr>
              <w:t>Réalisation de l'extension du projet de transformation numérique du secteur agricole</w:t>
            </w:r>
          </w:p>
        </w:tc>
        <w:tc>
          <w:tcPr>
            <w:tcW w:w="899" w:type="dxa"/>
            <w:shd w:val="clear" w:color="auto" w:fill="C6EFCE"/>
            <w:noWrap/>
            <w:hideMark/>
          </w:tcPr>
          <w:p w14:paraId="55A39758" w14:textId="77777777" w:rsidR="00A00259" w:rsidRDefault="00A00259">
            <w:pPr>
              <w:spacing w:line="240" w:lineRule="auto"/>
              <w:rPr>
                <w:rFonts w:ascii="Times New Roman" w:eastAsia="Times New Roman" w:hAnsi="Times New Roman" w:cs="Times New Roman"/>
                <w:noProof/>
                <w:color w:val="006100"/>
                <w:sz w:val="18"/>
                <w:szCs w:val="18"/>
              </w:rPr>
            </w:pPr>
          </w:p>
        </w:tc>
        <w:tc>
          <w:tcPr>
            <w:tcW w:w="857" w:type="dxa"/>
            <w:shd w:val="clear" w:color="auto" w:fill="C6EFCE"/>
            <w:noWrap/>
            <w:hideMark/>
          </w:tcPr>
          <w:p w14:paraId="7FF1F4C4" w14:textId="77777777" w:rsidR="00A00259" w:rsidRDefault="00A00259">
            <w:pPr>
              <w:spacing w:line="240" w:lineRule="auto"/>
              <w:rPr>
                <w:rFonts w:ascii="Times New Roman" w:eastAsia="Times New Roman" w:hAnsi="Times New Roman" w:cs="Times New Roman"/>
                <w:noProof/>
                <w:color w:val="006100"/>
                <w:sz w:val="18"/>
                <w:szCs w:val="18"/>
              </w:rPr>
            </w:pPr>
          </w:p>
        </w:tc>
        <w:tc>
          <w:tcPr>
            <w:tcW w:w="587" w:type="dxa"/>
            <w:shd w:val="clear" w:color="auto" w:fill="C6EFCE"/>
            <w:noWrap/>
            <w:hideMark/>
          </w:tcPr>
          <w:p w14:paraId="0047EF54" w14:textId="77777777" w:rsidR="00A00259" w:rsidRDefault="00A00259">
            <w:pPr>
              <w:spacing w:line="240" w:lineRule="auto"/>
              <w:rPr>
                <w:rFonts w:ascii="Times New Roman" w:eastAsia="Times New Roman" w:hAnsi="Times New Roman" w:cs="Times New Roman"/>
                <w:noProof/>
                <w:color w:val="006100"/>
                <w:sz w:val="18"/>
                <w:szCs w:val="18"/>
              </w:rPr>
            </w:pPr>
          </w:p>
        </w:tc>
        <w:tc>
          <w:tcPr>
            <w:tcW w:w="846" w:type="dxa"/>
            <w:shd w:val="clear" w:color="auto" w:fill="C6EFCE"/>
            <w:noWrap/>
            <w:hideMark/>
          </w:tcPr>
          <w:p w14:paraId="62B52130" w14:textId="77777777" w:rsidR="00A00259" w:rsidRDefault="00371282">
            <w:pPr>
              <w:pStyle w:val="P68B1DB1-Normal12"/>
              <w:spacing w:line="240" w:lineRule="auto"/>
              <w:rPr>
                <w:noProof/>
              </w:rPr>
            </w:pPr>
            <w:r>
              <w:rPr>
                <w:noProof/>
              </w:rPr>
              <w:t>T4</w:t>
            </w:r>
          </w:p>
        </w:tc>
        <w:tc>
          <w:tcPr>
            <w:tcW w:w="687" w:type="dxa"/>
            <w:shd w:val="clear" w:color="auto" w:fill="C6EFCE"/>
            <w:noWrap/>
            <w:hideMark/>
          </w:tcPr>
          <w:p w14:paraId="59C706B4" w14:textId="77777777" w:rsidR="00A00259" w:rsidRDefault="00371282">
            <w:pPr>
              <w:pStyle w:val="P68B1DB1-Normal12"/>
              <w:spacing w:line="240" w:lineRule="auto"/>
              <w:rPr>
                <w:noProof/>
              </w:rPr>
            </w:pPr>
            <w:r>
              <w:rPr>
                <w:noProof/>
              </w:rPr>
              <w:t>2025</w:t>
            </w:r>
          </w:p>
        </w:tc>
        <w:tc>
          <w:tcPr>
            <w:tcW w:w="4332" w:type="dxa"/>
            <w:shd w:val="clear" w:color="auto" w:fill="C6EFCE"/>
            <w:noWrap/>
            <w:hideMark/>
          </w:tcPr>
          <w:p w14:paraId="43590E91" w14:textId="77777777" w:rsidR="00A00259" w:rsidRDefault="00371282">
            <w:pPr>
              <w:pStyle w:val="P68B1DB1-Normal12"/>
              <w:spacing w:line="240" w:lineRule="auto"/>
              <w:jc w:val="both"/>
              <w:rPr>
                <w:noProof/>
              </w:rPr>
            </w:pPr>
            <w:r>
              <w:rPr>
                <w:noProof/>
              </w:rPr>
              <w:t>Mise en œuvre de l’extension de la transformation numérique du secteur agricole.</w:t>
            </w:r>
          </w:p>
        </w:tc>
      </w:tr>
      <w:tr w:rsidR="00A00259" w14:paraId="3F62D974" w14:textId="77777777">
        <w:trPr>
          <w:trHeight w:val="309"/>
          <w:jc w:val="center"/>
        </w:trPr>
        <w:tc>
          <w:tcPr>
            <w:tcW w:w="786" w:type="dxa"/>
            <w:shd w:val="clear" w:color="auto" w:fill="C6EFCE"/>
            <w:noWrap/>
            <w:hideMark/>
          </w:tcPr>
          <w:p w14:paraId="2B99B3BD" w14:textId="77777777" w:rsidR="00A00259" w:rsidRDefault="00371282">
            <w:pPr>
              <w:pStyle w:val="P68B1DB1-Normal12"/>
              <w:spacing w:after="0" w:line="240" w:lineRule="auto"/>
              <w:rPr>
                <w:rFonts w:eastAsia="Times New Roman"/>
                <w:noProof/>
              </w:rPr>
            </w:pPr>
            <w:r>
              <w:rPr>
                <w:noProof/>
              </w:rPr>
              <w:t>314</w:t>
            </w:r>
          </w:p>
        </w:tc>
        <w:tc>
          <w:tcPr>
            <w:tcW w:w="2298" w:type="dxa"/>
            <w:shd w:val="clear" w:color="auto" w:fill="C6EFCE"/>
            <w:noWrap/>
            <w:hideMark/>
          </w:tcPr>
          <w:p w14:paraId="42911DD8" w14:textId="77777777" w:rsidR="00A00259" w:rsidRDefault="00371282">
            <w:pPr>
              <w:pStyle w:val="P68B1DB1-Normal12"/>
              <w:spacing w:after="0" w:line="240" w:lineRule="auto"/>
              <w:rPr>
                <w:rFonts w:eastAsia="Times New Roman"/>
                <w:noProof/>
              </w:rPr>
            </w:pPr>
            <w:r>
              <w:rPr>
                <w:noProof/>
              </w:rPr>
              <w:t>17 - 4.6. Moderniser et améliorer la résilience des secteurs économiques clés - 16626_Transformation économique des secteurs de l'agriculture et de l'aquaculture</w:t>
            </w:r>
          </w:p>
        </w:tc>
        <w:tc>
          <w:tcPr>
            <w:tcW w:w="1589" w:type="dxa"/>
            <w:shd w:val="clear" w:color="auto" w:fill="C6EFCE"/>
            <w:noWrap/>
            <w:hideMark/>
          </w:tcPr>
          <w:p w14:paraId="5432CC8C" w14:textId="77777777" w:rsidR="00A00259" w:rsidRDefault="00371282">
            <w:pPr>
              <w:pStyle w:val="P68B1DB1-Normal12"/>
              <w:spacing w:after="0" w:line="240" w:lineRule="auto"/>
              <w:rPr>
                <w:rFonts w:eastAsia="Times New Roman"/>
                <w:noProof/>
              </w:rPr>
            </w:pPr>
            <w:r>
              <w:rPr>
                <w:noProof/>
              </w:rPr>
              <w:t>Étape</w:t>
            </w:r>
          </w:p>
        </w:tc>
        <w:tc>
          <w:tcPr>
            <w:tcW w:w="1666" w:type="dxa"/>
            <w:shd w:val="clear" w:color="auto" w:fill="C6EFCE"/>
            <w:noWrap/>
            <w:hideMark/>
          </w:tcPr>
          <w:p w14:paraId="3BDDF1F9" w14:textId="5D4A66D0" w:rsidR="00A00259" w:rsidRDefault="00371282">
            <w:pPr>
              <w:pStyle w:val="P68B1DB1-Normal12"/>
              <w:spacing w:after="0" w:line="240" w:lineRule="auto"/>
              <w:rPr>
                <w:rFonts w:eastAsia="Times New Roman"/>
                <w:noProof/>
              </w:rPr>
            </w:pPr>
            <w:r>
              <w:rPr>
                <w:noProof/>
              </w:rPr>
              <w:t>Réalisation de la transformation économique des projets agricoles et aquacoles</w:t>
            </w:r>
          </w:p>
        </w:tc>
        <w:tc>
          <w:tcPr>
            <w:tcW w:w="1704" w:type="dxa"/>
            <w:shd w:val="clear" w:color="auto" w:fill="C6EFCE"/>
            <w:noWrap/>
            <w:hideMark/>
          </w:tcPr>
          <w:p w14:paraId="4C98B280" w14:textId="2F5C4344" w:rsidR="00A00259" w:rsidRDefault="00371282">
            <w:pPr>
              <w:pStyle w:val="P68B1DB1-Normal12"/>
              <w:spacing w:after="0" w:line="240" w:lineRule="auto"/>
              <w:rPr>
                <w:rFonts w:eastAsia="Times New Roman"/>
                <w:noProof/>
              </w:rPr>
            </w:pPr>
            <w:r>
              <w:rPr>
                <w:noProof/>
              </w:rPr>
              <w:t>Rapport de certification vérifiant l'exécution du projet</w:t>
            </w:r>
          </w:p>
        </w:tc>
        <w:tc>
          <w:tcPr>
            <w:tcW w:w="899" w:type="dxa"/>
            <w:shd w:val="clear" w:color="auto" w:fill="C6EFCE"/>
            <w:noWrap/>
            <w:hideMark/>
          </w:tcPr>
          <w:p w14:paraId="1904B89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hideMark/>
          </w:tcPr>
          <w:p w14:paraId="65291A8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587" w:type="dxa"/>
            <w:shd w:val="clear" w:color="auto" w:fill="C6EFCE"/>
            <w:noWrap/>
            <w:hideMark/>
          </w:tcPr>
          <w:p w14:paraId="74EC231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hideMark/>
          </w:tcPr>
          <w:p w14:paraId="220BB022" w14:textId="77777777" w:rsidR="00A00259" w:rsidRDefault="00371282">
            <w:pPr>
              <w:pStyle w:val="P68B1DB1-Normal12"/>
              <w:spacing w:after="0" w:line="240" w:lineRule="auto"/>
              <w:rPr>
                <w:rFonts w:eastAsia="Times New Roman"/>
                <w:noProof/>
              </w:rPr>
            </w:pPr>
            <w:r>
              <w:rPr>
                <w:noProof/>
              </w:rPr>
              <w:t>T4</w:t>
            </w:r>
          </w:p>
        </w:tc>
        <w:tc>
          <w:tcPr>
            <w:tcW w:w="687" w:type="dxa"/>
            <w:shd w:val="clear" w:color="auto" w:fill="C6EFCE"/>
            <w:noWrap/>
            <w:hideMark/>
          </w:tcPr>
          <w:p w14:paraId="3570BC6D" w14:textId="77777777" w:rsidR="00A00259" w:rsidRDefault="00371282">
            <w:pPr>
              <w:pStyle w:val="P68B1DB1-Normal12"/>
              <w:spacing w:after="0" w:line="240" w:lineRule="auto"/>
              <w:rPr>
                <w:rFonts w:eastAsia="Times New Roman"/>
                <w:noProof/>
              </w:rPr>
            </w:pPr>
            <w:r>
              <w:rPr>
                <w:noProof/>
              </w:rPr>
              <w:t>2025</w:t>
            </w:r>
          </w:p>
        </w:tc>
        <w:tc>
          <w:tcPr>
            <w:tcW w:w="4332" w:type="dxa"/>
            <w:shd w:val="clear" w:color="auto" w:fill="C6EFCE"/>
            <w:noWrap/>
            <w:hideMark/>
          </w:tcPr>
          <w:p w14:paraId="40F984A7" w14:textId="261DB79A" w:rsidR="00A00259" w:rsidRDefault="00371282">
            <w:pPr>
              <w:pStyle w:val="P68B1DB1-Normal12"/>
              <w:spacing w:before="120" w:after="0" w:line="240" w:lineRule="auto"/>
              <w:jc w:val="both"/>
              <w:rPr>
                <w:noProof/>
              </w:rPr>
            </w:pPr>
            <w:r>
              <w:rPr>
                <w:noProof/>
              </w:rPr>
              <w:t xml:space="preserve">225 projets exécutés </w:t>
            </w:r>
          </w:p>
        </w:tc>
      </w:tr>
    </w:tbl>
    <w:p w14:paraId="4E3D085D" w14:textId="77777777" w:rsidR="00A00259" w:rsidRDefault="00A00259">
      <w:pPr>
        <w:spacing w:before="120" w:after="120" w:line="240" w:lineRule="auto"/>
        <w:ind w:left="709"/>
        <w:jc w:val="both"/>
        <w:rPr>
          <w:rFonts w:ascii="Times New Roman" w:hAnsi="Times New Roman" w:cs="Times New Roman"/>
          <w:noProof/>
          <w:sz w:val="24"/>
          <w:szCs w:val="24"/>
        </w:rPr>
      </w:pPr>
    </w:p>
    <w:p w14:paraId="1676ADBB" w14:textId="77777777" w:rsidR="00A00259" w:rsidRDefault="00A00259">
      <w:pPr>
        <w:spacing w:before="120" w:after="120" w:line="240" w:lineRule="auto"/>
        <w:ind w:left="709"/>
        <w:jc w:val="both"/>
        <w:rPr>
          <w:rFonts w:ascii="Times New Roman" w:hAnsi="Times New Roman" w:cs="Times New Roman"/>
          <w:noProof/>
          <w:sz w:val="24"/>
        </w:rPr>
        <w:sectPr w:rsidR="00A00259">
          <w:headerReference w:type="even" r:id="rId348"/>
          <w:headerReference w:type="default" r:id="rId349"/>
          <w:footerReference w:type="even" r:id="rId350"/>
          <w:footerReference w:type="default" r:id="rId351"/>
          <w:headerReference w:type="first" r:id="rId352"/>
          <w:footerReference w:type="first" r:id="rId353"/>
          <w:pgSz w:w="16839" w:h="11907" w:orient="landscape"/>
          <w:pgMar w:top="1134" w:right="1134" w:bottom="1134" w:left="1134" w:header="567" w:footer="567" w:gutter="0"/>
          <w:cols w:space="720"/>
          <w:docGrid w:linePitch="360"/>
        </w:sectPr>
      </w:pPr>
    </w:p>
    <w:p w14:paraId="61F39F85" w14:textId="77777777" w:rsidR="00A00259" w:rsidRDefault="00371282">
      <w:pPr>
        <w:pStyle w:val="P68B1DB1-Normal17"/>
        <w:spacing w:before="120" w:after="120" w:line="240" w:lineRule="auto"/>
        <w:ind w:firstLine="6"/>
        <w:jc w:val="both"/>
        <w:outlineLvl w:val="3"/>
        <w:rPr>
          <w:rFonts w:cs="Times New Roman"/>
          <w:bCs/>
          <w:noProof/>
        </w:rPr>
      </w:pPr>
      <w:r>
        <w:rPr>
          <w:noProof/>
        </w:rPr>
        <w:t>R. Élément 4.7: AMÉLIORER LA COMPÉTITIVITÉ ET PROMOUVOIR LES INVESTISSEMENTS PRIVÉS ET LES EXPORTATIONS</w:t>
      </w:r>
    </w:p>
    <w:p w14:paraId="5A3BA12F" w14:textId="77777777" w:rsidR="00A00259" w:rsidRDefault="00371282">
      <w:pPr>
        <w:pStyle w:val="P68B1DB1-Normal5"/>
        <w:spacing w:before="120" w:after="120" w:line="240" w:lineRule="auto"/>
        <w:jc w:val="both"/>
        <w:rPr>
          <w:rFonts w:cs="Times New Roman"/>
          <w:noProof/>
        </w:rPr>
      </w:pPr>
      <w:r>
        <w:rPr>
          <w:noProof/>
        </w:rPr>
        <w:t>Ce volet du plan grec pour la reprise et la résilience vise à encourager l’investissement privé et à accroître l’extraversion économique en s’attaquant aux problèmes structurels à long terme et en créant un environnement commercial propice au développement de l’activité économique. Il s'agit de mesures visant à encourager la croissance de la taille des entreprises afin de réaliser des économies d'échelle et de les aider à pénétrer les marchés étrangers, à alléger les charges administratives excessives pesant sur les entreprises, à favoriser la conformité et des conditions de concurrence équitables grâce à une surveillance efficace du marché et à créer un cadre réglementaire plus simple et plus prévisible. Ces mesures sont complétées par la proposition d’utiliser le soutien sous forme de prêts au titre de la facilité pour la reprise et la résilience afin de faciliter la fourniture d’incitations financières au secteur privé, dans le but de promouvoir les investissements privés. Ce soutien sous forme de prêts devrait être acheminé vers l’économie par trois canaux différents, à savoir les établissements financiers (au moyen d’achats d’obligations d’entreprises ou de prêts syndiqués), une plateforme de fonds propres et l’utilisation d’une partie du compartiment national InvestEU de la Grèce. Le volet soutient la mise en œuvre de la recommandation par pays sur les investissements publics et privés (recommandation par pays no 3 2020 et recommandation par pays no 2 2019). 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3CA3692F" w14:textId="77777777" w:rsidR="00A00259" w:rsidRDefault="00371282">
      <w:pPr>
        <w:pStyle w:val="P68B1DB1-Normal6"/>
        <w:spacing w:before="120" w:after="120" w:line="240" w:lineRule="auto"/>
        <w:jc w:val="both"/>
        <w:rPr>
          <w:rFonts w:cs="Times New Roman"/>
          <w:i/>
          <w:noProof/>
          <w:color w:val="4F81BD"/>
        </w:rPr>
      </w:pPr>
      <w:r>
        <w:rPr>
          <w:noProof/>
        </w:rPr>
        <w:t>R.1. Description des réformes et des investissements pour le soutien financier non remboursable</w:t>
      </w:r>
    </w:p>
    <w:p w14:paraId="6406F322"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Actions visant à simplifier l'environnement des entreprises et à améliorer sa qualité et sa sécurité (mesure ID 16543)</w:t>
      </w:r>
    </w:p>
    <w:p w14:paraId="79AA4EFE" w14:textId="01BEBDB3" w:rsidR="00A00259" w:rsidRDefault="00371282">
      <w:pPr>
        <w:pStyle w:val="P68B1DB1-Normal7"/>
        <w:spacing w:before="120" w:after="120" w:line="240" w:lineRule="auto"/>
        <w:jc w:val="both"/>
        <w:rPr>
          <w:noProof/>
        </w:rPr>
      </w:pPr>
      <w:r>
        <w:rPr>
          <w:noProof/>
        </w:rPr>
        <w:t xml:space="preserve">L'objectif de la réforme est de rendre l'environnement des entreprises plus propice à l'investissement, de faciliter l'entrée des entreprises et la création d'emplois, et d'assurer une surveillance efficace du marché. La réforme comprend des interventions réglementaires et administratives visant à simplifier les procédures et les exigences relatives aux activités des entreprises, à faciliter la sécurité réglementaire et à combler les lacunes du cadre de surveillance du marché. </w:t>
      </w:r>
    </w:p>
    <w:p w14:paraId="15A558D7" w14:textId="77777777" w:rsidR="00A00259" w:rsidRDefault="00371282">
      <w:pPr>
        <w:pStyle w:val="P68B1DB1-Normal7"/>
        <w:spacing w:before="120" w:after="120" w:line="240" w:lineRule="auto"/>
        <w:jc w:val="both"/>
        <w:rPr>
          <w:rFonts w:cs="Times New Roman"/>
          <w:noProof/>
        </w:rPr>
      </w:pPr>
      <w:r>
        <w:rPr>
          <w:b/>
          <w:noProof/>
        </w:rPr>
        <w:t>Réforme:</w:t>
      </w:r>
      <w:r>
        <w:rPr>
          <w:noProof/>
        </w:rPr>
        <w:t xml:space="preserve"> Facilité de faire des affaires (mesure ID 16591)</w:t>
      </w:r>
    </w:p>
    <w:p w14:paraId="2B977AF7" w14:textId="77777777" w:rsidR="00A00259" w:rsidRDefault="00371282">
      <w:pPr>
        <w:pStyle w:val="P68B1DB1-Normal5"/>
        <w:spacing w:before="120" w:after="120" w:line="240" w:lineRule="auto"/>
        <w:jc w:val="both"/>
        <w:rPr>
          <w:noProof/>
        </w:rPr>
      </w:pPr>
      <w:r>
        <w:rPr>
          <w:noProof/>
        </w:rPr>
        <w:t>La réforme vise à améliorer l'environnement des entreprises et à alléger la charge administrative et réglementaire qui pèse sur elles. La réforme vise également à améliorer le classement de la Grèce dans les indicateurs internationaux, en particulier Doing Business de la Banque mondiale, à savoir l’obtention de crédits, l’obtention d’électricité, l’enregistrement de biens immobiliers et l’obtention d’un permis de construire, en réduisant les procédures, le temps et les coûts et en garantissant un cadre législatif stable et prévisible. Plus précisément, il comprend une série d'interventions visant à réduire la complexité des processus, le coût et le temps impliqués dans chacun des domaines susmentionnés, ainsi que la formation du personnel du secteur public impliqué dans ces processus et les activités de sensibilisation auprès des principales parties prenantes. La mise en œuvre de la réforme est achevée au plus tard le 30 juin 2024.</w:t>
      </w:r>
    </w:p>
    <w:p w14:paraId="6253AC6E" w14:textId="32DEE22C" w:rsidR="00A00259" w:rsidRDefault="00371282">
      <w:pPr>
        <w:pStyle w:val="P68B1DB1-Normal5"/>
        <w:spacing w:before="120" w:after="120" w:line="240" w:lineRule="auto"/>
        <w:jc w:val="both"/>
        <w:rPr>
          <w:rFonts w:cs="Times New Roman"/>
          <w:noProof/>
        </w:rPr>
      </w:pPr>
      <w:r>
        <w:rPr>
          <w:b/>
          <w:noProof/>
        </w:rPr>
        <w:t>Réforme:</w:t>
      </w:r>
      <w:r>
        <w:rPr>
          <w:noProof/>
        </w:rPr>
        <w:t xml:space="preserve"> Régime d’incitation à la productivité et à l’extraversion des entreprises (augmentation de la taille des entreprises) (mesure ID 16598)</w:t>
      </w:r>
    </w:p>
    <w:p w14:paraId="21CB585A" w14:textId="6D552C6C" w:rsidR="00A00259" w:rsidRDefault="00371282">
      <w:pPr>
        <w:pStyle w:val="P68B1DB1-Normal5"/>
        <w:spacing w:before="120" w:after="120" w:line="240" w:lineRule="auto"/>
        <w:jc w:val="both"/>
        <w:rPr>
          <w:rFonts w:cs="Times New Roman"/>
          <w:noProof/>
        </w:rPr>
      </w:pPr>
      <w:r>
        <w:rPr>
          <w:noProof/>
        </w:rPr>
        <w:t>La réforme vise à remédier aux faiblesses liées à la taille essentiellement réduite des entreprises grecques. Il crée une série d'incitations fiscales et autres pour encourager les travailleurs indépendants et les micro, petites et moyennes entreprises à accroître les économies d'échelle grâce à des fusions, des conversions, des acquisitions et des programmes de coopération et à des plateformes telles que des coentreprises, des grappes d'entreprises qui promeuvent également une productivité accrue et une augmentation des exportations. La mise en œuvre de la réforme est achevée au plus tard le 31 mars 2022.</w:t>
      </w:r>
    </w:p>
    <w:p w14:paraId="11092AA6" w14:textId="77777777" w:rsidR="00A00259" w:rsidRDefault="00A00259">
      <w:pPr>
        <w:spacing w:before="120" w:after="120" w:line="240" w:lineRule="auto"/>
        <w:ind w:left="709"/>
        <w:jc w:val="both"/>
        <w:rPr>
          <w:rFonts w:ascii="Times New Roman" w:hAnsi="Times New Roman" w:cs="Times New Roman"/>
          <w:noProof/>
          <w:sz w:val="24"/>
        </w:rPr>
        <w:sectPr w:rsidR="00A00259">
          <w:headerReference w:type="even" r:id="rId354"/>
          <w:headerReference w:type="default" r:id="rId355"/>
          <w:footerReference w:type="even" r:id="rId356"/>
          <w:footerReference w:type="default" r:id="rId357"/>
          <w:headerReference w:type="first" r:id="rId358"/>
          <w:footerReference w:type="first" r:id="rId359"/>
          <w:pgSz w:w="11907" w:h="16839"/>
          <w:pgMar w:top="1134" w:right="1134" w:bottom="1134" w:left="1134" w:header="567" w:footer="567" w:gutter="0"/>
          <w:cols w:space="720"/>
          <w:docGrid w:linePitch="360"/>
        </w:sectPr>
      </w:pPr>
    </w:p>
    <w:p w14:paraId="27B5CD64" w14:textId="77777777" w:rsidR="00A00259" w:rsidRDefault="00371282">
      <w:pPr>
        <w:pStyle w:val="P68B1DB1-Normal6"/>
        <w:spacing w:before="120" w:after="120" w:line="240" w:lineRule="auto"/>
        <w:jc w:val="both"/>
        <w:rPr>
          <w:rFonts w:cs="Times New Roman"/>
          <w:noProof/>
        </w:rPr>
      </w:pPr>
      <w:r>
        <w:rPr>
          <w:noProof/>
        </w:rPr>
        <w:t>R.2. Étapes, cibles, indicateurs et calendrier pour le suivi et la mise en œuvre du soutien financier non remboursable</w:t>
      </w:r>
    </w:p>
    <w:p w14:paraId="049539D1" w14:textId="77777777" w:rsidR="00A00259" w:rsidRDefault="00371282">
      <w:pPr>
        <w:pStyle w:val="P68B1DB1-Normal9"/>
        <w:keepNext/>
        <w:keepLines/>
        <w:spacing w:before="40" w:after="0" w:line="240" w:lineRule="auto"/>
        <w:jc w:val="both"/>
        <w:outlineLvl w:val="4"/>
        <w:rPr>
          <w:rFonts w:eastAsia="Times New Roman"/>
          <w:noProof/>
          <w:szCs w:val="24"/>
        </w:rPr>
      </w:pPr>
      <w:r>
        <w:rPr>
          <w:noProof/>
        </w:rPr>
        <w:t>Réforme clé 10: Actions pour la simplification de l'environnement des entreprises et son amélioration en termes de qualité et de sécurité - Facilité de faire des affaires</w:t>
      </w:r>
    </w:p>
    <w:tbl>
      <w:tblPr>
        <w:tblW w:w="15567"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684"/>
        <w:gridCol w:w="1680"/>
        <w:gridCol w:w="1107"/>
        <w:gridCol w:w="1592"/>
        <w:gridCol w:w="1766"/>
        <w:gridCol w:w="983"/>
        <w:gridCol w:w="936"/>
        <w:gridCol w:w="846"/>
        <w:gridCol w:w="987"/>
        <w:gridCol w:w="707"/>
        <w:gridCol w:w="4449"/>
      </w:tblGrid>
      <w:tr w:rsidR="00A00259" w14:paraId="006DE12F" w14:textId="77777777">
        <w:trPr>
          <w:trHeight w:val="685"/>
          <w:tblHeader/>
          <w:jc w:val="center"/>
        </w:trPr>
        <w:tc>
          <w:tcPr>
            <w:tcW w:w="684" w:type="dxa"/>
            <w:vMerge w:val="restart"/>
            <w:shd w:val="clear" w:color="auto" w:fill="BDD7EE"/>
            <w:vAlign w:val="center"/>
            <w:hideMark/>
          </w:tcPr>
          <w:p w14:paraId="6BD7BB26"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Seq. Non. </w:t>
            </w:r>
          </w:p>
        </w:tc>
        <w:tc>
          <w:tcPr>
            <w:tcW w:w="1680" w:type="dxa"/>
            <w:vMerge w:val="restart"/>
            <w:shd w:val="clear" w:color="auto" w:fill="BDD7EE"/>
            <w:vAlign w:val="center"/>
            <w:hideMark/>
          </w:tcPr>
          <w:p w14:paraId="4E3391CC"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107" w:type="dxa"/>
            <w:vMerge w:val="restart"/>
            <w:shd w:val="clear" w:color="auto" w:fill="BDD7EE"/>
            <w:vAlign w:val="center"/>
            <w:hideMark/>
          </w:tcPr>
          <w:p w14:paraId="2B6D15A7"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592" w:type="dxa"/>
            <w:vMerge w:val="restart"/>
            <w:shd w:val="clear" w:color="auto" w:fill="BDD7EE"/>
            <w:vAlign w:val="center"/>
            <w:hideMark/>
          </w:tcPr>
          <w:p w14:paraId="12E479A5"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694" w:type="dxa"/>
            <w:vMerge w:val="restart"/>
            <w:shd w:val="clear" w:color="auto" w:fill="BDD7EE"/>
            <w:vAlign w:val="center"/>
            <w:hideMark/>
          </w:tcPr>
          <w:p w14:paraId="621B577A"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2667" w:type="dxa"/>
            <w:gridSpan w:val="3"/>
            <w:shd w:val="clear" w:color="auto" w:fill="BDD7EE"/>
            <w:vAlign w:val="center"/>
            <w:hideMark/>
          </w:tcPr>
          <w:p w14:paraId="4DF7C76D" w14:textId="77777777" w:rsidR="00A00259" w:rsidRDefault="00371282">
            <w:pPr>
              <w:pStyle w:val="P68B1DB1-Normal10"/>
              <w:spacing w:after="0" w:line="240" w:lineRule="auto"/>
              <w:jc w:val="center"/>
              <w:rPr>
                <w:rFonts w:eastAsia="Times New Roman" w:cs="Times New Roman"/>
                <w:bCs/>
                <w:noProof/>
                <w:szCs w:val="18"/>
              </w:rPr>
            </w:pPr>
            <w:r>
              <w:rPr>
                <w:noProof/>
              </w:rPr>
              <w:t>Indicateurs quantitatifs (pour les objectifs)</w:t>
            </w:r>
          </w:p>
        </w:tc>
        <w:tc>
          <w:tcPr>
            <w:tcW w:w="1694" w:type="dxa"/>
            <w:gridSpan w:val="2"/>
            <w:shd w:val="clear" w:color="auto" w:fill="BDD7EE"/>
            <w:vAlign w:val="center"/>
            <w:hideMark/>
          </w:tcPr>
          <w:p w14:paraId="35AA6DDA"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4449" w:type="dxa"/>
            <w:vMerge w:val="restart"/>
            <w:shd w:val="clear" w:color="auto" w:fill="BDD7EE"/>
            <w:vAlign w:val="center"/>
            <w:hideMark/>
          </w:tcPr>
          <w:p w14:paraId="66450216"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1669BD5F" w14:textId="77777777">
        <w:trPr>
          <w:trHeight w:val="458"/>
          <w:tblHeader/>
          <w:jc w:val="center"/>
        </w:trPr>
        <w:tc>
          <w:tcPr>
            <w:tcW w:w="684" w:type="dxa"/>
            <w:vMerge/>
            <w:vAlign w:val="center"/>
            <w:hideMark/>
          </w:tcPr>
          <w:p w14:paraId="12647DBA" w14:textId="77777777" w:rsidR="00A00259" w:rsidRDefault="00A00259">
            <w:pPr>
              <w:spacing w:after="0" w:line="240" w:lineRule="auto"/>
              <w:rPr>
                <w:rFonts w:ascii="Times New Roman" w:eastAsia="Times New Roman" w:hAnsi="Times New Roman" w:cs="Times New Roman"/>
                <w:b/>
                <w:bCs/>
                <w:noProof/>
                <w:sz w:val="18"/>
                <w:szCs w:val="18"/>
              </w:rPr>
            </w:pPr>
          </w:p>
        </w:tc>
        <w:tc>
          <w:tcPr>
            <w:tcW w:w="1680" w:type="dxa"/>
            <w:vMerge/>
            <w:vAlign w:val="center"/>
            <w:hideMark/>
          </w:tcPr>
          <w:p w14:paraId="3437FE25" w14:textId="77777777" w:rsidR="00A00259" w:rsidRDefault="00A00259">
            <w:pPr>
              <w:spacing w:after="0" w:line="240" w:lineRule="auto"/>
              <w:rPr>
                <w:rFonts w:ascii="Times New Roman" w:eastAsia="Times New Roman" w:hAnsi="Times New Roman" w:cs="Times New Roman"/>
                <w:b/>
                <w:bCs/>
                <w:noProof/>
                <w:sz w:val="18"/>
                <w:szCs w:val="18"/>
              </w:rPr>
            </w:pPr>
          </w:p>
        </w:tc>
        <w:tc>
          <w:tcPr>
            <w:tcW w:w="1107" w:type="dxa"/>
            <w:vMerge/>
            <w:vAlign w:val="center"/>
            <w:hideMark/>
          </w:tcPr>
          <w:p w14:paraId="631DB1E9" w14:textId="77777777" w:rsidR="00A00259" w:rsidRDefault="00A00259">
            <w:pPr>
              <w:spacing w:after="0" w:line="240" w:lineRule="auto"/>
              <w:rPr>
                <w:rFonts w:ascii="Times New Roman" w:eastAsia="Times New Roman" w:hAnsi="Times New Roman" w:cs="Times New Roman"/>
                <w:b/>
                <w:bCs/>
                <w:noProof/>
                <w:sz w:val="18"/>
                <w:szCs w:val="18"/>
              </w:rPr>
            </w:pPr>
          </w:p>
        </w:tc>
        <w:tc>
          <w:tcPr>
            <w:tcW w:w="1592" w:type="dxa"/>
            <w:vMerge/>
            <w:vAlign w:val="center"/>
            <w:hideMark/>
          </w:tcPr>
          <w:p w14:paraId="053F1F63" w14:textId="77777777" w:rsidR="00A00259" w:rsidRDefault="00A00259">
            <w:pPr>
              <w:spacing w:after="0" w:line="240" w:lineRule="auto"/>
              <w:rPr>
                <w:rFonts w:ascii="Times New Roman" w:eastAsia="Times New Roman" w:hAnsi="Times New Roman" w:cs="Times New Roman"/>
                <w:b/>
                <w:bCs/>
                <w:noProof/>
                <w:sz w:val="18"/>
                <w:szCs w:val="18"/>
              </w:rPr>
            </w:pPr>
          </w:p>
        </w:tc>
        <w:tc>
          <w:tcPr>
            <w:tcW w:w="1694" w:type="dxa"/>
            <w:vMerge/>
            <w:vAlign w:val="center"/>
            <w:hideMark/>
          </w:tcPr>
          <w:p w14:paraId="61A3CBC4" w14:textId="77777777" w:rsidR="00A00259" w:rsidRDefault="00A00259">
            <w:pPr>
              <w:spacing w:after="0" w:line="240" w:lineRule="auto"/>
              <w:rPr>
                <w:rFonts w:ascii="Times New Roman" w:eastAsia="Times New Roman" w:hAnsi="Times New Roman" w:cs="Times New Roman"/>
                <w:b/>
                <w:bCs/>
                <w:noProof/>
                <w:sz w:val="18"/>
                <w:szCs w:val="18"/>
              </w:rPr>
            </w:pPr>
          </w:p>
        </w:tc>
        <w:tc>
          <w:tcPr>
            <w:tcW w:w="983" w:type="dxa"/>
            <w:shd w:val="clear" w:color="auto" w:fill="BDD7EE"/>
            <w:vAlign w:val="center"/>
            <w:hideMark/>
          </w:tcPr>
          <w:p w14:paraId="63CCFDE2"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857" w:type="dxa"/>
            <w:shd w:val="clear" w:color="auto" w:fill="BDD7EE"/>
            <w:vAlign w:val="center"/>
            <w:hideMark/>
          </w:tcPr>
          <w:p w14:paraId="4A34C595"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827" w:type="dxa"/>
            <w:shd w:val="clear" w:color="auto" w:fill="BDD7EE"/>
            <w:vAlign w:val="center"/>
            <w:hideMark/>
          </w:tcPr>
          <w:p w14:paraId="658CAFFB"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987" w:type="dxa"/>
            <w:shd w:val="clear" w:color="auto" w:fill="BDD7EE"/>
            <w:vAlign w:val="center"/>
            <w:hideMark/>
          </w:tcPr>
          <w:p w14:paraId="61481BA1"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707" w:type="dxa"/>
            <w:shd w:val="clear" w:color="auto" w:fill="BDD7EE"/>
            <w:vAlign w:val="center"/>
            <w:hideMark/>
          </w:tcPr>
          <w:p w14:paraId="2658DB76"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4449" w:type="dxa"/>
            <w:vMerge/>
            <w:vAlign w:val="center"/>
            <w:hideMark/>
          </w:tcPr>
          <w:p w14:paraId="39E80DE4"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2627AEB0" w14:textId="77777777">
        <w:trPr>
          <w:trHeight w:val="309"/>
          <w:jc w:val="center"/>
        </w:trPr>
        <w:tc>
          <w:tcPr>
            <w:tcW w:w="684" w:type="dxa"/>
            <w:shd w:val="clear" w:color="auto" w:fill="C6EFCE"/>
            <w:noWrap/>
          </w:tcPr>
          <w:p w14:paraId="71929B4F" w14:textId="77777777" w:rsidR="00A00259" w:rsidRDefault="00371282">
            <w:pPr>
              <w:pStyle w:val="P68B1DB1-Normal12"/>
              <w:spacing w:after="0" w:line="240" w:lineRule="auto"/>
              <w:rPr>
                <w:rFonts w:eastAsia="Times New Roman"/>
                <w:noProof/>
              </w:rPr>
            </w:pPr>
            <w:r>
              <w:rPr>
                <w:noProof/>
              </w:rPr>
              <w:t>317</w:t>
            </w:r>
          </w:p>
        </w:tc>
        <w:tc>
          <w:tcPr>
            <w:tcW w:w="1680" w:type="dxa"/>
            <w:shd w:val="clear" w:color="auto" w:fill="C6EFCE"/>
            <w:noWrap/>
          </w:tcPr>
          <w:p w14:paraId="205D0F93" w14:textId="77777777" w:rsidR="00A00259" w:rsidRDefault="00371282">
            <w:pPr>
              <w:pStyle w:val="P68B1DB1-Normal12"/>
              <w:spacing w:after="0" w:line="240" w:lineRule="auto"/>
              <w:rPr>
                <w:rFonts w:eastAsia="Times New Roman"/>
                <w:noProof/>
              </w:rPr>
            </w:pPr>
            <w:r>
              <w:rPr>
                <w:noProof/>
              </w:rPr>
              <w:t>18 - 4.7. Améliorer la compétitivité et promouvoir les investissements privés et les exportations - 16543_Actions pour la simplification de l'environnement des entreprises et son amélioration en matière de qualité et de sécurité</w:t>
            </w:r>
          </w:p>
        </w:tc>
        <w:tc>
          <w:tcPr>
            <w:tcW w:w="1107" w:type="dxa"/>
            <w:shd w:val="clear" w:color="auto" w:fill="C6EFCE"/>
            <w:noWrap/>
          </w:tcPr>
          <w:p w14:paraId="2D2B4735" w14:textId="77777777" w:rsidR="00A00259" w:rsidRDefault="00371282">
            <w:pPr>
              <w:pStyle w:val="P68B1DB1-Normal12"/>
              <w:spacing w:after="0" w:line="240" w:lineRule="auto"/>
              <w:rPr>
                <w:rFonts w:eastAsia="Times New Roman"/>
                <w:noProof/>
              </w:rPr>
            </w:pPr>
            <w:r>
              <w:rPr>
                <w:noProof/>
              </w:rPr>
              <w:t>Étape</w:t>
            </w:r>
          </w:p>
        </w:tc>
        <w:tc>
          <w:tcPr>
            <w:tcW w:w="1592" w:type="dxa"/>
            <w:shd w:val="clear" w:color="auto" w:fill="C6EFCE"/>
            <w:noWrap/>
          </w:tcPr>
          <w:p w14:paraId="705776B2" w14:textId="77777777" w:rsidR="00A00259" w:rsidRDefault="00371282">
            <w:pPr>
              <w:pStyle w:val="P68B1DB1-Normal12"/>
              <w:spacing w:after="0" w:line="240" w:lineRule="auto"/>
              <w:rPr>
                <w:rFonts w:eastAsia="Times New Roman"/>
                <w:noProof/>
              </w:rPr>
            </w:pPr>
            <w:r>
              <w:rPr>
                <w:noProof/>
              </w:rPr>
              <w:t xml:space="preserve">Mise en place d'une politique de qualité et d'un nouveau cadre réglementaire pour les infrastructures de qualité </w:t>
            </w:r>
          </w:p>
        </w:tc>
        <w:tc>
          <w:tcPr>
            <w:tcW w:w="1694" w:type="dxa"/>
            <w:shd w:val="clear" w:color="auto" w:fill="C6EFCE"/>
            <w:noWrap/>
          </w:tcPr>
          <w:p w14:paraId="66717E93" w14:textId="77777777" w:rsidR="00A00259" w:rsidRDefault="00371282">
            <w:pPr>
              <w:pStyle w:val="P68B1DB1-Normal12"/>
              <w:spacing w:after="0" w:line="240" w:lineRule="auto"/>
              <w:rPr>
                <w:rFonts w:eastAsia="Times New Roman"/>
                <w:noProof/>
              </w:rPr>
            </w:pPr>
            <w:r>
              <w:rPr>
                <w:noProof/>
              </w:rPr>
              <w:t>Adopter une stratégie nationale sur les infrastructures de qualité en Grèce) et adopter la réglementation habilitante nécessaire en matière de normalisation, de métrologie, d'accréditation et d'évaluation de la conformité au moyen des actes législatifs nécessaires (fournir une référence au Journal officiel); et adopter des modifications législatives de la loi 3325/2005 (partie B concernant l’établissement, l’extension et la modernisation des activités de fabrication dans la région de l’Attique)</w:t>
            </w:r>
          </w:p>
        </w:tc>
        <w:tc>
          <w:tcPr>
            <w:tcW w:w="983" w:type="dxa"/>
            <w:shd w:val="clear" w:color="auto" w:fill="C6EFCE"/>
            <w:noWrap/>
          </w:tcPr>
          <w:p w14:paraId="2B11CD9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650984F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27" w:type="dxa"/>
            <w:shd w:val="clear" w:color="auto" w:fill="C6EFCE"/>
            <w:noWrap/>
          </w:tcPr>
          <w:p w14:paraId="393F6A9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87" w:type="dxa"/>
            <w:shd w:val="clear" w:color="auto" w:fill="C6EFCE"/>
            <w:noWrap/>
          </w:tcPr>
          <w:p w14:paraId="50E857A0" w14:textId="77777777" w:rsidR="00A00259" w:rsidRDefault="00371282">
            <w:pPr>
              <w:pStyle w:val="P68B1DB1-Normal12"/>
              <w:spacing w:after="0" w:line="240" w:lineRule="auto"/>
              <w:rPr>
                <w:rFonts w:eastAsia="Times New Roman"/>
                <w:noProof/>
              </w:rPr>
            </w:pPr>
            <w:r>
              <w:rPr>
                <w:noProof/>
              </w:rPr>
              <w:t>T2</w:t>
            </w:r>
          </w:p>
        </w:tc>
        <w:tc>
          <w:tcPr>
            <w:tcW w:w="707" w:type="dxa"/>
            <w:shd w:val="clear" w:color="auto" w:fill="C6EFCE"/>
            <w:noWrap/>
          </w:tcPr>
          <w:p w14:paraId="7C76873D" w14:textId="77777777" w:rsidR="00A00259" w:rsidRDefault="00371282">
            <w:pPr>
              <w:pStyle w:val="P68B1DB1-Normal12"/>
              <w:spacing w:after="0" w:line="240" w:lineRule="auto"/>
              <w:rPr>
                <w:rFonts w:eastAsia="Times New Roman"/>
                <w:noProof/>
              </w:rPr>
            </w:pPr>
            <w:r>
              <w:rPr>
                <w:noProof/>
              </w:rPr>
              <w:t>2024</w:t>
            </w:r>
          </w:p>
        </w:tc>
        <w:tc>
          <w:tcPr>
            <w:tcW w:w="4449" w:type="dxa"/>
            <w:shd w:val="clear" w:color="auto" w:fill="C6EFCE"/>
            <w:noWrap/>
          </w:tcPr>
          <w:p w14:paraId="6A2F2180" w14:textId="77777777" w:rsidR="00A00259" w:rsidRDefault="00371282">
            <w:pPr>
              <w:pStyle w:val="P68B1DB1-Normal12"/>
              <w:spacing w:after="0" w:line="240" w:lineRule="auto"/>
              <w:rPr>
                <w:rFonts w:eastAsia="Times New Roman"/>
                <w:noProof/>
              </w:rPr>
            </w:pPr>
            <w:r>
              <w:rPr>
                <w:noProof/>
              </w:rPr>
              <w:t>a) Élaborer un cadre réglementaire, organisationnel et opérationnel moderne pour les infrastructures de qualité en Grèce, conformément au règlement (CE) n° 765/2008 concernant l'accréditation des organismes d'évaluation de la conformité; et b) l’entrée en vigueur d’une législation visant à réformer le cadre réglementaire relatif à l’installation d’activités de fabrication dans l’Attique en vue d’éliminer les restrictions excessivement élevées qui ne sont pas proportionnées aux objectifs stratégiques.</w:t>
            </w:r>
          </w:p>
          <w:p w14:paraId="2D250C89" w14:textId="77777777" w:rsidR="00A00259" w:rsidRDefault="00A00259">
            <w:pPr>
              <w:spacing w:after="0" w:line="240" w:lineRule="auto"/>
              <w:rPr>
                <w:rFonts w:ascii="Times New Roman" w:eastAsia="Times New Roman" w:hAnsi="Times New Roman" w:cs="Times New Roman"/>
                <w:noProof/>
                <w:color w:val="006100"/>
                <w:sz w:val="18"/>
                <w:szCs w:val="18"/>
              </w:rPr>
            </w:pPr>
          </w:p>
          <w:p w14:paraId="015E9FDE" w14:textId="77777777" w:rsidR="00A00259" w:rsidRDefault="00371282">
            <w:pPr>
              <w:pStyle w:val="P68B1DB1-Normal12"/>
              <w:spacing w:after="0" w:line="240" w:lineRule="auto"/>
              <w:rPr>
                <w:rFonts w:eastAsia="Times New Roman"/>
                <w:noProof/>
              </w:rPr>
            </w:pPr>
            <w:r>
              <w:rPr>
                <w:noProof/>
              </w:rPr>
              <w:t>Le champ d'application du point b) couvre la création de nouvelles unités industrielles et la modernisation des unités existantes opérant dans l'Attique, ainsi que la relocalisation et l'extension des installations existantes dans l'Attique.</w:t>
            </w:r>
          </w:p>
        </w:tc>
      </w:tr>
      <w:tr w:rsidR="00A00259" w14:paraId="7233B63B" w14:textId="77777777">
        <w:trPr>
          <w:trHeight w:val="309"/>
          <w:jc w:val="center"/>
        </w:trPr>
        <w:tc>
          <w:tcPr>
            <w:tcW w:w="684" w:type="dxa"/>
            <w:shd w:val="clear" w:color="auto" w:fill="C6EFCE"/>
            <w:noWrap/>
          </w:tcPr>
          <w:p w14:paraId="5B6561C4" w14:textId="77777777" w:rsidR="00A00259" w:rsidRDefault="00371282">
            <w:pPr>
              <w:pStyle w:val="P68B1DB1-Normal12"/>
              <w:spacing w:after="0" w:line="240" w:lineRule="auto"/>
              <w:rPr>
                <w:rFonts w:eastAsia="Times New Roman"/>
                <w:noProof/>
              </w:rPr>
            </w:pPr>
            <w:r>
              <w:rPr>
                <w:noProof/>
              </w:rPr>
              <w:t>318</w:t>
            </w:r>
          </w:p>
        </w:tc>
        <w:tc>
          <w:tcPr>
            <w:tcW w:w="1680" w:type="dxa"/>
            <w:shd w:val="clear" w:color="auto" w:fill="C6EFCE"/>
            <w:noWrap/>
          </w:tcPr>
          <w:p w14:paraId="5B647AA6" w14:textId="77777777" w:rsidR="00A00259" w:rsidRDefault="00371282">
            <w:pPr>
              <w:pStyle w:val="P68B1DB1-Normal12"/>
              <w:spacing w:after="0" w:line="240" w:lineRule="auto"/>
              <w:rPr>
                <w:rFonts w:eastAsia="Times New Roman"/>
                <w:noProof/>
              </w:rPr>
            </w:pPr>
            <w:r>
              <w:rPr>
                <w:noProof/>
              </w:rPr>
              <w:t>18 - 4.7. Améliorer la compétitivité et promouvoir les investissements privés et les exportations - 16591_Facilité de faire des affaires</w:t>
            </w:r>
          </w:p>
        </w:tc>
        <w:tc>
          <w:tcPr>
            <w:tcW w:w="1107" w:type="dxa"/>
            <w:shd w:val="clear" w:color="auto" w:fill="C6EFCE"/>
            <w:noWrap/>
          </w:tcPr>
          <w:p w14:paraId="38C21DC1" w14:textId="77777777" w:rsidR="00A00259" w:rsidRDefault="00371282">
            <w:pPr>
              <w:pStyle w:val="P68B1DB1-Normal12"/>
              <w:spacing w:after="0" w:line="240" w:lineRule="auto"/>
              <w:rPr>
                <w:rFonts w:eastAsia="Times New Roman"/>
                <w:noProof/>
              </w:rPr>
            </w:pPr>
            <w:r>
              <w:rPr>
                <w:noProof/>
              </w:rPr>
              <w:t>Étape</w:t>
            </w:r>
          </w:p>
        </w:tc>
        <w:tc>
          <w:tcPr>
            <w:tcW w:w="1592" w:type="dxa"/>
            <w:shd w:val="clear" w:color="auto" w:fill="C6EFCE"/>
            <w:noWrap/>
          </w:tcPr>
          <w:p w14:paraId="09FC3ABA" w14:textId="77777777" w:rsidR="00A00259" w:rsidRDefault="00371282">
            <w:pPr>
              <w:pStyle w:val="P68B1DB1-Normal12"/>
              <w:spacing w:after="0" w:line="240" w:lineRule="auto"/>
              <w:rPr>
                <w:rFonts w:eastAsia="Times New Roman"/>
                <w:noProof/>
              </w:rPr>
            </w:pPr>
            <w:r>
              <w:rPr>
                <w:noProof/>
              </w:rPr>
              <w:t>Amélioration de l’environnement des entreprises – facilité à faire des affaires</w:t>
            </w:r>
          </w:p>
        </w:tc>
        <w:tc>
          <w:tcPr>
            <w:tcW w:w="1694" w:type="dxa"/>
            <w:shd w:val="clear" w:color="auto" w:fill="C6EFCE"/>
            <w:noWrap/>
          </w:tcPr>
          <w:p w14:paraId="2C659B3B" w14:textId="77777777" w:rsidR="00A00259" w:rsidRDefault="00371282">
            <w:pPr>
              <w:pStyle w:val="P68B1DB1-Normal16"/>
              <w:spacing w:after="0" w:line="259" w:lineRule="auto"/>
              <w:rPr>
                <w:noProof/>
                <w:color w:val="006100"/>
              </w:rPr>
            </w:pPr>
            <w:r>
              <w:rPr>
                <w:noProof/>
              </w:rPr>
              <w:t>-</w:t>
            </w:r>
            <w:r>
              <w:rPr>
                <w:noProof/>
                <w:color w:val="006100"/>
              </w:rPr>
              <w:t>Pour les actions nécessitant une législation: Publication de la législation au Journal officiel (référence du Journal officiel)</w:t>
            </w:r>
          </w:p>
          <w:p w14:paraId="5100FFF9" w14:textId="77777777" w:rsidR="00A00259" w:rsidRDefault="00371282">
            <w:pPr>
              <w:pStyle w:val="P68B1DB1-Normal16"/>
              <w:spacing w:after="0" w:line="259" w:lineRule="auto"/>
              <w:rPr>
                <w:noProof/>
                <w:color w:val="006100"/>
              </w:rPr>
            </w:pPr>
            <w:r>
              <w:rPr>
                <w:noProof/>
              </w:rPr>
              <w:t>-</w:t>
            </w:r>
            <w:r>
              <w:rPr>
                <w:noProof/>
                <w:color w:val="006100"/>
              </w:rPr>
              <w:t xml:space="preserve">Pour les fonctions d’interopérabilité, les plateformes et les registres: Mise en œuvre des systèmes (attestée par un rapport) </w:t>
            </w:r>
          </w:p>
          <w:p w14:paraId="2E68CF9F" w14:textId="77777777" w:rsidR="00A00259" w:rsidRDefault="00371282">
            <w:pPr>
              <w:pStyle w:val="P68B1DB1-Normal16"/>
              <w:spacing w:after="0" w:line="259" w:lineRule="auto"/>
              <w:rPr>
                <w:noProof/>
                <w:color w:val="006100"/>
              </w:rPr>
            </w:pPr>
            <w:r>
              <w:rPr>
                <w:noProof/>
              </w:rPr>
              <w:t>-</w:t>
            </w:r>
            <w:r>
              <w:rPr>
                <w:noProof/>
                <w:color w:val="006100"/>
              </w:rPr>
              <w:t>Livraison du matériel pour le matériel (attestée par rapport et preuve d'achat)</w:t>
            </w:r>
          </w:p>
          <w:p w14:paraId="05F1CA47" w14:textId="77777777" w:rsidR="00A00259" w:rsidRDefault="00371282">
            <w:pPr>
              <w:pStyle w:val="P68B1DB1-Normal16"/>
              <w:spacing w:after="0" w:line="240" w:lineRule="auto"/>
              <w:rPr>
                <w:rFonts w:eastAsia="Times New Roman"/>
                <w:noProof/>
                <w:color w:val="006100"/>
              </w:rPr>
            </w:pPr>
            <w:r>
              <w:rPr>
                <w:noProof/>
              </w:rPr>
              <w:t>-</w:t>
            </w:r>
            <w:r>
              <w:rPr>
                <w:noProof/>
                <w:color w:val="006100"/>
              </w:rPr>
              <w:t>Achèvement des campagnes et publication de lignes directrices (attestées par des lignes directrices/circulaires publiées)</w:t>
            </w:r>
            <w:r>
              <w:rPr>
                <w:noProof/>
              </w:rPr>
              <w:t xml:space="preserve"> </w:t>
            </w:r>
          </w:p>
        </w:tc>
        <w:tc>
          <w:tcPr>
            <w:tcW w:w="983" w:type="dxa"/>
            <w:shd w:val="clear" w:color="auto" w:fill="C6EFCE"/>
            <w:noWrap/>
          </w:tcPr>
          <w:p w14:paraId="27E9AC2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A7E545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27" w:type="dxa"/>
            <w:shd w:val="clear" w:color="auto" w:fill="C6EFCE"/>
            <w:noWrap/>
          </w:tcPr>
          <w:p w14:paraId="6B77922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87" w:type="dxa"/>
            <w:shd w:val="clear" w:color="auto" w:fill="C6EFCE"/>
            <w:noWrap/>
          </w:tcPr>
          <w:p w14:paraId="652FEE76" w14:textId="77777777" w:rsidR="00A00259" w:rsidRDefault="00371282">
            <w:pPr>
              <w:pStyle w:val="P68B1DB1-Normal12"/>
              <w:spacing w:after="0" w:line="240" w:lineRule="auto"/>
              <w:rPr>
                <w:rFonts w:eastAsia="Times New Roman"/>
                <w:noProof/>
              </w:rPr>
            </w:pPr>
            <w:r>
              <w:rPr>
                <w:noProof/>
              </w:rPr>
              <w:t>T2</w:t>
            </w:r>
          </w:p>
        </w:tc>
        <w:tc>
          <w:tcPr>
            <w:tcW w:w="707" w:type="dxa"/>
            <w:shd w:val="clear" w:color="auto" w:fill="C6EFCE"/>
            <w:noWrap/>
          </w:tcPr>
          <w:p w14:paraId="7ADC1987" w14:textId="77777777" w:rsidR="00A00259" w:rsidRDefault="00371282">
            <w:pPr>
              <w:pStyle w:val="P68B1DB1-Normal12"/>
              <w:spacing w:after="0" w:line="240" w:lineRule="auto"/>
              <w:rPr>
                <w:rFonts w:eastAsia="Times New Roman"/>
                <w:noProof/>
              </w:rPr>
            </w:pPr>
            <w:r>
              <w:rPr>
                <w:noProof/>
              </w:rPr>
              <w:t>2024</w:t>
            </w:r>
          </w:p>
        </w:tc>
        <w:tc>
          <w:tcPr>
            <w:tcW w:w="4449" w:type="dxa"/>
            <w:shd w:val="clear" w:color="auto" w:fill="C6EFCE"/>
            <w:noWrap/>
          </w:tcPr>
          <w:p w14:paraId="68CC4920" w14:textId="77777777" w:rsidR="00A00259" w:rsidRDefault="00371282">
            <w:pPr>
              <w:pStyle w:val="P68B1DB1-Normal12"/>
              <w:spacing w:after="0" w:line="240" w:lineRule="auto"/>
              <w:rPr>
                <w:rFonts w:eastAsia="Times New Roman"/>
                <w:noProof/>
              </w:rPr>
            </w:pPr>
            <w:r>
              <w:rPr>
                <w:noProof/>
              </w:rPr>
              <w:t>Achever la réforme afin de réduire la complexité des procédures, les délais et les coûts dans quatre sous-domaines: l'obtention d'un crédit, l'obtention d'une connexion électrique, l'enregistrement d'une propriété et l'obtention d'un permis de construction</w:t>
            </w:r>
          </w:p>
          <w:p w14:paraId="001E3ED9" w14:textId="77777777" w:rsidR="00A00259" w:rsidRDefault="00371282">
            <w:pPr>
              <w:pStyle w:val="P68B1DB1-Normal12"/>
              <w:spacing w:after="0" w:line="240" w:lineRule="auto"/>
              <w:rPr>
                <w:rFonts w:eastAsia="Times New Roman"/>
                <w:noProof/>
              </w:rPr>
            </w:pPr>
            <w:r>
              <w:rPr>
                <w:noProof/>
              </w:rPr>
              <w:t>Plus précisément, la réforme comprendra les sous-projets et actions suivants:</w:t>
            </w:r>
          </w:p>
          <w:p w14:paraId="235DC5BA" w14:textId="77777777" w:rsidR="00A00259" w:rsidRDefault="00371282">
            <w:pPr>
              <w:pStyle w:val="P68B1DB1-Normal12"/>
              <w:spacing w:after="0" w:line="240" w:lineRule="auto"/>
              <w:rPr>
                <w:rFonts w:eastAsia="Times New Roman"/>
                <w:noProof/>
              </w:rPr>
            </w:pPr>
            <w:r>
              <w:rPr>
                <w:noProof/>
              </w:rPr>
              <w:t>1. Obtenir du crédit</w:t>
            </w:r>
          </w:p>
          <w:p w14:paraId="5F774191" w14:textId="77777777" w:rsidR="00A00259" w:rsidRDefault="00371282">
            <w:pPr>
              <w:pStyle w:val="P68B1DB1-Normal12"/>
              <w:spacing w:after="0" w:line="240" w:lineRule="auto"/>
              <w:rPr>
                <w:rFonts w:eastAsia="Times New Roman"/>
                <w:noProof/>
              </w:rPr>
            </w:pPr>
            <w:r>
              <w:rPr>
                <w:noProof/>
              </w:rPr>
              <w:t>- Établir un cadre réglementaire moderne et fiable pour les valeurs mobilières</w:t>
            </w:r>
          </w:p>
          <w:p w14:paraId="7D1B4D76" w14:textId="77777777" w:rsidR="00A00259" w:rsidRDefault="00371282">
            <w:pPr>
              <w:pStyle w:val="P68B1DB1-Normal12"/>
              <w:spacing w:after="0" w:line="240" w:lineRule="auto"/>
              <w:rPr>
                <w:rFonts w:eastAsia="Times New Roman"/>
                <w:noProof/>
              </w:rPr>
            </w:pPr>
            <w:r>
              <w:rPr>
                <w:noProof/>
              </w:rPr>
              <w:t>- Établir un registre des transactions sécurisées</w:t>
            </w:r>
          </w:p>
          <w:p w14:paraId="1B779664" w14:textId="77777777" w:rsidR="00A00259" w:rsidRDefault="00371282">
            <w:pPr>
              <w:pStyle w:val="P68B1DB1-Normal12"/>
              <w:spacing w:after="0" w:line="240" w:lineRule="auto"/>
              <w:rPr>
                <w:rFonts w:eastAsia="Times New Roman"/>
                <w:noProof/>
              </w:rPr>
            </w:pPr>
            <w:r>
              <w:rPr>
                <w:noProof/>
              </w:rPr>
              <w:t>2. Obtenir un permis de construction</w:t>
            </w:r>
          </w:p>
          <w:p w14:paraId="55D12ACE" w14:textId="77777777" w:rsidR="00A00259" w:rsidRDefault="00371282">
            <w:pPr>
              <w:pStyle w:val="P68B1DB1-Normal12"/>
              <w:spacing w:after="0" w:line="240" w:lineRule="auto"/>
              <w:rPr>
                <w:rFonts w:eastAsia="Times New Roman"/>
                <w:noProof/>
              </w:rPr>
            </w:pPr>
            <w:r>
              <w:rPr>
                <w:noProof/>
              </w:rPr>
              <w:t>- Assurer l'interopérabilité opérationnelle entre le système e-adeies pour les permis de construire et d'autres systèmes publics</w:t>
            </w:r>
          </w:p>
          <w:p w14:paraId="54640EAE" w14:textId="77777777" w:rsidR="00A00259" w:rsidRDefault="00371282">
            <w:pPr>
              <w:pStyle w:val="P68B1DB1-Normal12"/>
              <w:spacing w:after="0" w:line="240" w:lineRule="auto"/>
              <w:rPr>
                <w:rFonts w:eastAsia="Times New Roman"/>
                <w:noProof/>
              </w:rPr>
            </w:pPr>
            <w:r>
              <w:rPr>
                <w:noProof/>
              </w:rPr>
              <w:t>- Mettre en œuvre des campagnes de sensibilisation auprès des parties prenantes du secteur privé</w:t>
            </w:r>
          </w:p>
          <w:p w14:paraId="1D940DFE" w14:textId="77777777" w:rsidR="00A00259" w:rsidRDefault="00371282">
            <w:pPr>
              <w:pStyle w:val="P68B1DB1-Normal12"/>
              <w:spacing w:after="0" w:line="240" w:lineRule="auto"/>
              <w:rPr>
                <w:rFonts w:eastAsia="Times New Roman"/>
                <w:noProof/>
              </w:rPr>
            </w:pPr>
            <w:r>
              <w:rPr>
                <w:noProof/>
              </w:rPr>
              <w:t xml:space="preserve">- Équipement et formation du personnel </w:t>
            </w:r>
          </w:p>
          <w:p w14:paraId="53E98883" w14:textId="77777777" w:rsidR="00A00259" w:rsidRDefault="00371282">
            <w:pPr>
              <w:pStyle w:val="P68B1DB1-Normal12"/>
              <w:spacing w:after="0" w:line="240" w:lineRule="auto"/>
              <w:rPr>
                <w:rFonts w:eastAsia="Times New Roman"/>
                <w:noProof/>
              </w:rPr>
            </w:pPr>
            <w:r>
              <w:rPr>
                <w:noProof/>
              </w:rPr>
              <w:t>- Lignes directrices mises à disposition en ligne</w:t>
            </w:r>
          </w:p>
          <w:p w14:paraId="4126EF1E" w14:textId="77777777" w:rsidR="00A00259" w:rsidRDefault="00371282">
            <w:pPr>
              <w:pStyle w:val="P68B1DB1-Normal12"/>
              <w:spacing w:after="0" w:line="240" w:lineRule="auto"/>
              <w:rPr>
                <w:rFonts w:eastAsia="Times New Roman"/>
                <w:noProof/>
              </w:rPr>
            </w:pPr>
            <w:r>
              <w:rPr>
                <w:noProof/>
              </w:rPr>
              <w:t>- Tarifs disponibles en ligne</w:t>
            </w:r>
          </w:p>
          <w:p w14:paraId="0DB03076" w14:textId="77777777" w:rsidR="00A00259" w:rsidRDefault="00371282">
            <w:pPr>
              <w:pStyle w:val="P68B1DB1-Normal12"/>
              <w:spacing w:after="0" w:line="240" w:lineRule="auto"/>
              <w:rPr>
                <w:rFonts w:eastAsia="Times New Roman"/>
                <w:noProof/>
              </w:rPr>
            </w:pPr>
            <w:r>
              <w:rPr>
                <w:noProof/>
              </w:rPr>
              <w:t>- Fonctions d'inspection numérique instaurées pour le service d'incendie</w:t>
            </w:r>
          </w:p>
          <w:p w14:paraId="3B3FDB2F" w14:textId="77777777" w:rsidR="00A00259" w:rsidRDefault="00371282">
            <w:pPr>
              <w:pStyle w:val="P68B1DB1-Normal12"/>
              <w:spacing w:after="0" w:line="240" w:lineRule="auto"/>
              <w:rPr>
                <w:rFonts w:eastAsia="Times New Roman"/>
                <w:noProof/>
              </w:rPr>
            </w:pPr>
            <w:r>
              <w:rPr>
                <w:noProof/>
              </w:rPr>
              <w:t>3. Raccordement à l'électricité</w:t>
            </w:r>
          </w:p>
          <w:p w14:paraId="1BC87C62" w14:textId="77777777" w:rsidR="00A00259" w:rsidRDefault="00371282">
            <w:pPr>
              <w:pStyle w:val="P68B1DB1-Normal12"/>
              <w:spacing w:after="0" w:line="240" w:lineRule="auto"/>
              <w:rPr>
                <w:rFonts w:eastAsia="Times New Roman"/>
                <w:noProof/>
              </w:rPr>
            </w:pPr>
            <w:r>
              <w:rPr>
                <w:noProof/>
              </w:rPr>
              <w:t>- Simplifier/réduire les exigences d'application à HEDNO et unifier le système de déclaration des mètres carrés aux municipalités</w:t>
            </w:r>
          </w:p>
          <w:p w14:paraId="75587B10" w14:textId="77777777" w:rsidR="00A00259" w:rsidRDefault="00371282">
            <w:pPr>
              <w:pStyle w:val="P68B1DB1-Normal12"/>
              <w:spacing w:after="0" w:line="240" w:lineRule="auto"/>
              <w:rPr>
                <w:rFonts w:eastAsia="Times New Roman"/>
                <w:noProof/>
              </w:rPr>
            </w:pPr>
            <w:r>
              <w:rPr>
                <w:noProof/>
              </w:rPr>
              <w:t>4. Enregistrement des biens</w:t>
            </w:r>
          </w:p>
          <w:p w14:paraId="5E760F3E" w14:textId="77777777" w:rsidR="00A00259" w:rsidRDefault="00371282">
            <w:pPr>
              <w:pStyle w:val="P68B1DB1-Normal12"/>
              <w:spacing w:after="0" w:line="240" w:lineRule="auto"/>
              <w:rPr>
                <w:rFonts w:eastAsia="Times New Roman"/>
                <w:noProof/>
              </w:rPr>
            </w:pPr>
            <w:r>
              <w:rPr>
                <w:noProof/>
              </w:rPr>
              <w:t>- Créer une plate-forme électronique permettant aux acheteurs de remplir toutes les exigences de transfert de propriété en ligne</w:t>
            </w:r>
          </w:p>
        </w:tc>
      </w:tr>
      <w:tr w:rsidR="00A00259" w14:paraId="7282A516" w14:textId="77777777">
        <w:trPr>
          <w:trHeight w:val="309"/>
          <w:jc w:val="center"/>
        </w:trPr>
        <w:tc>
          <w:tcPr>
            <w:tcW w:w="684" w:type="dxa"/>
            <w:shd w:val="clear" w:color="auto" w:fill="C6EFCE"/>
            <w:noWrap/>
          </w:tcPr>
          <w:p w14:paraId="44E2E72D" w14:textId="77777777" w:rsidR="00A00259" w:rsidRDefault="00371282">
            <w:pPr>
              <w:pStyle w:val="P68B1DB1-Normal12"/>
              <w:spacing w:after="0" w:line="240" w:lineRule="auto"/>
              <w:rPr>
                <w:rFonts w:eastAsia="Times New Roman"/>
                <w:noProof/>
              </w:rPr>
            </w:pPr>
            <w:r>
              <w:rPr>
                <w:noProof/>
              </w:rPr>
              <w:t>319</w:t>
            </w:r>
          </w:p>
        </w:tc>
        <w:tc>
          <w:tcPr>
            <w:tcW w:w="1680" w:type="dxa"/>
            <w:shd w:val="clear" w:color="auto" w:fill="C6EFCE"/>
            <w:noWrap/>
          </w:tcPr>
          <w:p w14:paraId="4FCB78FF" w14:textId="77777777" w:rsidR="00A00259" w:rsidRDefault="00371282">
            <w:pPr>
              <w:pStyle w:val="P68B1DB1-Normal12"/>
              <w:spacing w:after="0" w:line="240" w:lineRule="auto"/>
              <w:rPr>
                <w:rFonts w:eastAsia="Times New Roman"/>
                <w:noProof/>
              </w:rPr>
            </w:pPr>
            <w:r>
              <w:rPr>
                <w:noProof/>
              </w:rPr>
              <w:t>18 - 4.7. Améliorer la compétitivité et promouvoir les investissements privés et les exportations - 16543_Actions pour la simplification de l'environnement des entreprises et son amélioration en matière de qualité et de sécurité</w:t>
            </w:r>
          </w:p>
        </w:tc>
        <w:tc>
          <w:tcPr>
            <w:tcW w:w="1107" w:type="dxa"/>
            <w:shd w:val="clear" w:color="auto" w:fill="C6EFCE"/>
            <w:noWrap/>
          </w:tcPr>
          <w:p w14:paraId="4BEDABB2" w14:textId="77777777" w:rsidR="00A00259" w:rsidRDefault="00371282">
            <w:pPr>
              <w:pStyle w:val="P68B1DB1-Normal12"/>
              <w:spacing w:after="0" w:line="240" w:lineRule="auto"/>
              <w:rPr>
                <w:rFonts w:eastAsia="Times New Roman"/>
                <w:noProof/>
              </w:rPr>
            </w:pPr>
            <w:r>
              <w:rPr>
                <w:noProof/>
              </w:rPr>
              <w:t>Étape</w:t>
            </w:r>
          </w:p>
        </w:tc>
        <w:tc>
          <w:tcPr>
            <w:tcW w:w="1592" w:type="dxa"/>
            <w:shd w:val="clear" w:color="auto" w:fill="C6EFCE"/>
            <w:noWrap/>
          </w:tcPr>
          <w:p w14:paraId="77E0BC6E" w14:textId="77777777" w:rsidR="00A00259" w:rsidRDefault="00371282">
            <w:pPr>
              <w:pStyle w:val="P68B1DB1-Normal12"/>
              <w:spacing w:after="0" w:line="240" w:lineRule="auto"/>
              <w:rPr>
                <w:rFonts w:eastAsia="Times New Roman"/>
                <w:noProof/>
              </w:rPr>
            </w:pPr>
            <w:r>
              <w:rPr>
                <w:noProof/>
              </w:rPr>
              <w:t>Environnement des entreprises – simplification des licences et surveillance du marché</w:t>
            </w:r>
          </w:p>
        </w:tc>
        <w:tc>
          <w:tcPr>
            <w:tcW w:w="1694" w:type="dxa"/>
            <w:shd w:val="clear" w:color="auto" w:fill="C6EFCE"/>
            <w:noWrap/>
          </w:tcPr>
          <w:p w14:paraId="03A9AFF7" w14:textId="76DE1657" w:rsidR="00A00259" w:rsidRDefault="00371282">
            <w:pPr>
              <w:pStyle w:val="P68B1DB1-Normal12"/>
              <w:spacing w:after="0" w:line="240" w:lineRule="auto"/>
              <w:rPr>
                <w:rFonts w:eastAsia="Times New Roman"/>
                <w:noProof/>
              </w:rPr>
            </w:pPr>
            <w:r>
              <w:rPr>
                <w:noProof/>
              </w:rPr>
              <w:t xml:space="preserve">Entrée en vigueur des actes juridiques et mise en œuvre des actions administratives dans le cadre des réformes </w:t>
            </w:r>
          </w:p>
        </w:tc>
        <w:tc>
          <w:tcPr>
            <w:tcW w:w="983" w:type="dxa"/>
            <w:shd w:val="clear" w:color="auto" w:fill="C6EFCE"/>
            <w:noWrap/>
          </w:tcPr>
          <w:p w14:paraId="1FD04EB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15681D2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27" w:type="dxa"/>
            <w:shd w:val="clear" w:color="auto" w:fill="C6EFCE"/>
            <w:noWrap/>
          </w:tcPr>
          <w:p w14:paraId="5633C2E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87" w:type="dxa"/>
            <w:shd w:val="clear" w:color="auto" w:fill="C6EFCE"/>
            <w:noWrap/>
          </w:tcPr>
          <w:p w14:paraId="1AC9E2CE" w14:textId="77777777" w:rsidR="00A00259" w:rsidRDefault="00371282">
            <w:pPr>
              <w:pStyle w:val="P68B1DB1-Normal12"/>
              <w:spacing w:after="0" w:line="240" w:lineRule="auto"/>
              <w:rPr>
                <w:rFonts w:eastAsia="Times New Roman"/>
                <w:noProof/>
              </w:rPr>
            </w:pPr>
            <w:r>
              <w:rPr>
                <w:noProof/>
              </w:rPr>
              <w:t>T4</w:t>
            </w:r>
          </w:p>
        </w:tc>
        <w:tc>
          <w:tcPr>
            <w:tcW w:w="707" w:type="dxa"/>
            <w:shd w:val="clear" w:color="auto" w:fill="C6EFCE"/>
            <w:noWrap/>
          </w:tcPr>
          <w:p w14:paraId="4E0EB11B" w14:textId="77777777" w:rsidR="00A00259" w:rsidRDefault="00371282">
            <w:pPr>
              <w:pStyle w:val="P68B1DB1-Normal12"/>
              <w:spacing w:after="0" w:line="240" w:lineRule="auto"/>
              <w:rPr>
                <w:rFonts w:eastAsia="Times New Roman"/>
                <w:noProof/>
              </w:rPr>
            </w:pPr>
            <w:r>
              <w:rPr>
                <w:noProof/>
              </w:rPr>
              <w:t>2025</w:t>
            </w:r>
          </w:p>
        </w:tc>
        <w:tc>
          <w:tcPr>
            <w:tcW w:w="4449" w:type="dxa"/>
            <w:shd w:val="clear" w:color="auto" w:fill="C6EFCE"/>
            <w:noWrap/>
          </w:tcPr>
          <w:p w14:paraId="24AD4276" w14:textId="77777777" w:rsidR="00A00259" w:rsidRDefault="00371282">
            <w:pPr>
              <w:pStyle w:val="P68B1DB1-Normal12"/>
              <w:spacing w:after="0" w:line="240" w:lineRule="auto"/>
              <w:rPr>
                <w:rFonts w:eastAsia="Times New Roman"/>
                <w:noProof/>
              </w:rPr>
            </w:pPr>
            <w:r>
              <w:rPr>
                <w:noProof/>
              </w:rPr>
              <w:t>- intégrer dans le système numérique d’octroi de licences pour les activités économiques les nouvelles fonctionnalités recommandées par l’analyse d’impact ex post de la réforme de l’octroi de licences qui a eu lieu,</w:t>
            </w:r>
          </w:p>
          <w:p w14:paraId="25DB60B1" w14:textId="77777777" w:rsidR="00A00259" w:rsidRDefault="00371282">
            <w:pPr>
              <w:pStyle w:val="P68B1DB1-Normal12"/>
              <w:spacing w:after="0" w:line="259" w:lineRule="auto"/>
              <w:ind w:left="12"/>
              <w:contextualSpacing/>
              <w:rPr>
                <w:rFonts w:eastAsia="Times New Roman"/>
                <w:noProof/>
              </w:rPr>
            </w:pPr>
            <w:r>
              <w:rPr>
                <w:noProof/>
              </w:rPr>
              <w:t xml:space="preserve">- Entrée en vigueur de la loi 4442/16 modifiée pour inclure les procédures d’octroi de licences pour les nouvelles activités économiques (cantines, salles internet, organisation de conventions et de salons professionnels, activités de garde d’enfants, structures de logement social pour les personnes âgées et les personnes handicapées, spas et centres de massage non thérapeutiques, unités de bronzage artificiel et stockage de bateaux dans des zones terrestres), conformément aux principes des lois 4442/2016 et 4512/2018, </w:t>
            </w:r>
          </w:p>
          <w:p w14:paraId="6C192623" w14:textId="77777777" w:rsidR="00A00259" w:rsidRDefault="00371282">
            <w:pPr>
              <w:pStyle w:val="P68B1DB1-Normal12"/>
              <w:spacing w:after="0" w:line="240" w:lineRule="auto"/>
              <w:rPr>
                <w:rFonts w:eastAsia="Times New Roman"/>
                <w:noProof/>
              </w:rPr>
            </w:pPr>
            <w:r>
              <w:rPr>
                <w:noProof/>
              </w:rPr>
              <w:t>- Publication de la codification administrative (</w:t>
            </w:r>
            <w:r>
              <w:rPr>
                <w:i/>
                <w:noProof/>
              </w:rPr>
              <w:t>διοικητική κωδικοποίηση</w:t>
            </w:r>
            <w:r>
              <w:rPr>
                <w:noProof/>
              </w:rPr>
              <w:t xml:space="preserve">) des lois 3325/2005, 3982/2011, 4302/2014 et 4442/2016, </w:t>
            </w:r>
          </w:p>
          <w:p w14:paraId="1BD903A1" w14:textId="77777777" w:rsidR="00A00259" w:rsidRDefault="00371282">
            <w:pPr>
              <w:pStyle w:val="P68B1DB1-Normal12"/>
              <w:spacing w:after="0" w:line="240" w:lineRule="auto"/>
              <w:rPr>
                <w:rFonts w:eastAsia="Times New Roman"/>
                <w:noProof/>
              </w:rPr>
            </w:pPr>
            <w:r>
              <w:rPr>
                <w:noProof/>
              </w:rPr>
              <w:t xml:space="preserve">- la publication d’une stratégie nationale de surveillance du marché des produits visée dans le règlement (UE) 2019/1020, et </w:t>
            </w:r>
          </w:p>
          <w:p w14:paraId="4205C5D0" w14:textId="64CFAFBB" w:rsidR="00A00259" w:rsidRDefault="00371282">
            <w:pPr>
              <w:pStyle w:val="P68B1DB1-Normal12"/>
              <w:spacing w:after="0" w:line="240" w:lineRule="auto"/>
              <w:rPr>
                <w:rFonts w:eastAsia="Times New Roman"/>
                <w:noProof/>
              </w:rPr>
            </w:pPr>
            <w:r>
              <w:rPr>
                <w:noProof/>
              </w:rPr>
              <w:t>- l'entrée en application du nouveau système de surveillance des activités économiques prévu par la législation 4512/18, par l'entrée en vigueur d'actes juridiques pour les domaines d'inspection de la protection des consommateurs, de la santé publique, de la santé et de la sécurité au travail et de la sécurité des infrastructures; et pour la mise en vigueur d’un système d’évaluation des autorités d’inspection dans les domaines de la protection des consommateurs, de la santé publique, de la santé et de la sécurité au travail, de la sécurité des infrastructures, de la sécurité alimentaire, de la protection de l’environnement et de la sécurité des produits.</w:t>
            </w:r>
          </w:p>
        </w:tc>
      </w:tr>
    </w:tbl>
    <w:p w14:paraId="190425BF" w14:textId="77777777" w:rsidR="00A00259" w:rsidRDefault="00A00259">
      <w:pPr>
        <w:spacing w:before="120" w:after="120" w:line="240" w:lineRule="auto"/>
        <w:ind w:left="709"/>
        <w:jc w:val="both"/>
        <w:rPr>
          <w:rFonts w:ascii="Times New Roman" w:hAnsi="Times New Roman" w:cs="Times New Roman"/>
          <w:noProof/>
          <w:sz w:val="24"/>
          <w:szCs w:val="24"/>
        </w:rPr>
      </w:pPr>
    </w:p>
    <w:p w14:paraId="4F28C177" w14:textId="77777777" w:rsidR="00A00259" w:rsidRDefault="00A00259">
      <w:pPr>
        <w:spacing w:before="120" w:after="120" w:line="240" w:lineRule="auto"/>
        <w:ind w:left="709"/>
        <w:jc w:val="both"/>
        <w:rPr>
          <w:rFonts w:ascii="Times New Roman" w:hAnsi="Times New Roman" w:cs="Times New Roman"/>
          <w:noProof/>
          <w:sz w:val="24"/>
        </w:rPr>
        <w:sectPr w:rsidR="00A00259">
          <w:headerReference w:type="even" r:id="rId360"/>
          <w:headerReference w:type="default" r:id="rId361"/>
          <w:footerReference w:type="even" r:id="rId362"/>
          <w:footerReference w:type="default" r:id="rId363"/>
          <w:headerReference w:type="first" r:id="rId364"/>
          <w:footerReference w:type="first" r:id="rId365"/>
          <w:pgSz w:w="16839" w:h="11907" w:orient="landscape"/>
          <w:pgMar w:top="1134" w:right="1134" w:bottom="1134" w:left="1134" w:header="567" w:footer="567" w:gutter="0"/>
          <w:cols w:space="720"/>
          <w:docGrid w:linePitch="360"/>
        </w:sectPr>
      </w:pPr>
    </w:p>
    <w:p w14:paraId="6992CB18" w14:textId="77777777" w:rsidR="00A00259" w:rsidRDefault="00371282">
      <w:pPr>
        <w:pStyle w:val="P68B1DB1-Normal6"/>
        <w:spacing w:before="120" w:after="120" w:line="240" w:lineRule="auto"/>
        <w:jc w:val="both"/>
        <w:rPr>
          <w:rFonts w:cs="Times New Roman"/>
          <w:bCs/>
          <w:i/>
          <w:iCs/>
          <w:noProof/>
          <w:color w:val="4F81BD"/>
        </w:rPr>
      </w:pPr>
      <w:r>
        <w:rPr>
          <w:noProof/>
        </w:rPr>
        <w:t xml:space="preserve">R.3. Description des réformes et des investissements pour le prêt </w:t>
      </w:r>
    </w:p>
    <w:p w14:paraId="3F8641E4"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Facilité de prêt (mesure ID 16980)</w:t>
      </w:r>
    </w:p>
    <w:p w14:paraId="1C9AB06E" w14:textId="0C8E8998" w:rsidR="00A00259" w:rsidRDefault="00371282">
      <w:pPr>
        <w:pStyle w:val="P68B1DB1-Normal7"/>
        <w:spacing w:before="120" w:after="120" w:line="240" w:lineRule="auto"/>
        <w:jc w:val="both"/>
        <w:rPr>
          <w:noProof/>
        </w:rPr>
      </w:pPr>
      <w:r>
        <w:rPr>
          <w:noProof/>
        </w:rPr>
        <w:t xml:space="preserve">L’investissement concerne le recours à un soutien sous forme de prêts au titre de la facilité pour la reprise et la résilience afin de faciliter la fourniture d’incitations financières au secteur privé et de promouvoir les investissements privés. La facilité de prêt fait appel à différents canaux de distribution, à savoir les établissements financiers [au moyen d’achats d’obligations d’entreprises ou de prêts syndiqués (13 366 446 891 EUR), une plateforme de fonds propres (650 000 000 EUR) et le compartiment «États membres» du programme InvestEU (900 000 000 EUR)]. </w:t>
      </w:r>
    </w:p>
    <w:p w14:paraId="756F3550" w14:textId="77777777" w:rsidR="00A00259" w:rsidRDefault="00371282">
      <w:pPr>
        <w:pStyle w:val="P68B1DB1-Normal5"/>
        <w:spacing w:before="120" w:after="120" w:line="240" w:lineRule="auto"/>
        <w:jc w:val="both"/>
        <w:rPr>
          <w:rFonts w:cs="Times New Roman"/>
          <w:noProof/>
          <w:szCs w:val="24"/>
        </w:rPr>
      </w:pPr>
      <w:r>
        <w:rPr>
          <w:noProof/>
        </w:rPr>
        <w:t xml:space="preserve">Pour le canal de distribution des établissements financiers, les prêts sont acheminés par l’intermédiaire des institutions financières internationales (IFI) et des banques commerciales (CB). Les prêts accordés par l’État couvrent au maximum 50 % des coûts d’investissement, avec une participation des établissements financiers d’au moins 30 % et une participation des débiteurs d’au moins 20 %. </w:t>
      </w:r>
    </w:p>
    <w:p w14:paraId="465D3799" w14:textId="22D03D8A" w:rsidR="00A00259" w:rsidRDefault="00371282">
      <w:pPr>
        <w:pStyle w:val="P68B1DB1-Normal5"/>
        <w:tabs>
          <w:tab w:val="left" w:pos="0"/>
        </w:tabs>
        <w:spacing w:before="120" w:after="120" w:line="240" w:lineRule="auto"/>
        <w:jc w:val="both"/>
        <w:rPr>
          <w:rFonts w:cs="Times New Roman"/>
          <w:noProof/>
          <w:szCs w:val="24"/>
        </w:rPr>
      </w:pPr>
      <w:r>
        <w:rPr>
          <w:noProof/>
        </w:rPr>
        <w:t>Les prêts accordés au titre de la facilité de prêt remboursés dans les trois premières années suivant la mise en place de la facilité de prêt peuvent être réutilisés pour de nouveaux décaissements de prêts au titre de la facilité de prêt. Dans le cas contraire, tous les remboursements de la facilité de prêt sont dirigés vers le compte séparé, qui est exclusivement utilisé pour assurer le service de la dette publique et contribuer ainsi à soutenir la viabilité des finances publiques.</w:t>
      </w:r>
    </w:p>
    <w:p w14:paraId="012AB40A" w14:textId="77777777" w:rsidR="00A00259" w:rsidRDefault="00371282">
      <w:pPr>
        <w:pStyle w:val="P68B1DB1-Normal5"/>
        <w:tabs>
          <w:tab w:val="left" w:pos="0"/>
        </w:tabs>
        <w:spacing w:before="120" w:after="120" w:line="240" w:lineRule="auto"/>
        <w:jc w:val="both"/>
        <w:rPr>
          <w:rFonts w:cs="Times New Roman"/>
          <w:noProof/>
          <w:szCs w:val="24"/>
        </w:rPr>
      </w:pPr>
      <w:r>
        <w:rPr>
          <w:noProof/>
        </w:rPr>
        <w:t xml:space="preserve">La facilité de prêt ne finance que les projets éligibles. Plus précisément, les IFI et les BC veillent à ce que les investissements financés: </w:t>
      </w:r>
    </w:p>
    <w:p w14:paraId="5E4993BC" w14:textId="77777777" w:rsidR="00A00259" w:rsidRDefault="00371282">
      <w:pPr>
        <w:pStyle w:val="P68B1DB1-Normal5"/>
        <w:numPr>
          <w:ilvl w:val="0"/>
          <w:numId w:val="84"/>
        </w:numPr>
        <w:tabs>
          <w:tab w:val="left" w:pos="0"/>
        </w:tabs>
        <w:spacing w:before="120" w:after="120" w:line="240" w:lineRule="auto"/>
        <w:jc w:val="both"/>
        <w:rPr>
          <w:rFonts w:cs="Times New Roman"/>
          <w:noProof/>
          <w:szCs w:val="24"/>
        </w:rPr>
      </w:pPr>
      <w:r>
        <w:rPr>
          <w:noProof/>
        </w:rPr>
        <w:t>avoir une valeur actuelle nette positive, en veillant à ce que la décision de financement soit fondée sur des critères économiques solides;</w:t>
      </w:r>
    </w:p>
    <w:p w14:paraId="47B584AA" w14:textId="77777777" w:rsidR="00A00259" w:rsidRDefault="00371282">
      <w:pPr>
        <w:pStyle w:val="P68B1DB1-Normal5"/>
        <w:numPr>
          <w:ilvl w:val="0"/>
          <w:numId w:val="84"/>
        </w:numPr>
        <w:tabs>
          <w:tab w:val="left" w:pos="0"/>
        </w:tabs>
        <w:spacing w:before="120" w:after="120" w:line="240" w:lineRule="auto"/>
        <w:jc w:val="both"/>
        <w:rPr>
          <w:rFonts w:cs="Times New Roman"/>
          <w:noProof/>
          <w:szCs w:val="24"/>
        </w:rPr>
      </w:pPr>
      <w:r>
        <w:rPr>
          <w:noProof/>
        </w:rPr>
        <w:t>sont alignés sur les cinq piliers stratégiques fixés pour la facilité de prêt, à savoir la transition écologique, la numérisation, l’extraversion, les économies d’échelle par le biais de fusions et d’acquisitions et l’innovation (R&amp;D);</w:t>
      </w:r>
    </w:p>
    <w:p w14:paraId="19AF4C3F" w14:textId="77777777" w:rsidR="00A00259" w:rsidRDefault="00371282">
      <w:pPr>
        <w:pStyle w:val="P68B1DB1-Normal5"/>
        <w:numPr>
          <w:ilvl w:val="0"/>
          <w:numId w:val="84"/>
        </w:numPr>
        <w:tabs>
          <w:tab w:val="left" w:pos="0"/>
        </w:tabs>
        <w:spacing w:before="120" w:after="120" w:line="240" w:lineRule="auto"/>
        <w:jc w:val="both"/>
        <w:rPr>
          <w:rFonts w:cs="Times New Roman"/>
          <w:noProof/>
          <w:szCs w:val="24"/>
        </w:rPr>
      </w:pPr>
      <w:r>
        <w:rPr>
          <w:noProof/>
        </w:rPr>
        <w:t xml:space="preserve">respecter les règles en matière d’aides d’État. </w:t>
      </w:r>
    </w:p>
    <w:p w14:paraId="750CC23C" w14:textId="77777777" w:rsidR="00A00259" w:rsidRDefault="00371282">
      <w:pPr>
        <w:pStyle w:val="P68B1DB1-Normal5"/>
        <w:spacing w:before="120" w:after="120" w:line="240" w:lineRule="auto"/>
        <w:jc w:val="both"/>
        <w:rPr>
          <w:rFonts w:cs="Times New Roman"/>
          <w:noProof/>
        </w:rPr>
      </w:pPr>
      <w:r>
        <w:rPr>
          <w:noProof/>
        </w:rPr>
        <w:t>Afin de garantir que la mesure est conforme aux orientations techniques «Ne pas causer de préjudice important» (2021/C58/01), les accords conclus dans le cadre de la facilité de prêt:</w:t>
      </w:r>
    </w:p>
    <w:p w14:paraId="05845E3A" w14:textId="77777777" w:rsidR="00A00259" w:rsidRDefault="00371282">
      <w:pPr>
        <w:pStyle w:val="P68B1DB1-Normal5"/>
        <w:numPr>
          <w:ilvl w:val="0"/>
          <w:numId w:val="85"/>
        </w:numPr>
        <w:tabs>
          <w:tab w:val="left" w:pos="0"/>
        </w:tabs>
        <w:spacing w:before="120" w:after="120" w:line="240" w:lineRule="auto"/>
        <w:jc w:val="both"/>
        <w:rPr>
          <w:rFonts w:cs="Times New Roman"/>
          <w:noProof/>
        </w:rPr>
      </w:pPr>
      <w:r>
        <w:rPr>
          <w:noProof/>
        </w:rPr>
        <w:t>exiger l’application des orientations techniques de la Commission sur l’évaluation de la durabilité pour le Fonds InvestEU;</w:t>
      </w:r>
    </w:p>
    <w:p w14:paraId="421F963C" w14:textId="77777777" w:rsidR="00A00259" w:rsidRDefault="00371282">
      <w:pPr>
        <w:pStyle w:val="P68B1DB1-Normal7"/>
        <w:numPr>
          <w:ilvl w:val="0"/>
          <w:numId w:val="85"/>
        </w:numPr>
        <w:tabs>
          <w:tab w:val="left" w:pos="0"/>
        </w:tabs>
        <w:spacing w:before="120" w:after="120" w:line="240" w:lineRule="auto"/>
        <w:jc w:val="both"/>
        <w:rPr>
          <w:rFonts w:cs="Times New Roman"/>
          <w:noProof/>
        </w:rPr>
      </w:pPr>
      <w:r>
        <w:rPr>
          <w:noProof/>
        </w:rPr>
        <w:t>exclure de l’éligibilité la liste d’activités et d’actifs suivante: i) les activités et les actifs liés aux combustibles fossiles, y compris leur utilisation en aval;</w:t>
      </w:r>
      <w:r w:rsidRPr="00D64FD7">
        <w:rPr>
          <w:rFonts w:cs="Times New Roman"/>
          <w:noProof/>
          <w:vertAlign w:val="superscript"/>
        </w:rPr>
        <w:footnoteReference w:id="3"/>
      </w:r>
      <w:r>
        <w:rPr>
          <w:noProof/>
        </w:rPr>
        <w:t xml:space="preserve"> ii) les activités et les actifs relevant du système d’échange de quotas d’émission de l’UE (SEQE) permettant d’atteindre des émissions de gaz à effet de serre prévues qui ne sont pas inférieures aux référentiels pertinents;</w:t>
      </w:r>
      <w:r w:rsidRPr="00D64FD7">
        <w:rPr>
          <w:rFonts w:cs="Times New Roman"/>
          <w:noProof/>
          <w:vertAlign w:val="superscript"/>
        </w:rPr>
        <w:footnoteReference w:id="4"/>
      </w:r>
      <w:r>
        <w:rPr>
          <w:noProof/>
        </w:rPr>
        <w:t xml:space="preserve"> iii) les activités et les actifs liés aux décharges de déchets, aux incinérateurs</w:t>
      </w:r>
      <w:r w:rsidRPr="00D64FD7">
        <w:rPr>
          <w:rFonts w:cs="Times New Roman"/>
          <w:noProof/>
          <w:vertAlign w:val="superscript"/>
        </w:rPr>
        <w:footnoteReference w:id="5"/>
      </w:r>
      <w:r>
        <w:rPr>
          <w:noProof/>
        </w:rPr>
        <w:t xml:space="preserve"> et aux usines de traitement biologique mécanique;</w:t>
      </w:r>
      <w:r w:rsidRPr="00D64FD7">
        <w:rPr>
          <w:rFonts w:cs="Times New Roman"/>
          <w:noProof/>
          <w:vertAlign w:val="superscript"/>
        </w:rPr>
        <w:footnoteReference w:id="6"/>
      </w:r>
      <w:r>
        <w:rPr>
          <w:noProof/>
        </w:rPr>
        <w:t xml:space="preserve"> et iv) les activités et les actifs pour lesquels l’élimination à long terme des déchets est susceptible de nuire à l’environnement; et</w:t>
      </w:r>
    </w:p>
    <w:p w14:paraId="50D35A5B" w14:textId="77777777" w:rsidR="00A00259" w:rsidRDefault="00371282">
      <w:pPr>
        <w:pStyle w:val="P68B1DB1-Normal5"/>
        <w:numPr>
          <w:ilvl w:val="0"/>
          <w:numId w:val="85"/>
        </w:numPr>
        <w:tabs>
          <w:tab w:val="left" w:pos="0"/>
        </w:tabs>
        <w:spacing w:before="120" w:after="120" w:line="240" w:lineRule="auto"/>
        <w:jc w:val="both"/>
        <w:rPr>
          <w:rFonts w:cs="Times New Roman"/>
          <w:noProof/>
        </w:rPr>
      </w:pPr>
      <w:r>
        <w:rPr>
          <w:noProof/>
        </w:rPr>
        <w:t>exiger la vérification de la conformité juridique des projets avec la législation environnementale pertinente de l’UE et des États membres pour toutes les transactions, y compris celles exemptées de l’évaluation de la durabilité.</w:t>
      </w:r>
    </w:p>
    <w:p w14:paraId="573E37BD" w14:textId="7B20D0D0" w:rsidR="00A00259" w:rsidRDefault="00371282">
      <w:pPr>
        <w:pStyle w:val="P68B1DB1-Normal7"/>
        <w:spacing w:before="120" w:after="120" w:line="240" w:lineRule="auto"/>
        <w:jc w:val="both"/>
        <w:rPr>
          <w:rFonts w:cs="Times New Roman"/>
          <w:noProof/>
        </w:rPr>
      </w:pPr>
      <w:r>
        <w:rPr>
          <w:noProof/>
        </w:rPr>
        <w:t xml:space="preserve">En outre, la facilité de prêt prévoit l’engagement pour le canal de distribution des établissements financiers d’investir au moins 55 % des fonds pour soutenir la transition climatique et 28 % des fonds pour soutenir la transition numérique, en utilisant la méthode décrite aux annexes VI et VII du règlement établissant la facilité pour la reprise et la résilience. </w:t>
      </w:r>
    </w:p>
    <w:p w14:paraId="08ED2FF8" w14:textId="202FF143" w:rsidR="00A00259" w:rsidRDefault="00371282">
      <w:pPr>
        <w:pStyle w:val="P68B1DB1-Normal7"/>
        <w:spacing w:before="120" w:after="120" w:line="240" w:lineRule="auto"/>
        <w:jc w:val="both"/>
        <w:rPr>
          <w:rFonts w:cs="Times New Roman"/>
          <w:noProof/>
        </w:rPr>
      </w:pPr>
      <w:r>
        <w:rPr>
          <w:noProof/>
        </w:rPr>
        <w:t>Les auditeurs indépendants vérifient le respect du principe consistant à «ne pas causer de préjudice important» et de l’objectif climatique de 55 % et de l’objectif numérique de 28 % avant chaque demande de décaissement.</w:t>
      </w:r>
    </w:p>
    <w:p w14:paraId="0E55FC90" w14:textId="77777777" w:rsidR="00A00259" w:rsidRDefault="00371282">
      <w:pPr>
        <w:pStyle w:val="P68B1DB1-Normal14"/>
        <w:rPr>
          <w:rFonts w:ascii="Times New Roman" w:hAnsi="Times New Roman" w:cs="Times New Roman"/>
          <w:b/>
          <w:bCs/>
          <w:noProof/>
          <w:szCs w:val="24"/>
          <w:u w:val="single"/>
        </w:rPr>
      </w:pPr>
      <w:r>
        <w:rPr>
          <w:rFonts w:ascii="Times New Roman" w:hAnsi="Times New Roman" w:cs="Times New Roman"/>
          <w:b/>
          <w:noProof/>
          <w:szCs w:val="24"/>
        </w:rPr>
        <w:t xml:space="preserve">Investissement: </w:t>
      </w:r>
      <w:r>
        <w:rPr>
          <w:rFonts w:ascii="Times New Roman" w:hAnsi="Times New Roman" w:cs="Times New Roman"/>
          <w:noProof/>
          <w:szCs w:val="24"/>
        </w:rPr>
        <w:t xml:space="preserve">Injection de </w:t>
      </w:r>
      <w:r>
        <w:rPr>
          <w:rFonts w:ascii="Times New Roman" w:hAnsi="Times New Roman" w:cs="Times New Roman"/>
          <w:b/>
          <w:noProof/>
          <w:szCs w:val="24"/>
        </w:rPr>
        <w:t xml:space="preserve">capital dans la Banque hellénique de développement </w:t>
      </w:r>
      <w:r>
        <w:rPr>
          <w:rFonts w:ascii="Times New Roman" w:hAnsi="Times New Roman"/>
          <w:noProof/>
        </w:rPr>
        <w:t xml:space="preserve"> (mesure ID 16403)</w:t>
      </w:r>
      <w:r>
        <w:rPr>
          <w:rFonts w:ascii="Times New Roman" w:hAnsi="Times New Roman" w:cs="Times New Roman"/>
          <w:b/>
          <w:noProof/>
          <w:szCs w:val="24"/>
          <w:u w:val="single"/>
        </w:rPr>
        <w:t xml:space="preserve"> </w:t>
      </w:r>
    </w:p>
    <w:p w14:paraId="13C6CE06" w14:textId="7FCE446D" w:rsidR="00A00259" w:rsidRDefault="00371282">
      <w:pPr>
        <w:pStyle w:val="NormalWeb"/>
        <w:spacing w:line="240" w:lineRule="auto"/>
        <w:jc w:val="both"/>
        <w:rPr>
          <w:noProof/>
        </w:rPr>
      </w:pPr>
      <w:r>
        <w:rPr>
          <w:noProof/>
        </w:rPr>
        <w:t xml:space="preserve">Cette mesure vise à soutenir le potentiel de croissance de l’économie grecque en ajustant structurellement le niveau de soutien public disponible pour remédier aux défaillances et aux inefficacités du marché au sein de l’économie. La mesure consiste en une injection de capital de 1 989 092 029 EUR dans la Banque hellénique de développement. </w:t>
      </w:r>
    </w:p>
    <w:p w14:paraId="4CDA6803" w14:textId="5FBD150A" w:rsidR="00A00259" w:rsidRDefault="00371282">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La Banque hellénique de développement adopte une nouvelle politique d'investissement pour l'utilisation du capital supplémentaire. La politique d’investissement comprend la description du ou des produits financiers avec le type attendu de bénéficiaires finaux éligibles que le capital supplémentaire devrait initialement soutenir, y compris le calendrier prévu pour la mise en œuvre et le montant attendu de chaque produit financier. La Banque hellénique de développement utilise pour le capital supplémentaire le même système d’audit et de contrôle que celui qui a été évalué positivement par la Commission conformément à l’article 157 du règlement (UE, Euratom) 2024/2509. La politique d’investissement exige que le ou les produits financiers soutenus par le capital supplémentaire respectent le principe consistant à «ne pas causer de préjudice important» (DNSH) énoncé dans les orientations techniques DNSH (2021/C58/01). En particulier, la politique d'investissement exclut de l'éligibilité la liste suivante d'activités et d'actifs: (i) les activités et les actifs liés aux combustibles fossiles, y compris l’utilisation en aval</w:t>
      </w:r>
      <w:r w:rsidRPr="00D64FD7">
        <w:rPr>
          <w:rFonts w:ascii="Times New Roman" w:hAnsi="Times New Roman" w:cs="Times New Roman"/>
          <w:noProof/>
          <w:sz w:val="24"/>
          <w:szCs w:val="24"/>
          <w:vertAlign w:val="superscript"/>
        </w:rPr>
        <w:footnoteReference w:id="7"/>
      </w:r>
      <w:r>
        <w:rPr>
          <w:rFonts w:ascii="Times New Roman" w:hAnsi="Times New Roman" w:cs="Times New Roman"/>
          <w:noProof/>
          <w:sz w:val="24"/>
          <w:szCs w:val="24"/>
        </w:rPr>
        <w:t>, (ii) les activités et les actifs relevant du système d’échange de quotas d’émission de l’UE (SEQE) permettant d’atteindre des émissions de gaz à effet de serre prévues qui ne son</w:t>
      </w:r>
      <w:r w:rsidR="00D64FD7">
        <w:rPr>
          <w:rFonts w:ascii="Times New Roman" w:hAnsi="Times New Roman" w:cs="Times New Roman"/>
          <w:noProof/>
          <w:sz w:val="24"/>
          <w:szCs w:val="24"/>
        </w:rPr>
        <w:t xml:space="preserve"> </w:t>
      </w:r>
      <w:r>
        <w:rPr>
          <w:rFonts w:ascii="Times New Roman" w:hAnsi="Times New Roman" w:cs="Times New Roman"/>
          <w:noProof/>
          <w:sz w:val="24"/>
          <w:szCs w:val="24"/>
        </w:rPr>
        <w:t>t pas inférieures aux référentiels pertinents</w:t>
      </w:r>
      <w:r w:rsidRPr="00D64FD7">
        <w:rPr>
          <w:rFonts w:ascii="Times New Roman" w:hAnsi="Times New Roman" w:cs="Times New Roman"/>
          <w:noProof/>
          <w:sz w:val="24"/>
          <w:szCs w:val="24"/>
          <w:vertAlign w:val="superscript"/>
        </w:rPr>
        <w:footnoteReference w:id="8"/>
      </w:r>
      <w:r>
        <w:rPr>
          <w:rFonts w:ascii="Times New Roman" w:hAnsi="Times New Roman" w:cs="Times New Roman"/>
          <w:noProof/>
          <w:sz w:val="24"/>
          <w:szCs w:val="24"/>
        </w:rPr>
        <w:t>, (iii) les activités et les actifs liés aux décharges de déchets, aux incinérateurs</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et aux usines de traitement biologique mécanique</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En outre, dans le cas d'un soutien général aux entreprises, la politique d'investissement exclut les entreprises qui se concentrent essentiellement</w:t>
      </w:r>
      <w:r w:rsidRPr="00D64FD7">
        <w:rPr>
          <w:rFonts w:ascii="Times New Roman" w:hAnsi="Times New Roman" w:cs="Times New Roman"/>
          <w:noProof/>
          <w:sz w:val="24"/>
          <w:szCs w:val="24"/>
          <w:vertAlign w:val="superscript"/>
        </w:rPr>
        <w:footnoteReference w:id="11"/>
      </w:r>
      <w:r>
        <w:rPr>
          <w:rFonts w:ascii="Times New Roman" w:hAnsi="Times New Roman" w:cs="Times New Roman"/>
          <w:noProof/>
          <w:sz w:val="24"/>
          <w:szCs w:val="24"/>
        </w:rPr>
        <w:t xml:space="preserve"> sur les secteurs suivants: i) la production d’énergie à partir de combustibles fossiles et les activités connexes;</w:t>
      </w:r>
      <w:r w:rsidRPr="00D64FD7">
        <w:rPr>
          <w:rFonts w:ascii="Times New Roman" w:hAnsi="Times New Roman" w:cs="Times New Roman"/>
          <w:noProof/>
          <w:sz w:val="24"/>
          <w:szCs w:val="24"/>
          <w:vertAlign w:val="superscript"/>
        </w:rPr>
        <w:footnoteReference w:id="12"/>
      </w:r>
      <w:r>
        <w:rPr>
          <w:rFonts w:ascii="Times New Roman" w:hAnsi="Times New Roman" w:cs="Times New Roman"/>
          <w:noProof/>
          <w:sz w:val="24"/>
          <w:szCs w:val="24"/>
        </w:rPr>
        <w:t xml:space="preserve"> ii) les industries à forte intensité énergétique et/ou à forte émission de CO2;</w:t>
      </w:r>
      <w:r w:rsidRPr="00D64FD7">
        <w:rPr>
          <w:rFonts w:ascii="Times New Roman" w:hAnsi="Times New Roman" w:cs="Times New Roman"/>
          <w:noProof/>
          <w:sz w:val="24"/>
          <w:szCs w:val="24"/>
          <w:vertAlign w:val="superscript"/>
        </w:rPr>
        <w:footnoteReference w:id="13"/>
      </w:r>
      <w:r>
        <w:rPr>
          <w:rFonts w:ascii="Times New Roman" w:hAnsi="Times New Roman" w:cs="Times New Roman"/>
          <w:noProof/>
          <w:sz w:val="24"/>
          <w:szCs w:val="24"/>
        </w:rPr>
        <w:t xml:space="preserve"> iii) la production, la location ou la vente de véhicules polluants;</w:t>
      </w:r>
      <w:r w:rsidRPr="00D64FD7">
        <w:rPr>
          <w:rFonts w:ascii="Times New Roman" w:hAnsi="Times New Roman" w:cs="Times New Roman"/>
          <w:noProof/>
          <w:sz w:val="24"/>
          <w:szCs w:val="24"/>
          <w:vertAlign w:val="superscript"/>
        </w:rPr>
        <w:footnoteReference w:id="14"/>
      </w:r>
      <w:r>
        <w:rPr>
          <w:rFonts w:ascii="Times New Roman" w:hAnsi="Times New Roman" w:cs="Times New Roman"/>
          <w:noProof/>
          <w:sz w:val="24"/>
          <w:szCs w:val="24"/>
        </w:rPr>
        <w:t xml:space="preserve"> iv) la collecte, le traitement et</w:t>
      </w:r>
      <w:r w:rsidRPr="00D64FD7">
        <w:rPr>
          <w:rFonts w:ascii="Times New Roman" w:hAnsi="Times New Roman" w:cs="Times New Roman"/>
          <w:noProof/>
          <w:sz w:val="24"/>
          <w:szCs w:val="24"/>
          <w:vertAlign w:val="superscript"/>
        </w:rPr>
        <w:footnoteReference w:id="15"/>
      </w:r>
      <w:r>
        <w:rPr>
          <w:rFonts w:ascii="Times New Roman" w:hAnsi="Times New Roman" w:cs="Times New Roman"/>
          <w:noProof/>
          <w:sz w:val="24"/>
          <w:szCs w:val="24"/>
        </w:rPr>
        <w:t xml:space="preserve"> l’élimination des déchets, v) le traitement du combustible nucléaire et la production d’énergie nucléaire. En outre, la politique d'investissement exige le</w:t>
      </w:r>
      <w:r>
        <w:rPr>
          <w:rFonts w:ascii="Times New Roman" w:hAnsi="Times New Roman" w:cs="Times New Roman"/>
          <w:b/>
          <w:noProof/>
          <w:sz w:val="24"/>
          <w:szCs w:val="24"/>
        </w:rPr>
        <w:t xml:space="preserve"> </w:t>
      </w:r>
      <w:r>
        <w:rPr>
          <w:rFonts w:ascii="Times New Roman" w:hAnsi="Times New Roman" w:cs="Times New Roman"/>
          <w:noProof/>
          <w:sz w:val="24"/>
          <w:szCs w:val="24"/>
        </w:rPr>
        <w:t>respect de la législation environnementale pertinente de l'UE et des États membres par les bénéficiaires finals.</w:t>
      </w:r>
    </w:p>
    <w:p w14:paraId="71D51EE4" w14:textId="77777777" w:rsidR="00A00259" w:rsidRDefault="00371282">
      <w:pPr>
        <w:pStyle w:val="NormalWeb"/>
        <w:spacing w:before="120" w:after="120" w:line="240" w:lineRule="auto"/>
        <w:jc w:val="both"/>
        <w:rPr>
          <w:noProof/>
        </w:rPr>
      </w:pPr>
      <w:r>
        <w:rPr>
          <w:noProof/>
        </w:rPr>
        <w:t>La réalisation satisfaisante des jalons au titre de cette mesure est subordonnée à la réalisation satisfaisante du jalon 384 de la réforme 16405 - Évaluation des piliers de la Banque hellénique de développement.</w:t>
      </w:r>
    </w:p>
    <w:p w14:paraId="524BFDD1" w14:textId="77777777" w:rsidR="00A00259" w:rsidRDefault="00A00259">
      <w:pPr>
        <w:spacing w:before="120" w:after="120" w:line="240" w:lineRule="auto"/>
        <w:jc w:val="both"/>
        <w:rPr>
          <w:rFonts w:ascii="Times New Roman" w:hAnsi="Times New Roman" w:cs="Times New Roman"/>
          <w:noProof/>
          <w:sz w:val="24"/>
          <w:szCs w:val="24"/>
        </w:rPr>
      </w:pPr>
    </w:p>
    <w:p w14:paraId="180F0EEF" w14:textId="77777777" w:rsidR="00A00259" w:rsidRDefault="00371282">
      <w:pPr>
        <w:pStyle w:val="P68B1DB1-Normal14"/>
        <w:rPr>
          <w:rFonts w:ascii="Times New Roman" w:hAnsi="Times New Roman" w:cs="Times New Roman"/>
          <w:b/>
          <w:bCs/>
          <w:noProof/>
          <w:szCs w:val="24"/>
          <w:u w:val="single"/>
        </w:rPr>
      </w:pPr>
      <w:r>
        <w:rPr>
          <w:rFonts w:ascii="Times New Roman" w:hAnsi="Times New Roman" w:cs="Times New Roman"/>
          <w:b/>
          <w:noProof/>
          <w:szCs w:val="24"/>
        </w:rPr>
        <w:t xml:space="preserve">Réforme: </w:t>
      </w:r>
      <w:r>
        <w:rPr>
          <w:rFonts w:ascii="Times New Roman" w:hAnsi="Times New Roman" w:cs="Times New Roman"/>
          <w:noProof/>
          <w:szCs w:val="24"/>
        </w:rPr>
        <w:t xml:space="preserve">Évaluation des </w:t>
      </w:r>
      <w:r>
        <w:rPr>
          <w:rFonts w:ascii="Times New Roman" w:hAnsi="Times New Roman" w:cs="Times New Roman"/>
          <w:b/>
          <w:noProof/>
          <w:szCs w:val="24"/>
        </w:rPr>
        <w:t xml:space="preserve">piliers de la Banque hellénique de développement </w:t>
      </w:r>
      <w:r>
        <w:rPr>
          <w:rFonts w:ascii="Times New Roman" w:hAnsi="Times New Roman"/>
          <w:noProof/>
        </w:rPr>
        <w:t xml:space="preserve"> (mesure ID 16405)</w:t>
      </w:r>
    </w:p>
    <w:p w14:paraId="14BCB547" w14:textId="77777777" w:rsidR="00A00259" w:rsidRDefault="00371282">
      <w:pPr>
        <w:pStyle w:val="NormalWeb"/>
        <w:jc w:val="both"/>
        <w:rPr>
          <w:noProof/>
        </w:rPr>
      </w:pPr>
      <w:r>
        <w:rPr>
          <w:noProof/>
        </w:rPr>
        <w:t>L’objectif de cette mesure est de veiller à ce que la Banque hellénique de développement ait mis en place les dispositions appropriées pour mettre en œuvre les fonds de l’UE. Cette mesure consiste à faire évaluer le pilier de la Banque hellénique de développement.</w:t>
      </w:r>
    </w:p>
    <w:p w14:paraId="26831F17" w14:textId="77777777" w:rsidR="00A00259" w:rsidRDefault="00A00259">
      <w:pPr>
        <w:spacing w:before="120" w:after="120" w:line="240" w:lineRule="auto"/>
        <w:jc w:val="both"/>
        <w:rPr>
          <w:rFonts w:ascii="Times New Roman" w:hAnsi="Times New Roman" w:cs="Times New Roman"/>
          <w:i/>
          <w:noProof/>
          <w:sz w:val="24"/>
          <w:u w:val="single"/>
        </w:rPr>
      </w:pPr>
    </w:p>
    <w:p w14:paraId="0F4C74F9" w14:textId="77777777" w:rsidR="00A00259" w:rsidRDefault="00A00259">
      <w:pPr>
        <w:spacing w:after="160" w:line="259" w:lineRule="auto"/>
        <w:ind w:left="709"/>
        <w:contextualSpacing/>
        <w:jc w:val="both"/>
        <w:rPr>
          <w:noProof/>
        </w:rPr>
      </w:pPr>
    </w:p>
    <w:p w14:paraId="0330301B" w14:textId="77777777" w:rsidR="00A00259" w:rsidRDefault="00A00259">
      <w:pPr>
        <w:spacing w:after="160" w:line="259" w:lineRule="auto"/>
        <w:ind w:left="709"/>
        <w:contextualSpacing/>
        <w:jc w:val="both"/>
        <w:rPr>
          <w:noProof/>
        </w:rPr>
        <w:sectPr w:rsidR="00A00259">
          <w:headerReference w:type="even" r:id="rId366"/>
          <w:headerReference w:type="default" r:id="rId367"/>
          <w:footerReference w:type="even" r:id="rId368"/>
          <w:footerReference w:type="default" r:id="rId369"/>
          <w:headerReference w:type="first" r:id="rId370"/>
          <w:footerReference w:type="first" r:id="rId371"/>
          <w:pgSz w:w="11907" w:h="16839"/>
          <w:pgMar w:top="1134" w:right="1134" w:bottom="1134" w:left="1134" w:header="567" w:footer="567" w:gutter="0"/>
          <w:cols w:space="720"/>
          <w:docGrid w:linePitch="360"/>
        </w:sectPr>
      </w:pPr>
    </w:p>
    <w:p w14:paraId="6AB21F66" w14:textId="77777777" w:rsidR="00A00259" w:rsidRDefault="00371282">
      <w:pPr>
        <w:pStyle w:val="P68B1DB1-Normal6"/>
        <w:spacing w:before="120" w:after="120" w:line="240" w:lineRule="auto"/>
        <w:jc w:val="both"/>
        <w:rPr>
          <w:rFonts w:cs="Times New Roman"/>
          <w:bCs/>
          <w:noProof/>
        </w:rPr>
      </w:pPr>
      <w:r>
        <w:rPr>
          <w:noProof/>
        </w:rPr>
        <w:t xml:space="preserve">R.4. Étapes, objectifs, indicateurs et calendrier du suivi et de la mise en œuvre du prêt </w:t>
      </w:r>
    </w:p>
    <w:p w14:paraId="4E6B709C" w14:textId="77777777" w:rsidR="00A00259" w:rsidRDefault="00371282">
      <w:pPr>
        <w:pStyle w:val="P68B1DB1-Normal9"/>
        <w:keepNext/>
        <w:keepLines/>
        <w:spacing w:before="40" w:after="240" w:line="240" w:lineRule="auto"/>
        <w:jc w:val="both"/>
        <w:outlineLvl w:val="4"/>
        <w:rPr>
          <w:rFonts w:eastAsia="Times New Roman"/>
          <w:noProof/>
        </w:rPr>
      </w:pPr>
      <w:r>
        <w:rPr>
          <w:noProof/>
        </w:rPr>
        <w:t>Facilité de prêt (16980)</w:t>
      </w:r>
    </w:p>
    <w:tbl>
      <w:tblPr>
        <w:tblW w:w="15883" w:type="dxa"/>
        <w:jc w:val="center"/>
        <w:tblLayout w:type="fixed"/>
        <w:tblLook w:val="04A0" w:firstRow="1" w:lastRow="0" w:firstColumn="1" w:lastColumn="0" w:noHBand="0" w:noVBand="1"/>
      </w:tblPr>
      <w:tblGrid>
        <w:gridCol w:w="602"/>
        <w:gridCol w:w="1614"/>
        <w:gridCol w:w="1275"/>
        <w:gridCol w:w="1276"/>
        <w:gridCol w:w="1276"/>
        <w:gridCol w:w="1134"/>
        <w:gridCol w:w="1417"/>
        <w:gridCol w:w="1418"/>
        <w:gridCol w:w="992"/>
        <w:gridCol w:w="851"/>
        <w:gridCol w:w="4028"/>
      </w:tblGrid>
      <w:tr w:rsidR="00A00259" w14:paraId="45D4D969" w14:textId="77777777" w:rsidTr="00096954">
        <w:trPr>
          <w:trHeight w:val="810"/>
          <w:tblHeader/>
          <w:jc w:val="center"/>
        </w:trPr>
        <w:tc>
          <w:tcPr>
            <w:tcW w:w="602"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0ACBF860" w14:textId="77777777" w:rsidR="00A00259" w:rsidRDefault="00371282">
            <w:pPr>
              <w:pStyle w:val="P68B1DB1-Normal15"/>
              <w:spacing w:after="0" w:line="240" w:lineRule="auto"/>
              <w:jc w:val="center"/>
              <w:rPr>
                <w:rFonts w:eastAsia="Times New Roman"/>
                <w:noProof/>
              </w:rPr>
            </w:pPr>
            <w:r>
              <w:rPr>
                <w:noProof/>
              </w:rPr>
              <w:t>Seq. Non.</w:t>
            </w:r>
          </w:p>
        </w:tc>
        <w:tc>
          <w:tcPr>
            <w:tcW w:w="161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4E043D56" w14:textId="77777777" w:rsidR="00A00259" w:rsidRDefault="00371282">
            <w:pPr>
              <w:pStyle w:val="P68B1DB1-Normal15"/>
              <w:spacing w:after="0" w:line="240" w:lineRule="auto"/>
              <w:jc w:val="center"/>
              <w:rPr>
                <w:rFonts w:eastAsia="Times New Roman"/>
                <w:noProof/>
              </w:rPr>
            </w:pPr>
            <w:r>
              <w:rPr>
                <w:noProof/>
              </w:rPr>
              <w:t>Mesure connexe (réforme ou investissement)</w:t>
            </w:r>
          </w:p>
        </w:tc>
        <w:tc>
          <w:tcPr>
            <w:tcW w:w="1275"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13B1EA81" w14:textId="77777777" w:rsidR="00A00259" w:rsidRDefault="00371282">
            <w:pPr>
              <w:pStyle w:val="P68B1DB1-Normal15"/>
              <w:spacing w:after="0" w:line="240" w:lineRule="auto"/>
              <w:jc w:val="center"/>
              <w:rPr>
                <w:rFonts w:eastAsia="Times New Roman"/>
                <w:noProof/>
              </w:rPr>
            </w:pPr>
            <w:r>
              <w:rPr>
                <w:noProof/>
              </w:rPr>
              <w:t>Étape/cible</w:t>
            </w:r>
          </w:p>
        </w:tc>
        <w:tc>
          <w:tcPr>
            <w:tcW w:w="1276"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B7E1DAC" w14:textId="77777777" w:rsidR="00A00259" w:rsidRDefault="00371282">
            <w:pPr>
              <w:pStyle w:val="P68B1DB1-Normal15"/>
              <w:spacing w:after="0" w:line="240" w:lineRule="auto"/>
              <w:jc w:val="center"/>
              <w:rPr>
                <w:rFonts w:eastAsia="Times New Roman"/>
                <w:noProof/>
              </w:rPr>
            </w:pPr>
            <w:r>
              <w:rPr>
                <w:noProof/>
              </w:rPr>
              <w:t>Nom</w:t>
            </w:r>
          </w:p>
        </w:tc>
        <w:tc>
          <w:tcPr>
            <w:tcW w:w="1276"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0451BEA" w14:textId="77777777" w:rsidR="00A00259" w:rsidRDefault="00371282">
            <w:pPr>
              <w:pStyle w:val="P68B1DB1-Normal15"/>
              <w:spacing w:after="0" w:line="240" w:lineRule="auto"/>
              <w:jc w:val="center"/>
              <w:rPr>
                <w:rFonts w:eastAsia="Times New Roman"/>
                <w:noProof/>
              </w:rPr>
            </w:pPr>
            <w:r>
              <w:rPr>
                <w:noProof/>
              </w:rPr>
              <w:t>Indicateurs qualitatifs (pour les jalons)</w:t>
            </w:r>
          </w:p>
        </w:tc>
        <w:tc>
          <w:tcPr>
            <w:tcW w:w="3969" w:type="dxa"/>
            <w:gridSpan w:val="3"/>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164C9DFA" w14:textId="77777777" w:rsidR="00A00259" w:rsidRDefault="00371282">
            <w:pPr>
              <w:pStyle w:val="P68B1DB1-Normal15"/>
              <w:spacing w:after="0" w:line="240" w:lineRule="auto"/>
              <w:jc w:val="center"/>
              <w:rPr>
                <w:rFonts w:eastAsia="Times New Roman"/>
                <w:noProof/>
              </w:rPr>
            </w:pPr>
            <w:r>
              <w:rPr>
                <w:noProof/>
              </w:rPr>
              <w:t>Indicateurs quantitatifs (pour les objectifs)</w:t>
            </w:r>
          </w:p>
        </w:tc>
        <w:tc>
          <w:tcPr>
            <w:tcW w:w="1843" w:type="dxa"/>
            <w:gridSpan w:val="2"/>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14553B9E" w14:textId="77777777" w:rsidR="00A00259" w:rsidRDefault="00371282">
            <w:pPr>
              <w:pStyle w:val="P68B1DB1-Normal15"/>
              <w:spacing w:after="0" w:line="240" w:lineRule="auto"/>
              <w:jc w:val="center"/>
              <w:rPr>
                <w:rFonts w:eastAsia="Times New Roman"/>
                <w:noProof/>
              </w:rPr>
            </w:pPr>
            <w:r>
              <w:rPr>
                <w:noProof/>
              </w:rPr>
              <w:t>Calendrier indicatif d'achèvement</w:t>
            </w:r>
          </w:p>
        </w:tc>
        <w:tc>
          <w:tcPr>
            <w:tcW w:w="4028"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4DCCDEE" w14:textId="77777777" w:rsidR="00A00259" w:rsidRDefault="00371282">
            <w:pPr>
              <w:pStyle w:val="P68B1DB1-Normal15"/>
              <w:spacing w:after="0" w:line="240" w:lineRule="auto"/>
              <w:jc w:val="center"/>
              <w:rPr>
                <w:rFonts w:eastAsia="Times New Roman"/>
                <w:noProof/>
              </w:rPr>
            </w:pPr>
            <w:r>
              <w:rPr>
                <w:noProof/>
              </w:rPr>
              <w:t>Description de chaque jalon et cible</w:t>
            </w:r>
          </w:p>
        </w:tc>
      </w:tr>
      <w:tr w:rsidR="00A00259" w14:paraId="22016A65" w14:textId="77777777" w:rsidTr="00096954">
        <w:trPr>
          <w:trHeight w:val="581"/>
          <w:tblHeader/>
          <w:jc w:val="center"/>
        </w:trPr>
        <w:tc>
          <w:tcPr>
            <w:tcW w:w="602" w:type="dxa"/>
            <w:vMerge/>
            <w:tcBorders>
              <w:top w:val="single" w:sz="2" w:space="0" w:color="000000"/>
              <w:left w:val="single" w:sz="2" w:space="0" w:color="000000"/>
              <w:bottom w:val="single" w:sz="2" w:space="0" w:color="000000"/>
              <w:right w:val="single" w:sz="2" w:space="0" w:color="000000"/>
            </w:tcBorders>
            <w:vAlign w:val="center"/>
            <w:hideMark/>
          </w:tcPr>
          <w:p w14:paraId="11A56298" w14:textId="77777777" w:rsidR="00A00259" w:rsidRDefault="00A00259">
            <w:pPr>
              <w:spacing w:after="0" w:line="240" w:lineRule="auto"/>
              <w:rPr>
                <w:rFonts w:ascii="Times New Roman" w:eastAsia="Times New Roman" w:hAnsi="Times New Roman" w:cs="Times New Roman"/>
                <w:b/>
                <w:noProof/>
                <w:sz w:val="18"/>
                <w:szCs w:val="18"/>
              </w:rPr>
            </w:pPr>
          </w:p>
        </w:tc>
        <w:tc>
          <w:tcPr>
            <w:tcW w:w="1614" w:type="dxa"/>
            <w:vMerge/>
            <w:tcBorders>
              <w:top w:val="single" w:sz="2" w:space="0" w:color="000000"/>
              <w:left w:val="single" w:sz="2" w:space="0" w:color="000000"/>
              <w:bottom w:val="single" w:sz="2" w:space="0" w:color="000000"/>
              <w:right w:val="single" w:sz="2" w:space="0" w:color="000000"/>
            </w:tcBorders>
            <w:vAlign w:val="center"/>
            <w:hideMark/>
          </w:tcPr>
          <w:p w14:paraId="10C425B5" w14:textId="77777777" w:rsidR="00A00259" w:rsidRDefault="00A00259">
            <w:pPr>
              <w:spacing w:after="0" w:line="240" w:lineRule="auto"/>
              <w:rPr>
                <w:rFonts w:ascii="Times New Roman" w:eastAsia="Times New Roman" w:hAnsi="Times New Roman" w:cs="Times New Roman"/>
                <w:b/>
                <w:noProof/>
                <w:sz w:val="18"/>
                <w:szCs w:val="18"/>
              </w:rPr>
            </w:pPr>
          </w:p>
        </w:tc>
        <w:tc>
          <w:tcPr>
            <w:tcW w:w="1275" w:type="dxa"/>
            <w:vMerge/>
            <w:tcBorders>
              <w:top w:val="single" w:sz="2" w:space="0" w:color="000000"/>
              <w:left w:val="single" w:sz="2" w:space="0" w:color="000000"/>
              <w:bottom w:val="single" w:sz="2" w:space="0" w:color="000000"/>
              <w:right w:val="single" w:sz="2" w:space="0" w:color="000000"/>
            </w:tcBorders>
            <w:vAlign w:val="center"/>
            <w:hideMark/>
          </w:tcPr>
          <w:p w14:paraId="4FE744FA" w14:textId="77777777" w:rsidR="00A00259" w:rsidRDefault="00A00259">
            <w:pPr>
              <w:spacing w:after="0" w:line="240" w:lineRule="auto"/>
              <w:rPr>
                <w:rFonts w:ascii="Times New Roman" w:eastAsia="Times New Roman" w:hAnsi="Times New Roman" w:cs="Times New Roman"/>
                <w:b/>
                <w:noProof/>
                <w:sz w:val="18"/>
                <w:szCs w:val="18"/>
              </w:rPr>
            </w:pPr>
          </w:p>
        </w:tc>
        <w:tc>
          <w:tcPr>
            <w:tcW w:w="1276" w:type="dxa"/>
            <w:vMerge/>
            <w:tcBorders>
              <w:top w:val="single" w:sz="2" w:space="0" w:color="000000"/>
              <w:left w:val="single" w:sz="2" w:space="0" w:color="000000"/>
              <w:bottom w:val="single" w:sz="2" w:space="0" w:color="000000"/>
              <w:right w:val="single" w:sz="2" w:space="0" w:color="000000"/>
            </w:tcBorders>
            <w:vAlign w:val="center"/>
            <w:hideMark/>
          </w:tcPr>
          <w:p w14:paraId="764E1BCF" w14:textId="77777777" w:rsidR="00A00259" w:rsidRDefault="00A00259">
            <w:pPr>
              <w:spacing w:after="0" w:line="240" w:lineRule="auto"/>
              <w:rPr>
                <w:rFonts w:ascii="Times New Roman" w:eastAsia="Times New Roman" w:hAnsi="Times New Roman" w:cs="Times New Roman"/>
                <w:b/>
                <w:noProof/>
                <w:sz w:val="18"/>
                <w:szCs w:val="18"/>
              </w:rPr>
            </w:pPr>
          </w:p>
        </w:tc>
        <w:tc>
          <w:tcPr>
            <w:tcW w:w="1276" w:type="dxa"/>
            <w:vMerge/>
            <w:tcBorders>
              <w:top w:val="single" w:sz="2" w:space="0" w:color="000000"/>
              <w:left w:val="single" w:sz="2" w:space="0" w:color="000000"/>
              <w:bottom w:val="single" w:sz="2" w:space="0" w:color="000000"/>
              <w:right w:val="single" w:sz="2" w:space="0" w:color="000000"/>
            </w:tcBorders>
            <w:vAlign w:val="center"/>
            <w:hideMark/>
          </w:tcPr>
          <w:p w14:paraId="2D8DD11B" w14:textId="77777777" w:rsidR="00A00259" w:rsidRDefault="00A00259">
            <w:pPr>
              <w:spacing w:after="0" w:line="240" w:lineRule="auto"/>
              <w:rPr>
                <w:rFonts w:ascii="Times New Roman" w:eastAsia="Times New Roman" w:hAnsi="Times New Roman" w:cs="Times New Roman"/>
                <w:b/>
                <w:noProof/>
                <w:sz w:val="18"/>
                <w:szCs w:val="18"/>
              </w:rPr>
            </w:pPr>
          </w:p>
        </w:tc>
        <w:tc>
          <w:tcPr>
            <w:tcW w:w="1134"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349BCADB" w14:textId="77777777" w:rsidR="00A00259" w:rsidRDefault="00371282">
            <w:pPr>
              <w:pStyle w:val="P68B1DB1-Normal15"/>
              <w:spacing w:after="0" w:line="240" w:lineRule="auto"/>
              <w:jc w:val="center"/>
              <w:rPr>
                <w:rFonts w:eastAsia="Times New Roman"/>
                <w:noProof/>
              </w:rPr>
            </w:pPr>
            <w:r>
              <w:rPr>
                <w:noProof/>
              </w:rPr>
              <w:t>Unité de mesure</w:t>
            </w:r>
          </w:p>
        </w:tc>
        <w:tc>
          <w:tcPr>
            <w:tcW w:w="1417"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57C2096D" w14:textId="77777777" w:rsidR="00A00259" w:rsidRDefault="00371282">
            <w:pPr>
              <w:pStyle w:val="P68B1DB1-Normal15"/>
              <w:spacing w:after="0" w:line="240" w:lineRule="auto"/>
              <w:jc w:val="center"/>
              <w:rPr>
                <w:rFonts w:eastAsia="Times New Roman"/>
                <w:noProof/>
              </w:rPr>
            </w:pPr>
            <w:r>
              <w:rPr>
                <w:noProof/>
              </w:rPr>
              <w:t>Données de référence</w:t>
            </w:r>
          </w:p>
        </w:tc>
        <w:tc>
          <w:tcPr>
            <w:tcW w:w="1418"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49F07A95" w14:textId="77777777" w:rsidR="00A00259" w:rsidRDefault="00371282">
            <w:pPr>
              <w:pStyle w:val="P68B1DB1-Normal15"/>
              <w:spacing w:after="0" w:line="240" w:lineRule="auto"/>
              <w:jc w:val="center"/>
              <w:rPr>
                <w:rFonts w:eastAsia="Times New Roman"/>
                <w:noProof/>
              </w:rPr>
            </w:pPr>
            <w:r>
              <w:rPr>
                <w:noProof/>
              </w:rPr>
              <w:t>Objectif</w:t>
            </w:r>
          </w:p>
        </w:tc>
        <w:tc>
          <w:tcPr>
            <w:tcW w:w="992"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99B73C2" w14:textId="77777777" w:rsidR="00A00259" w:rsidRDefault="00371282">
            <w:pPr>
              <w:pStyle w:val="P68B1DB1-Normal15"/>
              <w:spacing w:after="0" w:line="240" w:lineRule="auto"/>
              <w:jc w:val="center"/>
              <w:rPr>
                <w:rFonts w:eastAsia="Times New Roman"/>
                <w:noProof/>
              </w:rPr>
            </w:pPr>
            <w:r>
              <w:rPr>
                <w:noProof/>
              </w:rPr>
              <w:t>Trimestre</w:t>
            </w:r>
          </w:p>
        </w:tc>
        <w:tc>
          <w:tcPr>
            <w:tcW w:w="851"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4BB493D8" w14:textId="77777777" w:rsidR="00A00259" w:rsidRDefault="00371282">
            <w:pPr>
              <w:pStyle w:val="P68B1DB1-Normal15"/>
              <w:spacing w:after="0" w:line="240" w:lineRule="auto"/>
              <w:jc w:val="center"/>
              <w:rPr>
                <w:rFonts w:eastAsia="Times New Roman"/>
                <w:noProof/>
              </w:rPr>
            </w:pPr>
            <w:r>
              <w:rPr>
                <w:noProof/>
              </w:rPr>
              <w:t>Année</w:t>
            </w:r>
          </w:p>
        </w:tc>
        <w:tc>
          <w:tcPr>
            <w:tcW w:w="4028" w:type="dxa"/>
            <w:vMerge/>
            <w:tcBorders>
              <w:top w:val="single" w:sz="2" w:space="0" w:color="000000"/>
              <w:left w:val="single" w:sz="2" w:space="0" w:color="000000"/>
              <w:bottom w:val="single" w:sz="2" w:space="0" w:color="000000"/>
              <w:right w:val="single" w:sz="2" w:space="0" w:color="000000"/>
            </w:tcBorders>
            <w:vAlign w:val="center"/>
            <w:hideMark/>
          </w:tcPr>
          <w:p w14:paraId="6998B26A" w14:textId="77777777" w:rsidR="00A00259" w:rsidRDefault="00A00259">
            <w:pPr>
              <w:spacing w:after="0" w:line="240" w:lineRule="auto"/>
              <w:rPr>
                <w:rFonts w:ascii="Times New Roman" w:eastAsia="Times New Roman" w:hAnsi="Times New Roman" w:cs="Times New Roman"/>
                <w:b/>
                <w:noProof/>
                <w:sz w:val="18"/>
                <w:szCs w:val="18"/>
              </w:rPr>
            </w:pPr>
          </w:p>
        </w:tc>
      </w:tr>
      <w:tr w:rsidR="00A00259" w14:paraId="0C700E6B" w14:textId="77777777" w:rsidTr="00096954">
        <w:trPr>
          <w:trHeight w:val="314"/>
          <w:jc w:val="center"/>
        </w:trPr>
        <w:tc>
          <w:tcPr>
            <w:tcW w:w="602" w:type="dxa"/>
            <w:tcBorders>
              <w:top w:val="single" w:sz="2" w:space="0" w:color="000000"/>
              <w:left w:val="single" w:sz="2" w:space="0" w:color="000000"/>
              <w:bottom w:val="single" w:sz="2" w:space="0" w:color="000000"/>
              <w:right w:val="single" w:sz="2" w:space="0" w:color="000000"/>
            </w:tcBorders>
            <w:shd w:val="clear" w:color="auto" w:fill="C6EFCE"/>
            <w:noWrap/>
          </w:tcPr>
          <w:p w14:paraId="2B5B6F06" w14:textId="77777777" w:rsidR="00A00259" w:rsidRDefault="00371282">
            <w:pPr>
              <w:pStyle w:val="P68B1DB1-Normal12"/>
              <w:spacing w:after="0" w:line="240" w:lineRule="auto"/>
              <w:rPr>
                <w:rFonts w:eastAsia="Times New Roman"/>
                <w:noProof/>
              </w:rPr>
            </w:pPr>
            <w:bookmarkStart w:id="7" w:name="_Hlk214356057"/>
            <w:r>
              <w:rPr>
                <w:noProof/>
              </w:rPr>
              <w:t>320</w:t>
            </w:r>
          </w:p>
        </w:tc>
        <w:tc>
          <w:tcPr>
            <w:tcW w:w="1614" w:type="dxa"/>
            <w:tcBorders>
              <w:top w:val="single" w:sz="2" w:space="0" w:color="000000"/>
              <w:left w:val="single" w:sz="2" w:space="0" w:color="000000"/>
              <w:bottom w:val="single" w:sz="2" w:space="0" w:color="000000"/>
              <w:right w:val="single" w:sz="2" w:space="0" w:color="000000"/>
            </w:tcBorders>
            <w:shd w:val="clear" w:color="auto" w:fill="C6EFCE"/>
            <w:noWrap/>
          </w:tcPr>
          <w:p w14:paraId="6DBEF3D9" w14:textId="77777777" w:rsidR="00A00259" w:rsidRDefault="00371282">
            <w:pPr>
              <w:pStyle w:val="P68B1DB1-Normal12"/>
              <w:spacing w:after="0" w:line="240" w:lineRule="auto"/>
              <w:rPr>
                <w:rFonts w:eastAsia="Times New Roman"/>
                <w:noProof/>
              </w:rPr>
            </w:pPr>
            <w:r>
              <w:rPr>
                <w:noProof/>
              </w:rPr>
              <w:t>4.7. Améliorer la compétitivité et promouvoir les investissements privés et les exportations - 16980_RRP Loan Facility</w:t>
            </w:r>
          </w:p>
        </w:tc>
        <w:tc>
          <w:tcPr>
            <w:tcW w:w="1275" w:type="dxa"/>
            <w:tcBorders>
              <w:top w:val="single" w:sz="2" w:space="0" w:color="000000"/>
              <w:left w:val="single" w:sz="2" w:space="0" w:color="000000"/>
              <w:bottom w:val="single" w:sz="2" w:space="0" w:color="000000"/>
              <w:right w:val="single" w:sz="2" w:space="0" w:color="000000"/>
            </w:tcBorders>
            <w:shd w:val="clear" w:color="auto" w:fill="C6EFCE"/>
            <w:noWrap/>
          </w:tcPr>
          <w:p w14:paraId="519DAE49" w14:textId="77777777" w:rsidR="00A00259" w:rsidRDefault="00371282">
            <w:pPr>
              <w:pStyle w:val="P68B1DB1-Normal12"/>
              <w:spacing w:after="0" w:line="240" w:lineRule="auto"/>
              <w:rPr>
                <w:rFonts w:eastAsia="Times New Roman"/>
                <w:noProof/>
              </w:rPr>
            </w:pPr>
            <w:r>
              <w:rPr>
                <w:noProof/>
              </w:rPr>
              <w:t>Étape</w:t>
            </w:r>
          </w:p>
        </w:tc>
        <w:tc>
          <w:tcPr>
            <w:tcW w:w="1276" w:type="dxa"/>
            <w:tcBorders>
              <w:top w:val="single" w:sz="2" w:space="0" w:color="000000"/>
              <w:left w:val="single" w:sz="2" w:space="0" w:color="000000"/>
              <w:bottom w:val="single" w:sz="2" w:space="0" w:color="000000"/>
              <w:right w:val="single" w:sz="2" w:space="0" w:color="000000"/>
            </w:tcBorders>
            <w:shd w:val="clear" w:color="auto" w:fill="C6EFCE"/>
            <w:noWrap/>
          </w:tcPr>
          <w:p w14:paraId="29341A6F" w14:textId="77777777" w:rsidR="00A00259" w:rsidRDefault="00371282">
            <w:pPr>
              <w:pStyle w:val="P68B1DB1-Normal12"/>
              <w:spacing w:after="0" w:line="240" w:lineRule="auto"/>
              <w:rPr>
                <w:rFonts w:eastAsia="Times New Roman"/>
                <w:noProof/>
              </w:rPr>
            </w:pPr>
            <w:r>
              <w:rPr>
                <w:noProof/>
              </w:rPr>
              <w:t>Accords opérationnels avec les IFI</w:t>
            </w:r>
          </w:p>
        </w:tc>
        <w:tc>
          <w:tcPr>
            <w:tcW w:w="1276" w:type="dxa"/>
            <w:tcBorders>
              <w:top w:val="single" w:sz="2" w:space="0" w:color="000000"/>
              <w:left w:val="single" w:sz="2" w:space="0" w:color="000000"/>
              <w:bottom w:val="single" w:sz="2" w:space="0" w:color="000000"/>
              <w:right w:val="single" w:sz="2" w:space="0" w:color="000000"/>
            </w:tcBorders>
            <w:shd w:val="clear" w:color="auto" w:fill="C6EFCE"/>
            <w:noWrap/>
          </w:tcPr>
          <w:p w14:paraId="4EE6EE16" w14:textId="77777777" w:rsidR="00A00259" w:rsidRDefault="00371282">
            <w:pPr>
              <w:pStyle w:val="P68B1DB1-Normal12"/>
              <w:spacing w:after="0" w:line="240" w:lineRule="auto"/>
              <w:rPr>
                <w:rFonts w:eastAsia="Times New Roman"/>
                <w:noProof/>
              </w:rPr>
            </w:pPr>
            <w:r>
              <w:rPr>
                <w:noProof/>
              </w:rPr>
              <w:t>Signature d'un accord opérationnel avec une institution financière internationale</w:t>
            </w:r>
          </w:p>
        </w:tc>
        <w:tc>
          <w:tcPr>
            <w:tcW w:w="1134" w:type="dxa"/>
            <w:tcBorders>
              <w:top w:val="single" w:sz="2" w:space="0" w:color="000000"/>
              <w:left w:val="single" w:sz="2" w:space="0" w:color="000000"/>
              <w:bottom w:val="single" w:sz="2" w:space="0" w:color="000000"/>
              <w:right w:val="single" w:sz="2" w:space="0" w:color="000000"/>
            </w:tcBorders>
            <w:shd w:val="clear" w:color="auto" w:fill="C6EFCE"/>
            <w:noWrap/>
          </w:tcPr>
          <w:p w14:paraId="0C48B31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417" w:type="dxa"/>
            <w:tcBorders>
              <w:top w:val="single" w:sz="2" w:space="0" w:color="000000"/>
              <w:left w:val="single" w:sz="2" w:space="0" w:color="000000"/>
              <w:bottom w:val="single" w:sz="2" w:space="0" w:color="000000"/>
              <w:right w:val="single" w:sz="2" w:space="0" w:color="000000"/>
            </w:tcBorders>
            <w:shd w:val="clear" w:color="auto" w:fill="C6EFCE"/>
            <w:noWrap/>
          </w:tcPr>
          <w:p w14:paraId="5C0A23F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418" w:type="dxa"/>
            <w:tcBorders>
              <w:top w:val="single" w:sz="2" w:space="0" w:color="000000"/>
              <w:left w:val="single" w:sz="2" w:space="0" w:color="000000"/>
              <w:bottom w:val="single" w:sz="2" w:space="0" w:color="000000"/>
              <w:right w:val="single" w:sz="2" w:space="0" w:color="000000"/>
            </w:tcBorders>
            <w:shd w:val="clear" w:color="auto" w:fill="C6EFCE"/>
            <w:noWrap/>
          </w:tcPr>
          <w:p w14:paraId="0C12623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tcBorders>
              <w:top w:val="single" w:sz="2" w:space="0" w:color="000000"/>
              <w:left w:val="single" w:sz="2" w:space="0" w:color="000000"/>
              <w:bottom w:val="single" w:sz="2" w:space="0" w:color="000000"/>
              <w:right w:val="single" w:sz="2" w:space="0" w:color="000000"/>
            </w:tcBorders>
            <w:shd w:val="clear" w:color="auto" w:fill="C6EFCE"/>
            <w:noWrap/>
          </w:tcPr>
          <w:p w14:paraId="384ECD9E" w14:textId="77777777" w:rsidR="00A00259" w:rsidRDefault="00371282">
            <w:pPr>
              <w:pStyle w:val="P68B1DB1-Normal12"/>
              <w:spacing w:after="0" w:line="240" w:lineRule="auto"/>
              <w:rPr>
                <w:rFonts w:eastAsia="Times New Roman"/>
                <w:noProof/>
              </w:rPr>
            </w:pPr>
            <w:r>
              <w:rPr>
                <w:noProof/>
              </w:rPr>
              <w:t>T3</w:t>
            </w:r>
          </w:p>
        </w:tc>
        <w:tc>
          <w:tcPr>
            <w:tcW w:w="851" w:type="dxa"/>
            <w:tcBorders>
              <w:top w:val="single" w:sz="2" w:space="0" w:color="000000"/>
              <w:left w:val="single" w:sz="2" w:space="0" w:color="000000"/>
              <w:bottom w:val="single" w:sz="2" w:space="0" w:color="000000"/>
              <w:right w:val="single" w:sz="2" w:space="0" w:color="000000"/>
            </w:tcBorders>
            <w:shd w:val="clear" w:color="auto" w:fill="C6EFCE"/>
            <w:noWrap/>
          </w:tcPr>
          <w:p w14:paraId="423306FB" w14:textId="77777777" w:rsidR="00A00259" w:rsidRDefault="00371282">
            <w:pPr>
              <w:pStyle w:val="P68B1DB1-Normal12"/>
              <w:spacing w:after="0" w:line="240" w:lineRule="auto"/>
              <w:rPr>
                <w:rFonts w:eastAsia="Times New Roman"/>
                <w:noProof/>
              </w:rPr>
            </w:pPr>
            <w:r>
              <w:rPr>
                <w:noProof/>
              </w:rPr>
              <w:t>2021</w:t>
            </w:r>
          </w:p>
        </w:tc>
        <w:tc>
          <w:tcPr>
            <w:tcW w:w="4028" w:type="dxa"/>
            <w:tcBorders>
              <w:top w:val="single" w:sz="2" w:space="0" w:color="000000"/>
              <w:left w:val="single" w:sz="2" w:space="0" w:color="000000"/>
              <w:bottom w:val="single" w:sz="2" w:space="0" w:color="000000"/>
              <w:right w:val="single" w:sz="2" w:space="0" w:color="000000"/>
            </w:tcBorders>
            <w:shd w:val="clear" w:color="auto" w:fill="C6EFCE"/>
            <w:noWrap/>
          </w:tcPr>
          <w:p w14:paraId="3A9FAA31" w14:textId="77777777" w:rsidR="00A00259" w:rsidRDefault="00371282">
            <w:pPr>
              <w:pStyle w:val="P68B1DB1-Normal12"/>
              <w:spacing w:after="0" w:line="240" w:lineRule="auto"/>
              <w:rPr>
                <w:rFonts w:eastAsia="Times New Roman"/>
                <w:noProof/>
              </w:rPr>
            </w:pPr>
            <w:r>
              <w:rPr>
                <w:noProof/>
              </w:rPr>
              <w:t>Adopter un accord-cadre opérationnel à utiliser pour tous les accords de prêt avec les institutions financières internationales et signer les accords opérationnels entre le ministère des finances et au moins une institution financière internationale. L'arrangement opérationnel-cadre définit:</w:t>
            </w:r>
          </w:p>
          <w:p w14:paraId="1A50FFEE" w14:textId="77777777" w:rsidR="00A00259" w:rsidRDefault="00371282">
            <w:pPr>
              <w:pStyle w:val="P68B1DB1-Normal12"/>
              <w:spacing w:after="0" w:line="240" w:lineRule="auto"/>
              <w:rPr>
                <w:rFonts w:eastAsia="Times New Roman"/>
                <w:noProof/>
              </w:rPr>
            </w:pPr>
            <w:r>
              <w:rPr>
                <w:noProof/>
              </w:rPr>
              <w:t xml:space="preserve">a) Critères de gouvernance, de sélection, de suivi et d'audit, et de partage des pertes, comme suit: </w:t>
            </w:r>
          </w:p>
          <w:p w14:paraId="3077170B" w14:textId="77777777" w:rsidR="00A00259" w:rsidRDefault="00371282">
            <w:pPr>
              <w:pStyle w:val="P68B1DB1-Normal12"/>
              <w:numPr>
                <w:ilvl w:val="0"/>
                <w:numId w:val="86"/>
              </w:numPr>
              <w:tabs>
                <w:tab w:val="left" w:pos="0"/>
              </w:tabs>
              <w:spacing w:after="0" w:line="240" w:lineRule="auto"/>
              <w:jc w:val="both"/>
              <w:rPr>
                <w:rFonts w:eastAsia="Times New Roman"/>
                <w:noProof/>
              </w:rPr>
            </w:pPr>
            <w:r>
              <w:rPr>
                <w:noProof/>
              </w:rPr>
              <w:t>Le cadre de gouvernance:</w:t>
            </w:r>
          </w:p>
          <w:p w14:paraId="63BBC2B5" w14:textId="77777777" w:rsidR="00A00259" w:rsidRDefault="00371282">
            <w:pPr>
              <w:pStyle w:val="P68B1DB1-Normal12"/>
              <w:numPr>
                <w:ilvl w:val="1"/>
                <w:numId w:val="86"/>
              </w:numPr>
              <w:tabs>
                <w:tab w:val="left" w:pos="0"/>
              </w:tabs>
              <w:spacing w:after="0" w:line="240" w:lineRule="auto"/>
              <w:jc w:val="both"/>
              <w:rPr>
                <w:rFonts w:eastAsia="Times New Roman"/>
                <w:noProof/>
              </w:rPr>
            </w:pPr>
            <w:r>
              <w:rPr>
                <w:noProof/>
              </w:rPr>
              <w:t>La prise de décision est fondée sur des critères économiques solides et est indépendante du gouvernement.</w:t>
            </w:r>
          </w:p>
          <w:p w14:paraId="35297F0F" w14:textId="77777777" w:rsidR="00A00259" w:rsidRDefault="00371282">
            <w:pPr>
              <w:pStyle w:val="P68B1DB1-Normal12"/>
              <w:numPr>
                <w:ilvl w:val="1"/>
                <w:numId w:val="86"/>
              </w:numPr>
              <w:tabs>
                <w:tab w:val="left" w:pos="0"/>
              </w:tabs>
              <w:spacing w:after="0" w:line="240" w:lineRule="auto"/>
              <w:jc w:val="both"/>
              <w:rPr>
                <w:rFonts w:eastAsia="Times New Roman"/>
                <w:noProof/>
              </w:rPr>
            </w:pPr>
            <w:r>
              <w:rPr>
                <w:noProof/>
              </w:rPr>
              <w:t>Les IFI évaluent les demandes de financement et décident en fonction de leurs critères internes. Les IFI veillent à ce que les investissements financés aient une valeur actuelle nette positive, soient alignés sur les piliers stratégiques de la facilité de prêt et respectent les règles en matière d’aides d’État.</w:t>
            </w:r>
          </w:p>
          <w:p w14:paraId="13FC2C1B" w14:textId="77777777" w:rsidR="00A00259" w:rsidRDefault="00371282">
            <w:pPr>
              <w:pStyle w:val="P68B1DB1-Normal12"/>
              <w:numPr>
                <w:ilvl w:val="1"/>
                <w:numId w:val="86"/>
              </w:numPr>
              <w:tabs>
                <w:tab w:val="left" w:pos="0"/>
              </w:tabs>
              <w:spacing w:after="0" w:line="240" w:lineRule="auto"/>
              <w:jc w:val="both"/>
              <w:rPr>
                <w:rFonts w:eastAsia="Times New Roman"/>
                <w:noProof/>
              </w:rPr>
            </w:pPr>
            <w:r>
              <w:rPr>
                <w:noProof/>
              </w:rPr>
              <w:t xml:space="preserve">Un comité du comité d’investissement spécifique assure le suivi de la mise en œuvre, sans être associé au processus de sélection. Les IFI font régulièrement rapport au comité du conseil d'investissement. </w:t>
            </w:r>
          </w:p>
          <w:p w14:paraId="4C34D07D" w14:textId="77777777" w:rsidR="00A00259" w:rsidRDefault="00371282">
            <w:pPr>
              <w:pStyle w:val="P68B1DB1-Normal12"/>
              <w:numPr>
                <w:ilvl w:val="0"/>
                <w:numId w:val="86"/>
              </w:numPr>
              <w:tabs>
                <w:tab w:val="left" w:pos="0"/>
              </w:tabs>
              <w:spacing w:after="0" w:line="240" w:lineRule="auto"/>
              <w:jc w:val="both"/>
              <w:rPr>
                <w:rFonts w:eastAsia="Times New Roman"/>
                <w:noProof/>
              </w:rPr>
            </w:pPr>
            <w:r>
              <w:rPr>
                <w:noProof/>
              </w:rPr>
              <w:t>Le montant du décaissement qui se fait par tranches et les modalités de suivi et d'audit:</w:t>
            </w:r>
          </w:p>
          <w:p w14:paraId="212F2C98" w14:textId="77777777" w:rsidR="00A00259" w:rsidRDefault="00371282">
            <w:pPr>
              <w:pStyle w:val="P68B1DB1-Normal12"/>
              <w:numPr>
                <w:ilvl w:val="1"/>
                <w:numId w:val="86"/>
              </w:numPr>
              <w:tabs>
                <w:tab w:val="left" w:pos="0"/>
              </w:tabs>
              <w:spacing w:after="0" w:line="240" w:lineRule="auto"/>
              <w:jc w:val="both"/>
              <w:rPr>
                <w:rFonts w:eastAsia="Times New Roman"/>
                <w:noProof/>
              </w:rPr>
            </w:pPr>
            <w:r>
              <w:rPr>
                <w:noProof/>
              </w:rPr>
              <w:t>Des indicateurs clés de performance (ICP) sont fixés pour le suivi des prêts décaissés, qui peuvent également servir de référence pour la libération conditionnelle de tranches supplémentaires.</w:t>
            </w:r>
          </w:p>
          <w:p w14:paraId="29CE8D40" w14:textId="77777777" w:rsidR="00A00259" w:rsidRDefault="00371282">
            <w:pPr>
              <w:pStyle w:val="P68B1DB1-Normal12"/>
              <w:numPr>
                <w:ilvl w:val="1"/>
                <w:numId w:val="86"/>
              </w:numPr>
              <w:tabs>
                <w:tab w:val="left" w:pos="0"/>
              </w:tabs>
              <w:spacing w:after="0" w:line="240" w:lineRule="auto"/>
              <w:jc w:val="both"/>
              <w:rPr>
                <w:rFonts w:eastAsia="Times New Roman"/>
                <w:noProof/>
              </w:rPr>
            </w:pPr>
            <w:r>
              <w:rPr>
                <w:noProof/>
              </w:rPr>
              <w:t>Trois niveaux de contrôle de l'éligibilité sont prévus: (i) l’évaluation par l’établissement financier qui fournit le financement; ii) évaluation par un auditeur certifié indépendant avant la fourniture du financement; et iii) une évaluation ex post par un auditeur certifié indépendant.</w:t>
            </w:r>
            <w:r>
              <w:rPr>
                <w:noProof/>
                <w:highlight w:val="yellow"/>
              </w:rPr>
              <w:t xml:space="preserve"> </w:t>
            </w:r>
            <w:r>
              <w:rPr>
                <w:noProof/>
              </w:rPr>
              <w:t xml:space="preserve">Les auditeurs indépendants évaluent l’éligibilité des investissements en fonction des critères de sélection et du respect des règles applicables en matière d’aides d’État. </w:t>
            </w:r>
          </w:p>
          <w:p w14:paraId="740D9568" w14:textId="77777777" w:rsidR="00A00259" w:rsidRDefault="00371282">
            <w:pPr>
              <w:pStyle w:val="P68B1DB1-Normal12"/>
              <w:numPr>
                <w:ilvl w:val="0"/>
                <w:numId w:val="86"/>
              </w:numPr>
              <w:tabs>
                <w:tab w:val="left" w:pos="0"/>
              </w:tabs>
              <w:spacing w:after="0" w:line="240" w:lineRule="auto"/>
              <w:jc w:val="both"/>
              <w:rPr>
                <w:rFonts w:eastAsia="Times New Roman"/>
                <w:noProof/>
              </w:rPr>
            </w:pPr>
            <w:r>
              <w:rPr>
                <w:noProof/>
              </w:rPr>
              <w:t xml:space="preserve">Pertes sur prêts (obligations ou syndiqués): L'État et le FII participent pari passu. Toutes les décisions relatives à la restructuration sont attribuées aux établissements financiers. </w:t>
            </w:r>
          </w:p>
          <w:p w14:paraId="4829A9B9" w14:textId="77777777" w:rsidR="00A00259" w:rsidRDefault="00371282">
            <w:pPr>
              <w:pStyle w:val="P68B1DB1-Normal12"/>
              <w:numPr>
                <w:ilvl w:val="0"/>
                <w:numId w:val="86"/>
              </w:numPr>
              <w:tabs>
                <w:tab w:val="left" w:pos="0"/>
              </w:tabs>
              <w:spacing w:after="0" w:line="240" w:lineRule="auto"/>
              <w:jc w:val="both"/>
              <w:rPr>
                <w:rFonts w:eastAsia="Times New Roman"/>
                <w:noProof/>
              </w:rPr>
            </w:pPr>
            <w:r>
              <w:rPr>
                <w:noProof/>
              </w:rPr>
              <w:t xml:space="preserve">Le refinancement de l'encours des prêts est exclu. </w:t>
            </w:r>
          </w:p>
          <w:p w14:paraId="0160EA43" w14:textId="77777777" w:rsidR="00A00259" w:rsidRDefault="00371282">
            <w:pPr>
              <w:pStyle w:val="P68B1DB1-Normal12"/>
              <w:tabs>
                <w:tab w:val="left" w:pos="0"/>
              </w:tabs>
              <w:spacing w:after="0" w:line="240" w:lineRule="auto"/>
              <w:jc w:val="both"/>
              <w:rPr>
                <w:rFonts w:eastAsia="Times New Roman"/>
                <w:noProof/>
              </w:rPr>
            </w:pPr>
            <w:r>
              <w:rPr>
                <w:noProof/>
              </w:rPr>
              <w:t>b) Critères de sélection pour la conformité aux orientations techniques «Ne pas causer de préjudice important» (2021/C58/01) des activités soutenues, exigeant l’utilisation d’une évaluation de la durabilité, d’une liste d’exclusion et de contrôles obligatoires de la conformité juridique avec la législation environnementale pertinente de l’UE et nationale par un auditeur indépendant.</w:t>
            </w:r>
          </w:p>
          <w:p w14:paraId="7E07CDD3" w14:textId="77777777" w:rsidR="00A00259" w:rsidRDefault="00371282">
            <w:pPr>
              <w:pStyle w:val="P68B1DB1-Normal12"/>
              <w:spacing w:after="0" w:line="240" w:lineRule="auto"/>
              <w:rPr>
                <w:rFonts w:eastAsia="Times New Roman"/>
                <w:noProof/>
              </w:rPr>
            </w:pPr>
            <w:r>
              <w:rPr>
                <w:noProof/>
              </w:rPr>
              <w:t>c) Engagement d’investir au moins 38,5 % des fonds pour soutenir la transition climatique et 20,8 % des fonds pour soutenir la transition numérique, en utilisant la méthode décrite aux annexes VI et VII du règlement FRR.</w:t>
            </w:r>
          </w:p>
        </w:tc>
      </w:tr>
      <w:bookmarkEnd w:id="7"/>
      <w:tr w:rsidR="00A00259" w14:paraId="7BE95424" w14:textId="77777777" w:rsidTr="00096954">
        <w:trPr>
          <w:trHeight w:val="314"/>
          <w:jc w:val="center"/>
        </w:trPr>
        <w:tc>
          <w:tcPr>
            <w:tcW w:w="602" w:type="dxa"/>
            <w:tcBorders>
              <w:top w:val="single" w:sz="2" w:space="0" w:color="000000"/>
              <w:left w:val="single" w:sz="4" w:space="0" w:color="auto"/>
              <w:bottom w:val="single" w:sz="4" w:space="0" w:color="auto"/>
              <w:right w:val="single" w:sz="4" w:space="0" w:color="auto"/>
            </w:tcBorders>
            <w:shd w:val="clear" w:color="auto" w:fill="C6EFCE"/>
            <w:noWrap/>
          </w:tcPr>
          <w:p w14:paraId="41E5DA24" w14:textId="77777777" w:rsidR="00A00259" w:rsidRDefault="00371282">
            <w:pPr>
              <w:pStyle w:val="P68B1DB1-Normal12"/>
              <w:spacing w:after="0" w:line="240" w:lineRule="auto"/>
              <w:rPr>
                <w:rFonts w:eastAsia="Times New Roman"/>
                <w:noProof/>
              </w:rPr>
            </w:pPr>
            <w:r>
              <w:rPr>
                <w:noProof/>
              </w:rPr>
              <w:t>321</w:t>
            </w:r>
          </w:p>
        </w:tc>
        <w:tc>
          <w:tcPr>
            <w:tcW w:w="1614" w:type="dxa"/>
            <w:tcBorders>
              <w:top w:val="single" w:sz="2" w:space="0" w:color="000000"/>
              <w:left w:val="nil"/>
              <w:bottom w:val="single" w:sz="4" w:space="0" w:color="auto"/>
              <w:right w:val="single" w:sz="4" w:space="0" w:color="auto"/>
            </w:tcBorders>
            <w:shd w:val="clear" w:color="auto" w:fill="C6EFCE"/>
            <w:noWrap/>
          </w:tcPr>
          <w:p w14:paraId="29EE648E" w14:textId="77777777" w:rsidR="00A00259" w:rsidRDefault="00371282">
            <w:pPr>
              <w:pStyle w:val="P68B1DB1-Normal12"/>
              <w:spacing w:after="0" w:line="240" w:lineRule="auto"/>
              <w:rPr>
                <w:rFonts w:eastAsia="Times New Roman"/>
                <w:noProof/>
              </w:rPr>
            </w:pPr>
            <w:r>
              <w:rPr>
                <w:noProof/>
              </w:rPr>
              <w:t>4.7. Améliorer la compétitivité et promouvoir les investissements privés et les exportations - 16980_RRP Loan Facility</w:t>
            </w:r>
          </w:p>
        </w:tc>
        <w:tc>
          <w:tcPr>
            <w:tcW w:w="1275" w:type="dxa"/>
            <w:tcBorders>
              <w:top w:val="single" w:sz="2" w:space="0" w:color="000000"/>
              <w:left w:val="nil"/>
              <w:bottom w:val="single" w:sz="4" w:space="0" w:color="auto"/>
              <w:right w:val="single" w:sz="4" w:space="0" w:color="auto"/>
            </w:tcBorders>
            <w:shd w:val="clear" w:color="auto" w:fill="C6EFCE"/>
            <w:noWrap/>
          </w:tcPr>
          <w:p w14:paraId="39946E62" w14:textId="77777777" w:rsidR="00A00259" w:rsidRDefault="00371282">
            <w:pPr>
              <w:pStyle w:val="P68B1DB1-Normal12"/>
              <w:spacing w:after="0" w:line="240" w:lineRule="auto"/>
              <w:rPr>
                <w:rFonts w:eastAsia="Times New Roman"/>
                <w:noProof/>
              </w:rPr>
            </w:pPr>
            <w:r>
              <w:rPr>
                <w:noProof/>
              </w:rPr>
              <w:t>Étape</w:t>
            </w:r>
          </w:p>
        </w:tc>
        <w:tc>
          <w:tcPr>
            <w:tcW w:w="1276" w:type="dxa"/>
            <w:tcBorders>
              <w:top w:val="single" w:sz="2" w:space="0" w:color="000000"/>
              <w:left w:val="nil"/>
              <w:bottom w:val="single" w:sz="4" w:space="0" w:color="auto"/>
              <w:right w:val="single" w:sz="4" w:space="0" w:color="auto"/>
            </w:tcBorders>
            <w:shd w:val="clear" w:color="auto" w:fill="C6EFCE"/>
            <w:noWrap/>
          </w:tcPr>
          <w:p w14:paraId="0E5B746E" w14:textId="77777777" w:rsidR="00A00259" w:rsidRDefault="00371282">
            <w:pPr>
              <w:pStyle w:val="P68B1DB1-Normal12"/>
              <w:spacing w:after="0" w:line="240" w:lineRule="auto"/>
              <w:rPr>
                <w:rFonts w:eastAsia="Times New Roman"/>
                <w:noProof/>
              </w:rPr>
            </w:pPr>
            <w:r>
              <w:rPr>
                <w:noProof/>
              </w:rPr>
              <w:t>Lancement de l'appel des banques commerciales</w:t>
            </w:r>
          </w:p>
        </w:tc>
        <w:tc>
          <w:tcPr>
            <w:tcW w:w="1276" w:type="dxa"/>
            <w:tcBorders>
              <w:top w:val="single" w:sz="2" w:space="0" w:color="000000"/>
              <w:left w:val="nil"/>
              <w:bottom w:val="single" w:sz="4" w:space="0" w:color="auto"/>
              <w:right w:val="single" w:sz="4" w:space="0" w:color="auto"/>
            </w:tcBorders>
            <w:shd w:val="clear" w:color="auto" w:fill="C6EFCE"/>
            <w:noWrap/>
          </w:tcPr>
          <w:p w14:paraId="658E56BB" w14:textId="77777777" w:rsidR="00A00259" w:rsidRDefault="00371282">
            <w:pPr>
              <w:pStyle w:val="P68B1DB1-Normal12"/>
              <w:spacing w:after="0" w:line="240" w:lineRule="auto"/>
              <w:rPr>
                <w:rFonts w:eastAsia="Times New Roman"/>
                <w:noProof/>
              </w:rPr>
            </w:pPr>
            <w:r>
              <w:rPr>
                <w:noProof/>
              </w:rPr>
              <w:t>Lancement de l'appel</w:t>
            </w:r>
          </w:p>
        </w:tc>
        <w:tc>
          <w:tcPr>
            <w:tcW w:w="1134" w:type="dxa"/>
            <w:tcBorders>
              <w:top w:val="single" w:sz="2" w:space="0" w:color="000000"/>
              <w:left w:val="nil"/>
              <w:bottom w:val="single" w:sz="4" w:space="0" w:color="auto"/>
              <w:right w:val="single" w:sz="4" w:space="0" w:color="auto"/>
            </w:tcBorders>
            <w:shd w:val="clear" w:color="auto" w:fill="C6EFCE"/>
            <w:noWrap/>
          </w:tcPr>
          <w:p w14:paraId="20A23BA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417" w:type="dxa"/>
            <w:tcBorders>
              <w:top w:val="single" w:sz="2" w:space="0" w:color="000000"/>
              <w:left w:val="nil"/>
              <w:bottom w:val="single" w:sz="4" w:space="0" w:color="auto"/>
              <w:right w:val="single" w:sz="4" w:space="0" w:color="auto"/>
            </w:tcBorders>
            <w:shd w:val="clear" w:color="auto" w:fill="C6EFCE"/>
            <w:noWrap/>
          </w:tcPr>
          <w:p w14:paraId="0AD7F301"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418" w:type="dxa"/>
            <w:tcBorders>
              <w:top w:val="single" w:sz="2" w:space="0" w:color="000000"/>
              <w:left w:val="nil"/>
              <w:bottom w:val="single" w:sz="4" w:space="0" w:color="auto"/>
              <w:right w:val="single" w:sz="4" w:space="0" w:color="auto"/>
            </w:tcBorders>
            <w:shd w:val="clear" w:color="auto" w:fill="C6EFCE"/>
            <w:noWrap/>
          </w:tcPr>
          <w:p w14:paraId="199225B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tcBorders>
              <w:top w:val="single" w:sz="2" w:space="0" w:color="000000"/>
              <w:left w:val="nil"/>
              <w:bottom w:val="single" w:sz="4" w:space="0" w:color="auto"/>
              <w:right w:val="single" w:sz="4" w:space="0" w:color="auto"/>
            </w:tcBorders>
            <w:shd w:val="clear" w:color="auto" w:fill="C6EFCE"/>
            <w:noWrap/>
          </w:tcPr>
          <w:p w14:paraId="16BD8160" w14:textId="77777777" w:rsidR="00A00259" w:rsidRDefault="00371282">
            <w:pPr>
              <w:pStyle w:val="P68B1DB1-Normal12"/>
              <w:spacing w:after="0" w:line="240" w:lineRule="auto"/>
              <w:rPr>
                <w:rFonts w:eastAsia="Times New Roman"/>
                <w:noProof/>
              </w:rPr>
            </w:pPr>
            <w:r>
              <w:rPr>
                <w:noProof/>
              </w:rPr>
              <w:t>T3</w:t>
            </w:r>
          </w:p>
        </w:tc>
        <w:tc>
          <w:tcPr>
            <w:tcW w:w="851" w:type="dxa"/>
            <w:tcBorders>
              <w:top w:val="single" w:sz="2" w:space="0" w:color="000000"/>
              <w:left w:val="nil"/>
              <w:bottom w:val="single" w:sz="4" w:space="0" w:color="auto"/>
              <w:right w:val="single" w:sz="4" w:space="0" w:color="auto"/>
            </w:tcBorders>
            <w:shd w:val="clear" w:color="auto" w:fill="C6EFCE"/>
            <w:noWrap/>
          </w:tcPr>
          <w:p w14:paraId="7F18F392" w14:textId="77777777" w:rsidR="00A00259" w:rsidRDefault="00371282">
            <w:pPr>
              <w:pStyle w:val="P68B1DB1-Normal12"/>
              <w:spacing w:after="0" w:line="240" w:lineRule="auto"/>
              <w:rPr>
                <w:rFonts w:eastAsia="Times New Roman"/>
                <w:noProof/>
              </w:rPr>
            </w:pPr>
            <w:r>
              <w:rPr>
                <w:noProof/>
              </w:rPr>
              <w:t>2021</w:t>
            </w:r>
          </w:p>
        </w:tc>
        <w:tc>
          <w:tcPr>
            <w:tcW w:w="4028" w:type="dxa"/>
            <w:tcBorders>
              <w:top w:val="single" w:sz="2" w:space="0" w:color="000000"/>
              <w:left w:val="nil"/>
              <w:bottom w:val="single" w:sz="4" w:space="0" w:color="auto"/>
              <w:right w:val="single" w:sz="4" w:space="0" w:color="auto"/>
            </w:tcBorders>
            <w:shd w:val="clear" w:color="auto" w:fill="C6EFCE"/>
            <w:noWrap/>
          </w:tcPr>
          <w:p w14:paraId="7B4534FA" w14:textId="77777777" w:rsidR="00A00259" w:rsidRDefault="00371282">
            <w:pPr>
              <w:pStyle w:val="P68B1DB1-Normal12"/>
              <w:spacing w:after="0" w:line="240" w:lineRule="auto"/>
              <w:rPr>
                <w:rFonts w:eastAsia="Times New Roman"/>
                <w:noProof/>
              </w:rPr>
            </w:pPr>
            <w:r>
              <w:rPr>
                <w:noProof/>
              </w:rPr>
              <w:t>Adopter un dispositif opérationnel cadre à utiliser pour tous les accords de prêt avec les banques commerciales et lancer un appel pour la sélection des banques commerciales, y compris:</w:t>
            </w:r>
          </w:p>
          <w:p w14:paraId="290E4E49" w14:textId="77777777" w:rsidR="00A00259" w:rsidRDefault="00371282">
            <w:pPr>
              <w:pStyle w:val="P68B1DB1-Normal12"/>
              <w:spacing w:after="0" w:line="240" w:lineRule="auto"/>
              <w:rPr>
                <w:rFonts w:eastAsia="Times New Roman"/>
                <w:noProof/>
              </w:rPr>
            </w:pPr>
            <w:r>
              <w:rPr>
                <w:noProof/>
              </w:rPr>
              <w:t>a) Critères de gouvernance, de sélection, de suivi et d'audit, et de partage des pertes selon les mêmes principes que ceux applicables aux prêts acheminés par l'intermédiaire des IFI décrits ci-dessus (étape 320). Aucune garantie de l'État n'est accordée pour les prêts accordés par les banques commerciales dans le cadre de la facilité de prêt.</w:t>
            </w:r>
          </w:p>
          <w:p w14:paraId="24DE1CEA" w14:textId="77777777" w:rsidR="00A00259" w:rsidRDefault="00371282">
            <w:pPr>
              <w:pStyle w:val="P68B1DB1-Normal12"/>
              <w:spacing w:after="0" w:line="240" w:lineRule="auto"/>
              <w:rPr>
                <w:rFonts w:eastAsia="Times New Roman"/>
                <w:noProof/>
              </w:rPr>
            </w:pPr>
            <w:r>
              <w:rPr>
                <w:noProof/>
              </w:rPr>
              <w:t>b) Critères de sélection pour la conformité aux orientations techniques «Ne pas causer de préjudice important» (2021/C58/01) des activités soutenues, exigeant l’utilisation d’une évaluation de la durabilité, d’une liste d’exclusion et de contrôles obligatoires de la conformité juridique avec la législation environnementale pertinente de l’UE et nationale par un auditeur indépendant.</w:t>
            </w:r>
          </w:p>
          <w:p w14:paraId="661CDA23" w14:textId="34DD25B6" w:rsidR="00A00259" w:rsidRDefault="00371282">
            <w:pPr>
              <w:pStyle w:val="P68B1DB1-Normal12"/>
              <w:spacing w:after="0" w:line="240" w:lineRule="auto"/>
              <w:rPr>
                <w:rFonts w:eastAsia="Times New Roman"/>
                <w:noProof/>
              </w:rPr>
            </w:pPr>
            <w:r>
              <w:rPr>
                <w:noProof/>
              </w:rPr>
              <w:t>c) Engagement d’investir au moins 38,5 % des fonds pour soutenir la transition climatique et 20,8 % des fonds pour soutenir la transition numérique, en utilisant la méthode décrite aux annexes VI et VII du règlement FRR.</w:t>
            </w:r>
          </w:p>
        </w:tc>
      </w:tr>
      <w:tr w:rsidR="00A00259" w14:paraId="7064BDAA" w14:textId="77777777" w:rsidTr="00096954">
        <w:trPr>
          <w:trHeight w:val="314"/>
          <w:jc w:val="center"/>
        </w:trPr>
        <w:tc>
          <w:tcPr>
            <w:tcW w:w="602" w:type="dxa"/>
            <w:tcBorders>
              <w:top w:val="nil"/>
              <w:left w:val="single" w:sz="4" w:space="0" w:color="auto"/>
              <w:bottom w:val="single" w:sz="4" w:space="0" w:color="auto"/>
              <w:right w:val="single" w:sz="4" w:space="0" w:color="auto"/>
            </w:tcBorders>
            <w:shd w:val="clear" w:color="auto" w:fill="C6EFCE"/>
            <w:noWrap/>
            <w:hideMark/>
          </w:tcPr>
          <w:p w14:paraId="414DEAB4" w14:textId="77777777" w:rsidR="00A00259" w:rsidRDefault="00371282">
            <w:pPr>
              <w:pStyle w:val="P68B1DB1-Normal12"/>
              <w:spacing w:after="0" w:line="240" w:lineRule="auto"/>
              <w:rPr>
                <w:noProof/>
              </w:rPr>
            </w:pPr>
            <w:r>
              <w:rPr>
                <w:noProof/>
              </w:rPr>
              <w:t>322</w:t>
            </w:r>
          </w:p>
        </w:tc>
        <w:tc>
          <w:tcPr>
            <w:tcW w:w="1614" w:type="dxa"/>
            <w:tcBorders>
              <w:top w:val="nil"/>
              <w:left w:val="nil"/>
              <w:bottom w:val="single" w:sz="4" w:space="0" w:color="auto"/>
              <w:right w:val="single" w:sz="4" w:space="0" w:color="auto"/>
            </w:tcBorders>
            <w:shd w:val="clear" w:color="auto" w:fill="C6EFCE"/>
            <w:noWrap/>
            <w:hideMark/>
          </w:tcPr>
          <w:p w14:paraId="6531DE85" w14:textId="77777777" w:rsidR="00A00259" w:rsidRDefault="00371282">
            <w:pPr>
              <w:pStyle w:val="P68B1DB1-Normal12"/>
              <w:spacing w:after="0" w:line="240" w:lineRule="auto"/>
              <w:rPr>
                <w:rFonts w:eastAsia="Times New Roman"/>
                <w:noProof/>
              </w:rPr>
            </w:pPr>
            <w:r>
              <w:rPr>
                <w:noProof/>
              </w:rPr>
              <w:t>4.7. Améliorer la compétitivité et promouvoir les investissements privés et les exportations - 16980_RRP Loan Facility</w:t>
            </w:r>
          </w:p>
        </w:tc>
        <w:tc>
          <w:tcPr>
            <w:tcW w:w="1275" w:type="dxa"/>
            <w:tcBorders>
              <w:top w:val="nil"/>
              <w:left w:val="nil"/>
              <w:bottom w:val="single" w:sz="4" w:space="0" w:color="auto"/>
              <w:right w:val="single" w:sz="4" w:space="0" w:color="auto"/>
            </w:tcBorders>
            <w:shd w:val="clear" w:color="auto" w:fill="C6EFCE"/>
            <w:noWrap/>
            <w:hideMark/>
          </w:tcPr>
          <w:p w14:paraId="45327A12" w14:textId="77777777" w:rsidR="00A00259" w:rsidRDefault="00371282">
            <w:pPr>
              <w:pStyle w:val="P68B1DB1-Normal12"/>
              <w:spacing w:after="0" w:line="240" w:lineRule="auto"/>
              <w:rPr>
                <w:rFonts w:eastAsia="Times New Roman"/>
                <w:noProof/>
              </w:rPr>
            </w:pPr>
            <w:r>
              <w:rPr>
                <w:noProof/>
              </w:rPr>
              <w:t>Étape</w:t>
            </w:r>
          </w:p>
        </w:tc>
        <w:tc>
          <w:tcPr>
            <w:tcW w:w="1276" w:type="dxa"/>
            <w:tcBorders>
              <w:top w:val="nil"/>
              <w:left w:val="nil"/>
              <w:bottom w:val="single" w:sz="4" w:space="0" w:color="auto"/>
              <w:right w:val="single" w:sz="4" w:space="0" w:color="auto"/>
            </w:tcBorders>
            <w:shd w:val="clear" w:color="auto" w:fill="C6EFCE"/>
            <w:noWrap/>
            <w:hideMark/>
          </w:tcPr>
          <w:p w14:paraId="3C81D1A4" w14:textId="77777777" w:rsidR="00A00259" w:rsidRDefault="00371282">
            <w:pPr>
              <w:pStyle w:val="P68B1DB1-Normal12"/>
              <w:spacing w:after="0" w:line="240" w:lineRule="auto"/>
              <w:rPr>
                <w:rFonts w:eastAsia="Times New Roman"/>
                <w:noProof/>
              </w:rPr>
            </w:pPr>
            <w:r>
              <w:rPr>
                <w:noProof/>
              </w:rPr>
              <w:t>Accord pour la plate-forme d'équité</w:t>
            </w:r>
          </w:p>
        </w:tc>
        <w:tc>
          <w:tcPr>
            <w:tcW w:w="1276" w:type="dxa"/>
            <w:tcBorders>
              <w:top w:val="nil"/>
              <w:left w:val="nil"/>
              <w:bottom w:val="single" w:sz="4" w:space="0" w:color="auto"/>
              <w:right w:val="single" w:sz="4" w:space="0" w:color="auto"/>
            </w:tcBorders>
            <w:shd w:val="clear" w:color="auto" w:fill="C6EFCE"/>
            <w:noWrap/>
            <w:hideMark/>
          </w:tcPr>
          <w:p w14:paraId="5B5456E5" w14:textId="77777777" w:rsidR="00A00259" w:rsidRDefault="00371282">
            <w:pPr>
              <w:pStyle w:val="P68B1DB1-Normal12"/>
              <w:spacing w:after="0" w:line="240" w:lineRule="auto"/>
              <w:rPr>
                <w:rFonts w:eastAsia="Times New Roman"/>
                <w:noProof/>
              </w:rPr>
            </w:pPr>
            <w:r>
              <w:rPr>
                <w:noProof/>
              </w:rPr>
              <w:t>Signature de l’accord de mandat</w:t>
            </w:r>
          </w:p>
        </w:tc>
        <w:tc>
          <w:tcPr>
            <w:tcW w:w="1134" w:type="dxa"/>
            <w:tcBorders>
              <w:top w:val="nil"/>
              <w:left w:val="nil"/>
              <w:bottom w:val="single" w:sz="4" w:space="0" w:color="auto"/>
              <w:right w:val="single" w:sz="4" w:space="0" w:color="auto"/>
            </w:tcBorders>
            <w:shd w:val="clear" w:color="auto" w:fill="C6EFCE"/>
            <w:noWrap/>
            <w:hideMark/>
          </w:tcPr>
          <w:p w14:paraId="4D96729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417" w:type="dxa"/>
            <w:tcBorders>
              <w:top w:val="nil"/>
              <w:left w:val="nil"/>
              <w:bottom w:val="single" w:sz="4" w:space="0" w:color="auto"/>
              <w:right w:val="single" w:sz="4" w:space="0" w:color="auto"/>
            </w:tcBorders>
            <w:shd w:val="clear" w:color="auto" w:fill="C6EFCE"/>
            <w:noWrap/>
            <w:hideMark/>
          </w:tcPr>
          <w:p w14:paraId="1FB8190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418" w:type="dxa"/>
            <w:tcBorders>
              <w:top w:val="nil"/>
              <w:left w:val="nil"/>
              <w:bottom w:val="single" w:sz="4" w:space="0" w:color="auto"/>
              <w:right w:val="single" w:sz="4" w:space="0" w:color="auto"/>
            </w:tcBorders>
            <w:shd w:val="clear" w:color="auto" w:fill="C6EFCE"/>
            <w:noWrap/>
            <w:hideMark/>
          </w:tcPr>
          <w:p w14:paraId="74A4DE2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tcBorders>
              <w:top w:val="nil"/>
              <w:left w:val="nil"/>
              <w:bottom w:val="single" w:sz="4" w:space="0" w:color="auto"/>
              <w:right w:val="single" w:sz="4" w:space="0" w:color="auto"/>
            </w:tcBorders>
            <w:shd w:val="clear" w:color="auto" w:fill="C6EFCE"/>
            <w:noWrap/>
            <w:hideMark/>
          </w:tcPr>
          <w:p w14:paraId="73EBA2B5" w14:textId="77777777" w:rsidR="00A00259" w:rsidRDefault="00371282">
            <w:pPr>
              <w:pStyle w:val="P68B1DB1-Normal12"/>
              <w:spacing w:after="0" w:line="240" w:lineRule="auto"/>
              <w:rPr>
                <w:rFonts w:eastAsia="Times New Roman"/>
                <w:noProof/>
              </w:rPr>
            </w:pPr>
            <w:r>
              <w:rPr>
                <w:noProof/>
              </w:rPr>
              <w:t>T1</w:t>
            </w:r>
          </w:p>
        </w:tc>
        <w:tc>
          <w:tcPr>
            <w:tcW w:w="851" w:type="dxa"/>
            <w:tcBorders>
              <w:top w:val="nil"/>
              <w:left w:val="nil"/>
              <w:bottom w:val="single" w:sz="4" w:space="0" w:color="auto"/>
              <w:right w:val="single" w:sz="4" w:space="0" w:color="auto"/>
            </w:tcBorders>
            <w:shd w:val="clear" w:color="auto" w:fill="C6EFCE"/>
            <w:noWrap/>
            <w:hideMark/>
          </w:tcPr>
          <w:p w14:paraId="31CDF576" w14:textId="77777777" w:rsidR="00A00259" w:rsidRDefault="00371282">
            <w:pPr>
              <w:pStyle w:val="P68B1DB1-Normal12"/>
              <w:spacing w:after="0" w:line="240" w:lineRule="auto"/>
              <w:rPr>
                <w:rFonts w:eastAsia="Times New Roman"/>
                <w:noProof/>
              </w:rPr>
            </w:pPr>
            <w:r>
              <w:rPr>
                <w:noProof/>
              </w:rPr>
              <w:t>2022</w:t>
            </w:r>
          </w:p>
        </w:tc>
        <w:tc>
          <w:tcPr>
            <w:tcW w:w="4028" w:type="dxa"/>
            <w:tcBorders>
              <w:top w:val="nil"/>
              <w:left w:val="nil"/>
              <w:bottom w:val="single" w:sz="4" w:space="0" w:color="auto"/>
              <w:right w:val="single" w:sz="4" w:space="0" w:color="auto"/>
            </w:tcBorders>
            <w:shd w:val="clear" w:color="auto" w:fill="C6EFCE"/>
            <w:noWrap/>
            <w:hideMark/>
          </w:tcPr>
          <w:p w14:paraId="454E8583" w14:textId="77777777" w:rsidR="00A00259" w:rsidRDefault="00371282">
            <w:pPr>
              <w:pStyle w:val="P68B1DB1-Normal12"/>
              <w:spacing w:after="0" w:line="240" w:lineRule="auto"/>
              <w:rPr>
                <w:rFonts w:eastAsia="Times New Roman"/>
                <w:noProof/>
              </w:rPr>
            </w:pPr>
            <w:r>
              <w:rPr>
                <w:noProof/>
              </w:rPr>
              <w:t>Signature de l’accord de mandat entre le ministère des finances et la Banque hellénique de développement pour les investissements, qui gérera le fonds de fonds mezzanine et Innovate Now Equifund. L’accord de mandat comprend les critères de sélection pour le respect des orientations techniques «Ne pas causer de préjudice important» (2021/C58/01) des entreprises soutenues, exigeant l’utilisation d’une évaluation de la durabilité, d’une liste d’exclusion et de contrôles obligatoires de la conformité juridique avec la législation environnementale pertinente de l’UE et nationale par un auditeur indépendant.</w:t>
            </w:r>
          </w:p>
        </w:tc>
      </w:tr>
      <w:tr w:rsidR="00A00259" w14:paraId="454B04CC" w14:textId="77777777" w:rsidTr="00096954">
        <w:trPr>
          <w:trHeight w:val="314"/>
          <w:jc w:val="center"/>
        </w:trPr>
        <w:tc>
          <w:tcPr>
            <w:tcW w:w="602" w:type="dxa"/>
            <w:tcBorders>
              <w:top w:val="nil"/>
              <w:left w:val="single" w:sz="4" w:space="0" w:color="auto"/>
              <w:bottom w:val="single" w:sz="4" w:space="0" w:color="auto"/>
              <w:right w:val="single" w:sz="4" w:space="0" w:color="auto"/>
            </w:tcBorders>
            <w:shd w:val="clear" w:color="auto" w:fill="C6EFCE"/>
            <w:noWrap/>
            <w:hideMark/>
          </w:tcPr>
          <w:p w14:paraId="63CD231C" w14:textId="77777777" w:rsidR="00A00259" w:rsidRDefault="00371282">
            <w:pPr>
              <w:pStyle w:val="P68B1DB1-Normal12"/>
              <w:spacing w:after="0" w:line="240" w:lineRule="auto"/>
              <w:rPr>
                <w:noProof/>
              </w:rPr>
            </w:pPr>
            <w:r>
              <w:rPr>
                <w:noProof/>
              </w:rPr>
              <w:t>323</w:t>
            </w:r>
          </w:p>
        </w:tc>
        <w:tc>
          <w:tcPr>
            <w:tcW w:w="1614" w:type="dxa"/>
            <w:tcBorders>
              <w:top w:val="nil"/>
              <w:left w:val="nil"/>
              <w:bottom w:val="single" w:sz="4" w:space="0" w:color="auto"/>
              <w:right w:val="single" w:sz="4" w:space="0" w:color="auto"/>
            </w:tcBorders>
            <w:shd w:val="clear" w:color="auto" w:fill="C6EFCE"/>
            <w:noWrap/>
            <w:hideMark/>
          </w:tcPr>
          <w:p w14:paraId="4FC8C8DB" w14:textId="77777777" w:rsidR="00A00259" w:rsidRDefault="00371282">
            <w:pPr>
              <w:pStyle w:val="P68B1DB1-Normal12"/>
              <w:spacing w:after="0" w:line="240" w:lineRule="auto"/>
              <w:rPr>
                <w:rFonts w:eastAsia="Times New Roman"/>
                <w:noProof/>
              </w:rPr>
            </w:pPr>
            <w:r>
              <w:rPr>
                <w:noProof/>
              </w:rPr>
              <w:t>4.7. Améliorer la compétitivité et promouvoir les investissements privés et les exportations - 16980_RRP Loan Facility</w:t>
            </w:r>
          </w:p>
        </w:tc>
        <w:tc>
          <w:tcPr>
            <w:tcW w:w="1275" w:type="dxa"/>
            <w:tcBorders>
              <w:top w:val="nil"/>
              <w:left w:val="nil"/>
              <w:bottom w:val="single" w:sz="4" w:space="0" w:color="auto"/>
              <w:right w:val="single" w:sz="4" w:space="0" w:color="auto"/>
            </w:tcBorders>
            <w:shd w:val="clear" w:color="auto" w:fill="C6EFCE"/>
            <w:noWrap/>
            <w:hideMark/>
          </w:tcPr>
          <w:p w14:paraId="64CE51AC" w14:textId="77777777" w:rsidR="00A00259" w:rsidRDefault="00371282">
            <w:pPr>
              <w:pStyle w:val="P68B1DB1-Normal12"/>
              <w:spacing w:after="0" w:line="240" w:lineRule="auto"/>
              <w:rPr>
                <w:rFonts w:eastAsia="Times New Roman"/>
                <w:noProof/>
              </w:rPr>
            </w:pPr>
            <w:r>
              <w:rPr>
                <w:noProof/>
              </w:rPr>
              <w:t>Étape</w:t>
            </w:r>
          </w:p>
        </w:tc>
        <w:tc>
          <w:tcPr>
            <w:tcW w:w="1276" w:type="dxa"/>
            <w:tcBorders>
              <w:top w:val="nil"/>
              <w:left w:val="nil"/>
              <w:bottom w:val="single" w:sz="4" w:space="0" w:color="auto"/>
              <w:right w:val="single" w:sz="4" w:space="0" w:color="auto"/>
            </w:tcBorders>
            <w:shd w:val="clear" w:color="auto" w:fill="C6EFCE"/>
            <w:noWrap/>
            <w:hideMark/>
          </w:tcPr>
          <w:p w14:paraId="5A2024B3" w14:textId="77777777" w:rsidR="00A00259" w:rsidRDefault="00371282">
            <w:pPr>
              <w:pStyle w:val="P68B1DB1-Normal12"/>
              <w:spacing w:after="0" w:line="240" w:lineRule="auto"/>
              <w:rPr>
                <w:rFonts w:eastAsia="Times New Roman"/>
                <w:noProof/>
              </w:rPr>
            </w:pPr>
            <w:r>
              <w:rPr>
                <w:noProof/>
              </w:rPr>
              <w:t>Convention de contribution InvestEU</w:t>
            </w:r>
          </w:p>
        </w:tc>
        <w:tc>
          <w:tcPr>
            <w:tcW w:w="1276" w:type="dxa"/>
            <w:tcBorders>
              <w:top w:val="nil"/>
              <w:left w:val="nil"/>
              <w:bottom w:val="single" w:sz="4" w:space="0" w:color="auto"/>
              <w:right w:val="single" w:sz="4" w:space="0" w:color="auto"/>
            </w:tcBorders>
            <w:shd w:val="clear" w:color="auto" w:fill="C6EFCE"/>
            <w:noWrap/>
            <w:hideMark/>
          </w:tcPr>
          <w:p w14:paraId="1E2CD27A" w14:textId="77777777" w:rsidR="00A00259" w:rsidRDefault="00371282">
            <w:pPr>
              <w:pStyle w:val="P68B1DB1-Normal12"/>
              <w:spacing w:after="0" w:line="240" w:lineRule="auto"/>
              <w:rPr>
                <w:rFonts w:eastAsia="Times New Roman"/>
                <w:noProof/>
              </w:rPr>
            </w:pPr>
            <w:r>
              <w:rPr>
                <w:noProof/>
              </w:rPr>
              <w:t>Signature de l’accord de contribution</w:t>
            </w:r>
          </w:p>
        </w:tc>
        <w:tc>
          <w:tcPr>
            <w:tcW w:w="1134" w:type="dxa"/>
            <w:tcBorders>
              <w:top w:val="nil"/>
              <w:left w:val="nil"/>
              <w:bottom w:val="single" w:sz="4" w:space="0" w:color="auto"/>
              <w:right w:val="single" w:sz="4" w:space="0" w:color="auto"/>
            </w:tcBorders>
            <w:shd w:val="clear" w:color="auto" w:fill="C6EFCE"/>
            <w:noWrap/>
            <w:hideMark/>
          </w:tcPr>
          <w:p w14:paraId="389357E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417" w:type="dxa"/>
            <w:tcBorders>
              <w:top w:val="nil"/>
              <w:left w:val="nil"/>
              <w:bottom w:val="single" w:sz="4" w:space="0" w:color="auto"/>
              <w:right w:val="single" w:sz="4" w:space="0" w:color="auto"/>
            </w:tcBorders>
            <w:shd w:val="clear" w:color="auto" w:fill="C6EFCE"/>
            <w:noWrap/>
            <w:hideMark/>
          </w:tcPr>
          <w:p w14:paraId="07A1157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418" w:type="dxa"/>
            <w:tcBorders>
              <w:top w:val="nil"/>
              <w:left w:val="nil"/>
              <w:bottom w:val="single" w:sz="4" w:space="0" w:color="auto"/>
              <w:right w:val="single" w:sz="4" w:space="0" w:color="auto"/>
            </w:tcBorders>
            <w:shd w:val="clear" w:color="auto" w:fill="C6EFCE"/>
            <w:noWrap/>
            <w:hideMark/>
          </w:tcPr>
          <w:p w14:paraId="49C20F9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tcBorders>
              <w:top w:val="nil"/>
              <w:left w:val="nil"/>
              <w:bottom w:val="single" w:sz="4" w:space="0" w:color="auto"/>
              <w:right w:val="single" w:sz="4" w:space="0" w:color="auto"/>
            </w:tcBorders>
            <w:shd w:val="clear" w:color="auto" w:fill="C6EFCE"/>
            <w:noWrap/>
            <w:hideMark/>
          </w:tcPr>
          <w:p w14:paraId="34DCC9A8" w14:textId="77777777" w:rsidR="00A00259" w:rsidRDefault="00371282">
            <w:pPr>
              <w:pStyle w:val="P68B1DB1-Normal12"/>
              <w:spacing w:after="0" w:line="240" w:lineRule="auto"/>
              <w:rPr>
                <w:rFonts w:eastAsia="Times New Roman"/>
                <w:noProof/>
              </w:rPr>
            </w:pPr>
            <w:r>
              <w:rPr>
                <w:noProof/>
              </w:rPr>
              <w:t>T1</w:t>
            </w:r>
          </w:p>
        </w:tc>
        <w:tc>
          <w:tcPr>
            <w:tcW w:w="851" w:type="dxa"/>
            <w:tcBorders>
              <w:top w:val="nil"/>
              <w:left w:val="nil"/>
              <w:bottom w:val="single" w:sz="4" w:space="0" w:color="auto"/>
              <w:right w:val="single" w:sz="4" w:space="0" w:color="auto"/>
            </w:tcBorders>
            <w:shd w:val="clear" w:color="auto" w:fill="C6EFCE"/>
            <w:noWrap/>
            <w:hideMark/>
          </w:tcPr>
          <w:p w14:paraId="1530F58B" w14:textId="77777777" w:rsidR="00A00259" w:rsidRDefault="00371282">
            <w:pPr>
              <w:pStyle w:val="P68B1DB1-Normal12"/>
              <w:spacing w:after="0" w:line="240" w:lineRule="auto"/>
              <w:rPr>
                <w:rFonts w:eastAsia="Times New Roman"/>
                <w:noProof/>
              </w:rPr>
            </w:pPr>
            <w:r>
              <w:rPr>
                <w:noProof/>
              </w:rPr>
              <w:t>2022</w:t>
            </w:r>
          </w:p>
        </w:tc>
        <w:tc>
          <w:tcPr>
            <w:tcW w:w="4028" w:type="dxa"/>
            <w:tcBorders>
              <w:top w:val="nil"/>
              <w:left w:val="nil"/>
              <w:bottom w:val="single" w:sz="4" w:space="0" w:color="auto"/>
              <w:right w:val="single" w:sz="4" w:space="0" w:color="auto"/>
            </w:tcBorders>
            <w:shd w:val="clear" w:color="auto" w:fill="C6EFCE"/>
            <w:noWrap/>
            <w:hideMark/>
          </w:tcPr>
          <w:p w14:paraId="1248A23A" w14:textId="77777777" w:rsidR="00A00259" w:rsidRDefault="00371282">
            <w:pPr>
              <w:pStyle w:val="P68B1DB1-Normal12"/>
              <w:spacing w:after="0" w:line="240" w:lineRule="auto"/>
              <w:rPr>
                <w:rFonts w:eastAsia="Times New Roman"/>
                <w:noProof/>
              </w:rPr>
            </w:pPr>
            <w:r>
              <w:rPr>
                <w:noProof/>
              </w:rPr>
              <w:t>Signature de la convention de contribution InvestEU entre le ministère des finances et la Commission européenne, y compris:</w:t>
            </w:r>
          </w:p>
          <w:p w14:paraId="07843E8D" w14:textId="77777777" w:rsidR="00A00259" w:rsidRDefault="00371282">
            <w:pPr>
              <w:pStyle w:val="P68B1DB1-Normal12"/>
              <w:spacing w:after="0" w:line="240" w:lineRule="auto"/>
              <w:rPr>
                <w:rFonts w:eastAsia="Times New Roman"/>
                <w:noProof/>
              </w:rPr>
            </w:pPr>
            <w:r>
              <w:rPr>
                <w:noProof/>
              </w:rPr>
              <w:t>a) les critères de sélection pour le respect des orientations techniques «Ne pas causer de préjudice important» (2021/C58/01) des entreprises bénéficiant d’un soutien, qui exigent l’utilisation d’une évaluation de la durabilité, d’une liste d’exclusion et de contrôles obligatoires de la conformité juridique avec la législation environnementale pertinente de l’UE et nationale par un auditeur indépendant.</w:t>
            </w:r>
          </w:p>
          <w:p w14:paraId="77605287" w14:textId="77777777" w:rsidR="00A00259" w:rsidRDefault="00371282">
            <w:pPr>
              <w:pStyle w:val="P68B1DB1-Normal12"/>
              <w:spacing w:after="0" w:line="240" w:lineRule="auto"/>
              <w:rPr>
                <w:rFonts w:eastAsia="Times New Roman"/>
                <w:noProof/>
              </w:rPr>
            </w:pPr>
            <w:r>
              <w:rPr>
                <w:noProof/>
              </w:rPr>
              <w:t>b) Engagement d’investir au moins 38,5 % des fonds pour soutenir la transition climatique et 20,8 % des fonds pour soutenir la transition numérique, en utilisant la méthode décrite aux annexes VI et VII du règlement FRR.</w:t>
            </w:r>
          </w:p>
        </w:tc>
      </w:tr>
      <w:tr w:rsidR="00A00259" w14:paraId="57D2E6C3" w14:textId="77777777" w:rsidTr="00096954">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6A03D468" w14:textId="77777777" w:rsidR="00A00259" w:rsidRDefault="00371282">
            <w:pPr>
              <w:pStyle w:val="P68B1DB1-Normal12"/>
              <w:spacing w:after="0" w:line="240" w:lineRule="auto"/>
              <w:rPr>
                <w:noProof/>
              </w:rPr>
            </w:pPr>
            <w:r>
              <w:rPr>
                <w:noProof/>
              </w:rPr>
              <w:t>324</w:t>
            </w:r>
          </w:p>
        </w:tc>
        <w:tc>
          <w:tcPr>
            <w:tcW w:w="1614" w:type="dxa"/>
            <w:tcBorders>
              <w:top w:val="single" w:sz="4" w:space="0" w:color="auto"/>
              <w:left w:val="nil"/>
              <w:bottom w:val="single" w:sz="4" w:space="0" w:color="auto"/>
              <w:right w:val="single" w:sz="4" w:space="0" w:color="auto"/>
            </w:tcBorders>
            <w:shd w:val="clear" w:color="auto" w:fill="C6EFCE"/>
            <w:noWrap/>
          </w:tcPr>
          <w:p w14:paraId="2FF892DE" w14:textId="77777777" w:rsidR="00A00259" w:rsidRDefault="00371282">
            <w:pPr>
              <w:pStyle w:val="P68B1DB1-Normal12"/>
              <w:spacing w:after="0" w:line="240" w:lineRule="auto"/>
              <w:rPr>
                <w:rFonts w:eastAsia="Times New Roman"/>
                <w:noProof/>
              </w:rPr>
            </w:pPr>
            <w:r>
              <w:rPr>
                <w:noProof/>
              </w:rPr>
              <w:t>4.7. Améliorer la compétitivité et promouvoir les investissements privés et les exportations - 16980_RRP Loan Facility</w:t>
            </w:r>
          </w:p>
        </w:tc>
        <w:tc>
          <w:tcPr>
            <w:tcW w:w="1275" w:type="dxa"/>
            <w:tcBorders>
              <w:top w:val="single" w:sz="4" w:space="0" w:color="auto"/>
              <w:left w:val="nil"/>
              <w:bottom w:val="single" w:sz="4" w:space="0" w:color="auto"/>
              <w:right w:val="single" w:sz="4" w:space="0" w:color="auto"/>
            </w:tcBorders>
            <w:shd w:val="clear" w:color="auto" w:fill="C6EFCE"/>
            <w:noWrap/>
          </w:tcPr>
          <w:p w14:paraId="6E271681" w14:textId="77777777" w:rsidR="00A00259" w:rsidRDefault="00371282">
            <w:pPr>
              <w:pStyle w:val="P68B1DB1-Normal12"/>
              <w:spacing w:after="0" w:line="240" w:lineRule="auto"/>
              <w:rPr>
                <w:rFonts w:eastAsia="Times New Roman"/>
                <w:noProof/>
              </w:rPr>
            </w:pPr>
            <w:r>
              <w:rPr>
                <w:noProof/>
              </w:rPr>
              <w:t>Objectif</w:t>
            </w:r>
          </w:p>
        </w:tc>
        <w:tc>
          <w:tcPr>
            <w:tcW w:w="1276" w:type="dxa"/>
            <w:tcBorders>
              <w:top w:val="single" w:sz="4" w:space="0" w:color="auto"/>
              <w:left w:val="nil"/>
              <w:bottom w:val="single" w:sz="4" w:space="0" w:color="auto"/>
              <w:right w:val="single" w:sz="4" w:space="0" w:color="auto"/>
            </w:tcBorders>
            <w:shd w:val="clear" w:color="auto" w:fill="C6EFCE"/>
            <w:noWrap/>
          </w:tcPr>
          <w:p w14:paraId="6C97341E" w14:textId="4B2A1D04" w:rsidR="00A00259" w:rsidRDefault="00371282">
            <w:pPr>
              <w:pStyle w:val="P68B1DB1-Normal12"/>
              <w:spacing w:after="0" w:line="240" w:lineRule="auto"/>
              <w:rPr>
                <w:rFonts w:eastAsia="Times New Roman"/>
                <w:noProof/>
              </w:rPr>
            </w:pPr>
            <w:r>
              <w:rPr>
                <w:noProof/>
              </w:rPr>
              <w:t>586,4 millions d’EUR de fonds d’établissements financiers signés avec les bénéficiaires finaux</w:t>
            </w:r>
          </w:p>
        </w:tc>
        <w:tc>
          <w:tcPr>
            <w:tcW w:w="1276" w:type="dxa"/>
            <w:tcBorders>
              <w:top w:val="single" w:sz="4" w:space="0" w:color="auto"/>
              <w:left w:val="nil"/>
              <w:bottom w:val="single" w:sz="4" w:space="0" w:color="auto"/>
              <w:right w:val="single" w:sz="4" w:space="0" w:color="auto"/>
            </w:tcBorders>
            <w:shd w:val="clear" w:color="auto" w:fill="C6EFCE"/>
            <w:noWrap/>
          </w:tcPr>
          <w:p w14:paraId="7FB75A6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38143D32" w14:textId="77777777" w:rsidR="00A00259" w:rsidRDefault="00371282">
            <w:pPr>
              <w:pStyle w:val="P68B1DB1-Normal12"/>
              <w:spacing w:after="0" w:line="240" w:lineRule="auto"/>
              <w:rPr>
                <w:rFonts w:eastAsia="Times New Roman"/>
                <w:noProof/>
              </w:rPr>
            </w:pPr>
            <w:r>
              <w:rPr>
                <w:noProof/>
              </w:rPr>
              <w:t>Pourcentage des fonds signés</w:t>
            </w:r>
          </w:p>
        </w:tc>
        <w:tc>
          <w:tcPr>
            <w:tcW w:w="1417" w:type="dxa"/>
            <w:tcBorders>
              <w:top w:val="single" w:sz="4" w:space="0" w:color="auto"/>
              <w:left w:val="nil"/>
              <w:bottom w:val="single" w:sz="4" w:space="0" w:color="auto"/>
              <w:right w:val="single" w:sz="4" w:space="0" w:color="auto"/>
            </w:tcBorders>
            <w:shd w:val="clear" w:color="auto" w:fill="C6EFCE"/>
            <w:noWrap/>
          </w:tcPr>
          <w:p w14:paraId="7B7C72EA" w14:textId="77777777" w:rsidR="00A00259" w:rsidRDefault="00371282">
            <w:pPr>
              <w:pStyle w:val="P68B1DB1-Normal12"/>
              <w:spacing w:after="0" w:line="240" w:lineRule="auto"/>
              <w:rPr>
                <w:rFonts w:eastAsia="Times New Roman"/>
                <w:noProof/>
              </w:rPr>
            </w:pPr>
            <w:r>
              <w:rPr>
                <w:noProof/>
              </w:rPr>
              <w:t>0</w:t>
            </w:r>
          </w:p>
        </w:tc>
        <w:tc>
          <w:tcPr>
            <w:tcW w:w="1418" w:type="dxa"/>
            <w:tcBorders>
              <w:top w:val="single" w:sz="4" w:space="0" w:color="auto"/>
              <w:left w:val="nil"/>
              <w:bottom w:val="single" w:sz="4" w:space="0" w:color="auto"/>
              <w:right w:val="single" w:sz="4" w:space="0" w:color="auto"/>
            </w:tcBorders>
            <w:shd w:val="clear" w:color="auto" w:fill="C6EFCE"/>
            <w:noWrap/>
          </w:tcPr>
          <w:p w14:paraId="70516D59" w14:textId="77777777" w:rsidR="00A00259" w:rsidRDefault="00371282">
            <w:pPr>
              <w:pStyle w:val="P68B1DB1-Normal12"/>
              <w:spacing w:after="0" w:line="240" w:lineRule="auto"/>
              <w:rPr>
                <w:rFonts w:eastAsia="Times New Roman"/>
                <w:noProof/>
              </w:rPr>
            </w:pPr>
            <w:r>
              <w:rPr>
                <w:noProof/>
              </w:rPr>
              <w:t>5</w:t>
            </w:r>
          </w:p>
        </w:tc>
        <w:tc>
          <w:tcPr>
            <w:tcW w:w="992" w:type="dxa"/>
            <w:tcBorders>
              <w:top w:val="single" w:sz="4" w:space="0" w:color="auto"/>
              <w:left w:val="nil"/>
              <w:bottom w:val="single" w:sz="4" w:space="0" w:color="auto"/>
              <w:right w:val="single" w:sz="4" w:space="0" w:color="auto"/>
            </w:tcBorders>
            <w:shd w:val="clear" w:color="auto" w:fill="C6EFCE"/>
            <w:noWrap/>
          </w:tcPr>
          <w:p w14:paraId="7EDCD05C" w14:textId="77777777" w:rsidR="00A00259" w:rsidRDefault="00371282">
            <w:pPr>
              <w:pStyle w:val="P68B1DB1-Normal12"/>
              <w:spacing w:after="0" w:line="240" w:lineRule="auto"/>
              <w:rPr>
                <w:rFonts w:eastAsia="Times New Roman"/>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78326250" w14:textId="77777777" w:rsidR="00A00259" w:rsidRDefault="00371282">
            <w:pPr>
              <w:pStyle w:val="P68B1DB1-Normal12"/>
              <w:spacing w:after="0" w:line="240" w:lineRule="auto"/>
              <w:rPr>
                <w:rFonts w:eastAsia="Times New Roman"/>
                <w:noProof/>
              </w:rPr>
            </w:pPr>
            <w:r>
              <w:rPr>
                <w:noProof/>
              </w:rPr>
              <w:t>2022</w:t>
            </w:r>
          </w:p>
        </w:tc>
        <w:tc>
          <w:tcPr>
            <w:tcW w:w="4028" w:type="dxa"/>
            <w:tcBorders>
              <w:top w:val="single" w:sz="4" w:space="0" w:color="auto"/>
              <w:left w:val="nil"/>
              <w:bottom w:val="single" w:sz="4" w:space="0" w:color="auto"/>
              <w:right w:val="single" w:sz="4" w:space="0" w:color="auto"/>
            </w:tcBorders>
            <w:shd w:val="clear" w:color="auto" w:fill="C6EFCE"/>
            <w:noWrap/>
          </w:tcPr>
          <w:p w14:paraId="3FF291DF" w14:textId="77777777" w:rsidR="00A00259" w:rsidRDefault="00371282">
            <w:pPr>
              <w:pStyle w:val="P68B1DB1-Normal12"/>
              <w:spacing w:after="0" w:line="240" w:lineRule="auto"/>
              <w:rPr>
                <w:rFonts w:eastAsia="Times New Roman"/>
                <w:noProof/>
              </w:rPr>
            </w:pPr>
            <w:r>
              <w:rPr>
                <w:noProof/>
              </w:rPr>
              <w:t>586,4 millions d’EUR (y compris les frais de gestion) de fonds de la facilité de prêt FRR liés aux institutions financières internationales et aux banques commerciales ont été signés avec les bénéficiaires finaux conformément au mandat défini dans le jalon et après vérification ex ante par des auditeurs indépendants du respect des critères de gouvernance, de sélection, de suivi, d’audit et de partage des pertes, des orientations techniques «Ne pas causer de préjudice important» (2021/C58/01) et de l’objectif climatique de 38,5 % et de l’objectif numérique de 20,8 %.</w:t>
            </w:r>
          </w:p>
        </w:tc>
      </w:tr>
      <w:tr w:rsidR="00A00259" w14:paraId="0DE020A6" w14:textId="77777777" w:rsidTr="00096954">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50EB9D02" w14:textId="77777777" w:rsidR="00A00259" w:rsidRDefault="00371282">
            <w:pPr>
              <w:pStyle w:val="P68B1DB1-Normal12"/>
              <w:spacing w:after="0" w:line="240" w:lineRule="auto"/>
              <w:rPr>
                <w:rFonts w:eastAsia="Times New Roman"/>
                <w:noProof/>
              </w:rPr>
            </w:pPr>
            <w:r>
              <w:rPr>
                <w:noProof/>
              </w:rPr>
              <w:t>325</w:t>
            </w:r>
          </w:p>
        </w:tc>
        <w:tc>
          <w:tcPr>
            <w:tcW w:w="1614" w:type="dxa"/>
            <w:tcBorders>
              <w:top w:val="single" w:sz="4" w:space="0" w:color="auto"/>
              <w:left w:val="nil"/>
              <w:bottom w:val="single" w:sz="4" w:space="0" w:color="auto"/>
              <w:right w:val="single" w:sz="4" w:space="0" w:color="auto"/>
            </w:tcBorders>
            <w:shd w:val="clear" w:color="auto" w:fill="C6EFCE"/>
            <w:noWrap/>
          </w:tcPr>
          <w:p w14:paraId="79F32B37" w14:textId="77777777" w:rsidR="00A00259" w:rsidRDefault="00371282">
            <w:pPr>
              <w:pStyle w:val="P68B1DB1-Normal13"/>
              <w:spacing w:after="0" w:line="240" w:lineRule="auto"/>
              <w:rPr>
                <w:rFonts w:eastAsia="Times New Roman"/>
                <w:noProof/>
              </w:rPr>
            </w:pPr>
            <w:r>
              <w:rPr>
                <w:noProof/>
              </w:rPr>
              <w:t>4.7. Améliorer la compétitivité et promouvoir les investissements privés et les exportations - 16980_RRP Loan Facility</w:t>
            </w:r>
          </w:p>
        </w:tc>
        <w:tc>
          <w:tcPr>
            <w:tcW w:w="1275" w:type="dxa"/>
            <w:tcBorders>
              <w:top w:val="single" w:sz="4" w:space="0" w:color="auto"/>
              <w:left w:val="nil"/>
              <w:bottom w:val="single" w:sz="4" w:space="0" w:color="auto"/>
              <w:right w:val="single" w:sz="4" w:space="0" w:color="auto"/>
            </w:tcBorders>
            <w:shd w:val="clear" w:color="auto" w:fill="C6EFCE"/>
            <w:noWrap/>
          </w:tcPr>
          <w:p w14:paraId="00CDE6DA" w14:textId="77777777" w:rsidR="00A00259" w:rsidRDefault="00371282">
            <w:pPr>
              <w:pStyle w:val="P68B1DB1-Normal13"/>
              <w:spacing w:after="0" w:line="240" w:lineRule="auto"/>
              <w:rPr>
                <w:rFonts w:eastAsia="Times New Roman"/>
                <w:noProof/>
                <w:szCs w:val="18"/>
              </w:rPr>
            </w:pPr>
            <w:r>
              <w:rPr>
                <w:noProof/>
              </w:rPr>
              <w:t>Objectif</w:t>
            </w:r>
          </w:p>
        </w:tc>
        <w:tc>
          <w:tcPr>
            <w:tcW w:w="1276" w:type="dxa"/>
            <w:tcBorders>
              <w:top w:val="single" w:sz="4" w:space="0" w:color="auto"/>
              <w:left w:val="nil"/>
              <w:bottom w:val="single" w:sz="4" w:space="0" w:color="auto"/>
              <w:right w:val="single" w:sz="4" w:space="0" w:color="auto"/>
            </w:tcBorders>
            <w:shd w:val="clear" w:color="auto" w:fill="C6EFCE"/>
            <w:noWrap/>
          </w:tcPr>
          <w:p w14:paraId="761DF50F" w14:textId="77777777" w:rsidR="00A00259" w:rsidRDefault="00371282">
            <w:pPr>
              <w:pStyle w:val="P68B1DB1-Normal13"/>
              <w:spacing w:after="0" w:line="240" w:lineRule="auto"/>
              <w:rPr>
                <w:rFonts w:eastAsia="Times New Roman"/>
                <w:noProof/>
                <w:szCs w:val="18"/>
              </w:rPr>
            </w:pPr>
            <w:r>
              <w:rPr>
                <w:noProof/>
              </w:rPr>
              <w:t>3 518,4 millions d’EUR de fonds d’établissements financiers signés avec les bénéficiaires finaux</w:t>
            </w:r>
          </w:p>
        </w:tc>
        <w:tc>
          <w:tcPr>
            <w:tcW w:w="1276" w:type="dxa"/>
            <w:tcBorders>
              <w:top w:val="single" w:sz="4" w:space="0" w:color="auto"/>
              <w:left w:val="nil"/>
              <w:bottom w:val="single" w:sz="4" w:space="0" w:color="auto"/>
              <w:right w:val="single" w:sz="4" w:space="0" w:color="auto"/>
            </w:tcBorders>
            <w:shd w:val="clear" w:color="auto" w:fill="C6EFCE"/>
            <w:noWrap/>
          </w:tcPr>
          <w:p w14:paraId="764F45A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5A30BB36" w14:textId="77777777" w:rsidR="00A00259" w:rsidRDefault="00371282">
            <w:pPr>
              <w:pStyle w:val="P68B1DB1-Normal13"/>
              <w:spacing w:after="0" w:line="240" w:lineRule="auto"/>
              <w:rPr>
                <w:rFonts w:eastAsia="Times New Roman"/>
                <w:noProof/>
                <w:szCs w:val="18"/>
              </w:rPr>
            </w:pPr>
            <w:r>
              <w:rPr>
                <w:noProof/>
              </w:rPr>
              <w:t>Pourcentage des fonds signés</w:t>
            </w:r>
          </w:p>
        </w:tc>
        <w:tc>
          <w:tcPr>
            <w:tcW w:w="1417" w:type="dxa"/>
            <w:tcBorders>
              <w:top w:val="single" w:sz="4" w:space="0" w:color="auto"/>
              <w:left w:val="nil"/>
              <w:bottom w:val="single" w:sz="4" w:space="0" w:color="auto"/>
              <w:right w:val="single" w:sz="4" w:space="0" w:color="auto"/>
            </w:tcBorders>
            <w:shd w:val="clear" w:color="auto" w:fill="C6EFCE"/>
            <w:noWrap/>
          </w:tcPr>
          <w:p w14:paraId="1A8AFDD5" w14:textId="77777777" w:rsidR="00A00259" w:rsidRDefault="00371282">
            <w:pPr>
              <w:pStyle w:val="P68B1DB1-Normal13"/>
              <w:spacing w:after="0" w:line="240" w:lineRule="auto"/>
              <w:rPr>
                <w:rFonts w:eastAsia="Times New Roman"/>
                <w:noProof/>
                <w:szCs w:val="18"/>
              </w:rPr>
            </w:pPr>
            <w:r>
              <w:rPr>
                <w:noProof/>
              </w:rPr>
              <w:t>5</w:t>
            </w:r>
          </w:p>
        </w:tc>
        <w:tc>
          <w:tcPr>
            <w:tcW w:w="1418" w:type="dxa"/>
            <w:tcBorders>
              <w:top w:val="single" w:sz="4" w:space="0" w:color="auto"/>
              <w:left w:val="nil"/>
              <w:bottom w:val="single" w:sz="4" w:space="0" w:color="auto"/>
              <w:right w:val="single" w:sz="4" w:space="0" w:color="auto"/>
            </w:tcBorders>
            <w:shd w:val="clear" w:color="auto" w:fill="C6EFCE"/>
            <w:noWrap/>
          </w:tcPr>
          <w:p w14:paraId="6138877A" w14:textId="77777777" w:rsidR="00A00259" w:rsidRDefault="00371282">
            <w:pPr>
              <w:pStyle w:val="P68B1DB1-Normal13"/>
              <w:spacing w:after="0" w:line="240" w:lineRule="auto"/>
              <w:rPr>
                <w:rFonts w:eastAsia="Times New Roman"/>
                <w:noProof/>
                <w:szCs w:val="18"/>
              </w:rPr>
            </w:pPr>
            <w:r>
              <w:rPr>
                <w:noProof/>
              </w:rPr>
              <w:t>30</w:t>
            </w:r>
          </w:p>
        </w:tc>
        <w:tc>
          <w:tcPr>
            <w:tcW w:w="992" w:type="dxa"/>
            <w:tcBorders>
              <w:top w:val="single" w:sz="4" w:space="0" w:color="auto"/>
              <w:left w:val="nil"/>
              <w:bottom w:val="single" w:sz="4" w:space="0" w:color="auto"/>
              <w:right w:val="single" w:sz="4" w:space="0" w:color="auto"/>
            </w:tcBorders>
            <w:shd w:val="clear" w:color="auto" w:fill="C6EFCE"/>
            <w:noWrap/>
          </w:tcPr>
          <w:p w14:paraId="50B24EE0" w14:textId="77777777" w:rsidR="00A00259" w:rsidRDefault="00371282">
            <w:pPr>
              <w:pStyle w:val="P68B1DB1-Normal13"/>
              <w:spacing w:after="0" w:line="240" w:lineRule="auto"/>
              <w:rPr>
                <w:rFonts w:eastAsia="Times New Roman"/>
                <w:noProof/>
                <w:szCs w:val="18"/>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6388D55E" w14:textId="77777777" w:rsidR="00A00259" w:rsidRDefault="00371282">
            <w:pPr>
              <w:pStyle w:val="P68B1DB1-Normal13"/>
              <w:spacing w:after="0" w:line="240" w:lineRule="auto"/>
              <w:rPr>
                <w:rFonts w:eastAsia="Times New Roman"/>
                <w:noProof/>
                <w:szCs w:val="18"/>
              </w:rPr>
            </w:pPr>
            <w:r>
              <w:rPr>
                <w:noProof/>
              </w:rPr>
              <w:t>2023</w:t>
            </w:r>
          </w:p>
        </w:tc>
        <w:tc>
          <w:tcPr>
            <w:tcW w:w="4028" w:type="dxa"/>
            <w:tcBorders>
              <w:top w:val="single" w:sz="4" w:space="0" w:color="auto"/>
              <w:left w:val="nil"/>
              <w:bottom w:val="single" w:sz="4" w:space="0" w:color="auto"/>
              <w:right w:val="single" w:sz="4" w:space="0" w:color="auto"/>
            </w:tcBorders>
            <w:shd w:val="clear" w:color="auto" w:fill="C6EFCE"/>
            <w:noWrap/>
          </w:tcPr>
          <w:p w14:paraId="136E69DE" w14:textId="77777777" w:rsidR="00A00259" w:rsidRDefault="00371282">
            <w:pPr>
              <w:pStyle w:val="P68B1DB1-Normal12"/>
              <w:spacing w:after="0" w:line="240" w:lineRule="auto"/>
              <w:rPr>
                <w:rFonts w:eastAsia="Times New Roman"/>
                <w:noProof/>
              </w:rPr>
            </w:pPr>
            <w:r>
              <w:rPr>
                <w:noProof/>
              </w:rPr>
              <w:t>3 518,4 millions d’EUR (y compris les frais de gestion) de fonds de la facilité de prêt FRR liés aux institutions financières internationales et aux banques commerciales ont été signés avec les bénéficiaires finaux conformément au mandat défini dans le jalon et après vérification ex ante par des auditeurs indépendants du respect des critères de gouvernance, de sélection, de suivi, d’audit et de partage des pertes, des orientations techniques «Ne pas causer de préjudice important» (2021/C58/01) et de l’objectif climatique de 38,5 % et de l’objectif numérique de 20,8 %.</w:t>
            </w:r>
          </w:p>
        </w:tc>
      </w:tr>
      <w:tr w:rsidR="00A00259" w14:paraId="2C712835" w14:textId="77777777" w:rsidTr="00096954">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6A514037" w14:textId="77777777" w:rsidR="00A00259" w:rsidRDefault="00371282">
            <w:pPr>
              <w:pStyle w:val="P68B1DB1-Normal12"/>
              <w:spacing w:after="0" w:line="240" w:lineRule="auto"/>
              <w:rPr>
                <w:rFonts w:eastAsia="Times New Roman"/>
                <w:noProof/>
              </w:rPr>
            </w:pPr>
            <w:r>
              <w:rPr>
                <w:noProof/>
              </w:rPr>
              <w:t>325 bis</w:t>
            </w:r>
          </w:p>
        </w:tc>
        <w:tc>
          <w:tcPr>
            <w:tcW w:w="1614" w:type="dxa"/>
            <w:tcBorders>
              <w:top w:val="single" w:sz="4" w:space="0" w:color="auto"/>
              <w:left w:val="nil"/>
              <w:bottom w:val="single" w:sz="4" w:space="0" w:color="auto"/>
              <w:right w:val="single" w:sz="4" w:space="0" w:color="auto"/>
            </w:tcBorders>
            <w:shd w:val="clear" w:color="auto" w:fill="C6EFCE"/>
            <w:noWrap/>
          </w:tcPr>
          <w:p w14:paraId="4A197BDC" w14:textId="77777777" w:rsidR="00A00259" w:rsidRDefault="00371282">
            <w:pPr>
              <w:pStyle w:val="P68B1DB1-Normal13"/>
              <w:spacing w:after="0" w:line="240" w:lineRule="auto"/>
              <w:rPr>
                <w:noProof/>
              </w:rPr>
            </w:pPr>
            <w:r>
              <w:rPr>
                <w:noProof/>
              </w:rPr>
              <w:t>4.7. Améliorer la compétitivité et promouvoir les investissements privés et les exportations - 16980_RRP Loan Facility</w:t>
            </w:r>
          </w:p>
        </w:tc>
        <w:tc>
          <w:tcPr>
            <w:tcW w:w="1275" w:type="dxa"/>
            <w:tcBorders>
              <w:top w:val="single" w:sz="4" w:space="0" w:color="auto"/>
              <w:left w:val="nil"/>
              <w:bottom w:val="single" w:sz="4" w:space="0" w:color="auto"/>
              <w:right w:val="single" w:sz="4" w:space="0" w:color="auto"/>
            </w:tcBorders>
            <w:shd w:val="clear" w:color="auto" w:fill="C6EFCE"/>
            <w:noWrap/>
          </w:tcPr>
          <w:p w14:paraId="4EB186C1" w14:textId="77777777" w:rsidR="00A00259" w:rsidRDefault="00371282">
            <w:pPr>
              <w:pStyle w:val="P68B1DB1-Normal13"/>
              <w:spacing w:after="0" w:line="240" w:lineRule="auto"/>
              <w:rPr>
                <w:rFonts w:eastAsia="Times New Roman"/>
                <w:noProof/>
                <w:szCs w:val="18"/>
              </w:rPr>
            </w:pPr>
            <w:r>
              <w:rPr>
                <w:noProof/>
              </w:rPr>
              <w:t>Objectif</w:t>
            </w:r>
          </w:p>
        </w:tc>
        <w:tc>
          <w:tcPr>
            <w:tcW w:w="1276" w:type="dxa"/>
            <w:tcBorders>
              <w:top w:val="single" w:sz="4" w:space="0" w:color="auto"/>
              <w:left w:val="nil"/>
              <w:bottom w:val="single" w:sz="4" w:space="0" w:color="auto"/>
              <w:right w:val="single" w:sz="4" w:space="0" w:color="auto"/>
            </w:tcBorders>
            <w:shd w:val="clear" w:color="auto" w:fill="C6EFCE"/>
            <w:noWrap/>
          </w:tcPr>
          <w:p w14:paraId="0B8B802B" w14:textId="77777777" w:rsidR="00A00259" w:rsidRDefault="00371282">
            <w:pPr>
              <w:pStyle w:val="P68B1DB1-Normal13"/>
              <w:spacing w:after="0" w:line="240" w:lineRule="auto"/>
              <w:rPr>
                <w:rFonts w:eastAsia="Times New Roman"/>
                <w:noProof/>
                <w:szCs w:val="18"/>
              </w:rPr>
            </w:pPr>
            <w:r>
              <w:rPr>
                <w:noProof/>
              </w:rPr>
              <w:t>4 518,4 millions d’EUR de fonds d’établissements financiers signés avec les bénéficiaires finaux</w:t>
            </w:r>
          </w:p>
        </w:tc>
        <w:tc>
          <w:tcPr>
            <w:tcW w:w="1276" w:type="dxa"/>
            <w:tcBorders>
              <w:top w:val="single" w:sz="4" w:space="0" w:color="auto"/>
              <w:left w:val="nil"/>
              <w:bottom w:val="single" w:sz="4" w:space="0" w:color="auto"/>
              <w:right w:val="single" w:sz="4" w:space="0" w:color="auto"/>
            </w:tcBorders>
            <w:shd w:val="clear" w:color="auto" w:fill="C6EFCE"/>
            <w:noWrap/>
          </w:tcPr>
          <w:p w14:paraId="01C0B43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58CF27A1" w14:textId="77777777" w:rsidR="00A00259" w:rsidRDefault="00371282">
            <w:pPr>
              <w:pStyle w:val="P68B1DB1-Normal13"/>
              <w:spacing w:after="0" w:line="240" w:lineRule="auto"/>
              <w:rPr>
                <w:rFonts w:eastAsia="Times New Roman"/>
                <w:noProof/>
                <w:szCs w:val="18"/>
              </w:rPr>
            </w:pPr>
            <w:r>
              <w:rPr>
                <w:noProof/>
              </w:rPr>
              <w:t>Montant (EUR) des fonds signés</w:t>
            </w:r>
          </w:p>
        </w:tc>
        <w:tc>
          <w:tcPr>
            <w:tcW w:w="1417" w:type="dxa"/>
            <w:tcBorders>
              <w:top w:val="single" w:sz="4" w:space="0" w:color="auto"/>
              <w:left w:val="nil"/>
              <w:bottom w:val="single" w:sz="4" w:space="0" w:color="auto"/>
              <w:right w:val="single" w:sz="4" w:space="0" w:color="auto"/>
            </w:tcBorders>
            <w:shd w:val="clear" w:color="auto" w:fill="C6EFCE"/>
            <w:noWrap/>
          </w:tcPr>
          <w:p w14:paraId="1E30306C" w14:textId="77777777" w:rsidR="00A00259" w:rsidRDefault="00371282">
            <w:pPr>
              <w:pStyle w:val="P68B1DB1-Normal13"/>
              <w:spacing w:after="0" w:line="240" w:lineRule="auto"/>
              <w:rPr>
                <w:rFonts w:eastAsia="Times New Roman"/>
                <w:noProof/>
                <w:szCs w:val="18"/>
              </w:rPr>
            </w:pPr>
            <w:r>
              <w:rPr>
                <w:noProof/>
              </w:rPr>
              <w:t>3 518.4</w:t>
            </w:r>
          </w:p>
        </w:tc>
        <w:tc>
          <w:tcPr>
            <w:tcW w:w="1418" w:type="dxa"/>
            <w:tcBorders>
              <w:top w:val="single" w:sz="4" w:space="0" w:color="auto"/>
              <w:left w:val="nil"/>
              <w:bottom w:val="single" w:sz="4" w:space="0" w:color="auto"/>
              <w:right w:val="single" w:sz="4" w:space="0" w:color="auto"/>
            </w:tcBorders>
            <w:shd w:val="clear" w:color="auto" w:fill="C6EFCE"/>
            <w:noWrap/>
          </w:tcPr>
          <w:p w14:paraId="39BE5D0D" w14:textId="77777777" w:rsidR="00A00259" w:rsidRDefault="00371282">
            <w:pPr>
              <w:pStyle w:val="P68B1DB1-Normal13"/>
              <w:spacing w:after="0" w:line="240" w:lineRule="auto"/>
              <w:rPr>
                <w:rFonts w:eastAsia="Times New Roman"/>
                <w:noProof/>
                <w:szCs w:val="18"/>
              </w:rPr>
            </w:pPr>
            <w:r>
              <w:rPr>
                <w:noProof/>
              </w:rPr>
              <w:t>4 518.4</w:t>
            </w:r>
          </w:p>
        </w:tc>
        <w:tc>
          <w:tcPr>
            <w:tcW w:w="992" w:type="dxa"/>
            <w:tcBorders>
              <w:top w:val="single" w:sz="4" w:space="0" w:color="auto"/>
              <w:left w:val="nil"/>
              <w:bottom w:val="single" w:sz="4" w:space="0" w:color="auto"/>
              <w:right w:val="single" w:sz="4" w:space="0" w:color="auto"/>
            </w:tcBorders>
            <w:shd w:val="clear" w:color="auto" w:fill="C6EFCE"/>
            <w:noWrap/>
          </w:tcPr>
          <w:p w14:paraId="57048FF1" w14:textId="77777777" w:rsidR="00A00259" w:rsidRDefault="00371282">
            <w:pPr>
              <w:pStyle w:val="P68B1DB1-Normal13"/>
              <w:spacing w:after="0" w:line="240" w:lineRule="auto"/>
              <w:rPr>
                <w:rFonts w:eastAsia="Times New Roman"/>
                <w:noProof/>
                <w:szCs w:val="18"/>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6512F0AF" w14:textId="77777777" w:rsidR="00A00259" w:rsidRDefault="00371282">
            <w:pPr>
              <w:pStyle w:val="P68B1DB1-Normal13"/>
              <w:spacing w:after="0" w:line="240" w:lineRule="auto"/>
              <w:rPr>
                <w:rFonts w:eastAsia="Times New Roman"/>
                <w:noProof/>
                <w:szCs w:val="18"/>
              </w:rPr>
            </w:pPr>
            <w:r>
              <w:rPr>
                <w:noProof/>
              </w:rPr>
              <w:t>2024</w:t>
            </w:r>
          </w:p>
        </w:tc>
        <w:tc>
          <w:tcPr>
            <w:tcW w:w="4028" w:type="dxa"/>
            <w:tcBorders>
              <w:top w:val="single" w:sz="4" w:space="0" w:color="auto"/>
              <w:left w:val="nil"/>
              <w:bottom w:val="single" w:sz="4" w:space="0" w:color="auto"/>
              <w:right w:val="single" w:sz="4" w:space="0" w:color="auto"/>
            </w:tcBorders>
            <w:shd w:val="clear" w:color="auto" w:fill="C6EFCE"/>
            <w:noWrap/>
          </w:tcPr>
          <w:p w14:paraId="22A84524" w14:textId="77777777" w:rsidR="00A00259" w:rsidRDefault="00371282">
            <w:pPr>
              <w:pStyle w:val="P68B1DB1-Normal12"/>
              <w:spacing w:after="0" w:line="240" w:lineRule="auto"/>
              <w:rPr>
                <w:rFonts w:eastAsia="Times New Roman"/>
                <w:noProof/>
              </w:rPr>
            </w:pPr>
            <w:r>
              <w:rPr>
                <w:noProof/>
              </w:rPr>
              <w:t>4 518,4 millions d’EUR (y compris les frais de gestion) de fonds de la facilité de prêt FRR liés aux institutions financières internationales et aux banques commerciales ont été signés avec les bénéficiaires finaux conformément au mandat défini dans le jalon et après vérification ex ante par des auditeurs indépendants du respect des critères de gouvernance, de sélection, de suivi, d’audit et de partage des pertes, des orientations techniques «Ne pas causer de préjudice important» (2021/C58/01) et de la contribution à l’objectif climatique de 38,5 % et à l’objectif numérique de 20,8 %.</w:t>
            </w:r>
          </w:p>
        </w:tc>
      </w:tr>
      <w:tr w:rsidR="00A00259" w14:paraId="5E08E89A" w14:textId="77777777" w:rsidTr="00096954">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0C204097" w14:textId="77777777" w:rsidR="00A00259" w:rsidRDefault="00371282">
            <w:pPr>
              <w:pStyle w:val="P68B1DB1-Normal12"/>
              <w:spacing w:after="0" w:line="240" w:lineRule="auto"/>
              <w:rPr>
                <w:rFonts w:eastAsia="Times New Roman"/>
                <w:noProof/>
              </w:rPr>
            </w:pPr>
            <w:r>
              <w:rPr>
                <w:noProof/>
              </w:rPr>
              <w:t>326</w:t>
            </w:r>
          </w:p>
        </w:tc>
        <w:tc>
          <w:tcPr>
            <w:tcW w:w="1614" w:type="dxa"/>
            <w:tcBorders>
              <w:top w:val="single" w:sz="4" w:space="0" w:color="auto"/>
              <w:left w:val="nil"/>
              <w:bottom w:val="single" w:sz="4" w:space="0" w:color="auto"/>
              <w:right w:val="single" w:sz="4" w:space="0" w:color="auto"/>
            </w:tcBorders>
            <w:shd w:val="clear" w:color="auto" w:fill="C6EFCE"/>
            <w:noWrap/>
          </w:tcPr>
          <w:p w14:paraId="4C5A9155" w14:textId="77777777" w:rsidR="00A00259" w:rsidRDefault="00371282">
            <w:pPr>
              <w:pStyle w:val="P68B1DB1-Normal13"/>
              <w:spacing w:after="0" w:line="240" w:lineRule="auto"/>
              <w:rPr>
                <w:noProof/>
              </w:rPr>
            </w:pPr>
            <w:r>
              <w:rPr>
                <w:noProof/>
              </w:rPr>
              <w:t>4.7. Améliorer la compétitivité et promouvoir les investissements privés et les exportations - 16980_RRP Loan Facility</w:t>
            </w:r>
          </w:p>
        </w:tc>
        <w:tc>
          <w:tcPr>
            <w:tcW w:w="1275" w:type="dxa"/>
            <w:tcBorders>
              <w:top w:val="single" w:sz="4" w:space="0" w:color="auto"/>
              <w:left w:val="nil"/>
              <w:bottom w:val="single" w:sz="4" w:space="0" w:color="auto"/>
              <w:right w:val="single" w:sz="4" w:space="0" w:color="auto"/>
            </w:tcBorders>
            <w:shd w:val="clear" w:color="auto" w:fill="C6EFCE"/>
            <w:noWrap/>
          </w:tcPr>
          <w:p w14:paraId="498657B9" w14:textId="77777777" w:rsidR="00A00259" w:rsidRDefault="00371282">
            <w:pPr>
              <w:pStyle w:val="P68B1DB1-Normal13"/>
              <w:spacing w:after="0" w:line="240" w:lineRule="auto"/>
              <w:rPr>
                <w:rFonts w:eastAsia="Times New Roman"/>
                <w:noProof/>
                <w:szCs w:val="18"/>
              </w:rPr>
            </w:pPr>
            <w:r>
              <w:rPr>
                <w:noProof/>
              </w:rPr>
              <w:t>Objectif</w:t>
            </w:r>
          </w:p>
        </w:tc>
        <w:tc>
          <w:tcPr>
            <w:tcW w:w="1276" w:type="dxa"/>
            <w:tcBorders>
              <w:top w:val="single" w:sz="4" w:space="0" w:color="auto"/>
              <w:left w:val="nil"/>
              <w:bottom w:val="single" w:sz="4" w:space="0" w:color="auto"/>
              <w:right w:val="single" w:sz="4" w:space="0" w:color="auto"/>
            </w:tcBorders>
            <w:shd w:val="clear" w:color="auto" w:fill="C6EFCE"/>
            <w:noWrap/>
          </w:tcPr>
          <w:p w14:paraId="41E038FC" w14:textId="77777777" w:rsidR="00A00259" w:rsidRDefault="00371282">
            <w:pPr>
              <w:pStyle w:val="P68B1DB1-Normal13"/>
              <w:spacing w:after="0" w:line="240" w:lineRule="auto"/>
              <w:rPr>
                <w:rFonts w:eastAsia="Times New Roman"/>
                <w:noProof/>
                <w:szCs w:val="18"/>
              </w:rPr>
            </w:pPr>
            <w:r>
              <w:rPr>
                <w:noProof/>
              </w:rPr>
              <w:t>7 064 millions d’EUR de fonds d’établissements financiers signés avec les bénéficiaires finaux</w:t>
            </w:r>
          </w:p>
        </w:tc>
        <w:tc>
          <w:tcPr>
            <w:tcW w:w="1276" w:type="dxa"/>
            <w:tcBorders>
              <w:top w:val="single" w:sz="4" w:space="0" w:color="auto"/>
              <w:left w:val="nil"/>
              <w:bottom w:val="single" w:sz="4" w:space="0" w:color="auto"/>
              <w:right w:val="single" w:sz="4" w:space="0" w:color="auto"/>
            </w:tcBorders>
            <w:shd w:val="clear" w:color="auto" w:fill="C6EFCE"/>
            <w:noWrap/>
          </w:tcPr>
          <w:p w14:paraId="51F7012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0BF3F456" w14:textId="77777777" w:rsidR="00A00259" w:rsidRDefault="00371282">
            <w:pPr>
              <w:pStyle w:val="P68B1DB1-Normal12"/>
              <w:spacing w:after="0" w:line="240" w:lineRule="auto"/>
              <w:rPr>
                <w:rFonts w:eastAsia="Times New Roman"/>
                <w:noProof/>
              </w:rPr>
            </w:pPr>
            <w:r>
              <w:rPr>
                <w:noProof/>
              </w:rPr>
              <w:t xml:space="preserve">Montant (en millions d’EUR) </w:t>
            </w:r>
          </w:p>
        </w:tc>
        <w:tc>
          <w:tcPr>
            <w:tcW w:w="1417" w:type="dxa"/>
            <w:tcBorders>
              <w:top w:val="single" w:sz="4" w:space="0" w:color="auto"/>
              <w:left w:val="nil"/>
              <w:bottom w:val="single" w:sz="4" w:space="0" w:color="auto"/>
              <w:right w:val="single" w:sz="4" w:space="0" w:color="auto"/>
            </w:tcBorders>
            <w:shd w:val="clear" w:color="auto" w:fill="C6EFCE"/>
            <w:noWrap/>
          </w:tcPr>
          <w:p w14:paraId="28F13F71" w14:textId="77777777" w:rsidR="00A00259" w:rsidRDefault="00371282">
            <w:pPr>
              <w:pStyle w:val="P68B1DB1-Normal13"/>
              <w:spacing w:after="0" w:line="240" w:lineRule="auto"/>
              <w:rPr>
                <w:rFonts w:eastAsia="Times New Roman"/>
                <w:noProof/>
                <w:szCs w:val="18"/>
              </w:rPr>
            </w:pPr>
            <w:r>
              <w:rPr>
                <w:noProof/>
              </w:rPr>
              <w:t>4 518.4</w:t>
            </w:r>
          </w:p>
        </w:tc>
        <w:tc>
          <w:tcPr>
            <w:tcW w:w="1418" w:type="dxa"/>
            <w:tcBorders>
              <w:top w:val="single" w:sz="4" w:space="0" w:color="auto"/>
              <w:left w:val="nil"/>
              <w:bottom w:val="single" w:sz="4" w:space="0" w:color="auto"/>
              <w:right w:val="single" w:sz="4" w:space="0" w:color="auto"/>
            </w:tcBorders>
            <w:shd w:val="clear" w:color="auto" w:fill="C6EFCE"/>
            <w:noWrap/>
          </w:tcPr>
          <w:p w14:paraId="4A1B8E5E" w14:textId="77777777" w:rsidR="00A00259" w:rsidRDefault="00371282">
            <w:pPr>
              <w:pStyle w:val="P68B1DB1-Normal13"/>
              <w:spacing w:after="0" w:line="240" w:lineRule="auto"/>
              <w:rPr>
                <w:rFonts w:eastAsia="Times New Roman"/>
                <w:noProof/>
                <w:szCs w:val="18"/>
              </w:rPr>
            </w:pPr>
            <w:r>
              <w:rPr>
                <w:noProof/>
              </w:rPr>
              <w:t>7 064</w:t>
            </w:r>
          </w:p>
        </w:tc>
        <w:tc>
          <w:tcPr>
            <w:tcW w:w="992" w:type="dxa"/>
            <w:tcBorders>
              <w:top w:val="single" w:sz="4" w:space="0" w:color="auto"/>
              <w:left w:val="nil"/>
              <w:bottom w:val="single" w:sz="4" w:space="0" w:color="auto"/>
              <w:right w:val="single" w:sz="4" w:space="0" w:color="auto"/>
            </w:tcBorders>
            <w:shd w:val="clear" w:color="auto" w:fill="C6EFCE"/>
            <w:noWrap/>
          </w:tcPr>
          <w:p w14:paraId="1E318E75" w14:textId="77777777" w:rsidR="00A00259" w:rsidRDefault="00371282">
            <w:pPr>
              <w:pStyle w:val="P68B1DB1-Normal13"/>
              <w:spacing w:after="0" w:line="240" w:lineRule="auto"/>
              <w:rPr>
                <w:rFonts w:eastAsia="Times New Roman"/>
                <w:noProof/>
                <w:szCs w:val="18"/>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6E32DDF7" w14:textId="77777777" w:rsidR="00A00259" w:rsidRDefault="00371282">
            <w:pPr>
              <w:pStyle w:val="P68B1DB1-Normal13"/>
              <w:spacing w:after="0" w:line="240" w:lineRule="auto"/>
              <w:rPr>
                <w:rFonts w:eastAsia="Times New Roman"/>
                <w:noProof/>
                <w:szCs w:val="18"/>
              </w:rPr>
            </w:pPr>
            <w:r>
              <w:rPr>
                <w:noProof/>
              </w:rPr>
              <w:t>2024</w:t>
            </w:r>
          </w:p>
        </w:tc>
        <w:tc>
          <w:tcPr>
            <w:tcW w:w="4028" w:type="dxa"/>
            <w:tcBorders>
              <w:top w:val="single" w:sz="4" w:space="0" w:color="auto"/>
              <w:left w:val="nil"/>
              <w:bottom w:val="single" w:sz="4" w:space="0" w:color="auto"/>
              <w:right w:val="single" w:sz="4" w:space="0" w:color="auto"/>
            </w:tcBorders>
            <w:shd w:val="clear" w:color="auto" w:fill="C6EFCE"/>
            <w:noWrap/>
          </w:tcPr>
          <w:p w14:paraId="307A472A" w14:textId="77777777" w:rsidR="00A00259" w:rsidRDefault="00371282">
            <w:pPr>
              <w:pStyle w:val="P68B1DB1-Normal12"/>
              <w:spacing w:after="0" w:line="240" w:lineRule="auto"/>
              <w:rPr>
                <w:rFonts w:eastAsia="Times New Roman"/>
                <w:noProof/>
              </w:rPr>
            </w:pPr>
            <w:r>
              <w:rPr>
                <w:noProof/>
              </w:rPr>
              <w:t>7 064 millions d’EUR (y compris les frais de gestion) de fonds de la facilité de prêt FRR liés aux institutions financières internationales et aux banques commerciales ont été signés avec les bénéficiaires finaux conformément au mandat défini dans le jalon et après vérification ex ante par des auditeurs indépendants du respect des critères de gouvernance, de sélection, de suivi, d’audit et de partage des pertes, des orientations techniques «Ne pas causer de préjudice important» (2021/C58/01) et de la contribution à l’objectif climatique de 41,5 % et à l’objectif numérique de 20,8 %.</w:t>
            </w:r>
          </w:p>
        </w:tc>
      </w:tr>
      <w:tr w:rsidR="00A00259" w14:paraId="3B1DB589" w14:textId="77777777" w:rsidTr="00096954">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16D04DB0" w14:textId="77777777" w:rsidR="00A00259" w:rsidRDefault="00371282">
            <w:pPr>
              <w:pStyle w:val="P68B1DB1-Normal13"/>
              <w:spacing w:after="0" w:line="240" w:lineRule="auto"/>
              <w:rPr>
                <w:rFonts w:eastAsia="Times New Roman"/>
                <w:noProof/>
              </w:rPr>
            </w:pPr>
            <w:r>
              <w:rPr>
                <w:noProof/>
              </w:rPr>
              <w:t>327</w:t>
            </w:r>
          </w:p>
        </w:tc>
        <w:tc>
          <w:tcPr>
            <w:tcW w:w="1614" w:type="dxa"/>
            <w:tcBorders>
              <w:top w:val="single" w:sz="4" w:space="0" w:color="auto"/>
              <w:left w:val="nil"/>
              <w:bottom w:val="single" w:sz="4" w:space="0" w:color="auto"/>
              <w:right w:val="single" w:sz="4" w:space="0" w:color="auto"/>
            </w:tcBorders>
            <w:shd w:val="clear" w:color="auto" w:fill="C6EFCE"/>
            <w:noWrap/>
          </w:tcPr>
          <w:p w14:paraId="50412870" w14:textId="77777777" w:rsidR="00A00259" w:rsidRDefault="00371282">
            <w:pPr>
              <w:pStyle w:val="P68B1DB1-Normal13"/>
              <w:spacing w:after="0" w:line="240" w:lineRule="auto"/>
              <w:rPr>
                <w:rFonts w:eastAsia="Times New Roman"/>
                <w:noProof/>
                <w:szCs w:val="18"/>
              </w:rPr>
            </w:pPr>
            <w:r>
              <w:rPr>
                <w:noProof/>
              </w:rPr>
              <w:t>4.7. Améliorer la compétitivité et promouvoir les investissements privés et les exportations - 16980_RRP Loan Facility</w:t>
            </w:r>
          </w:p>
        </w:tc>
        <w:tc>
          <w:tcPr>
            <w:tcW w:w="1275" w:type="dxa"/>
            <w:tcBorders>
              <w:top w:val="single" w:sz="4" w:space="0" w:color="auto"/>
              <w:left w:val="nil"/>
              <w:bottom w:val="single" w:sz="4" w:space="0" w:color="auto"/>
              <w:right w:val="single" w:sz="4" w:space="0" w:color="auto"/>
            </w:tcBorders>
            <w:shd w:val="clear" w:color="auto" w:fill="C6EFCE"/>
            <w:noWrap/>
          </w:tcPr>
          <w:p w14:paraId="6EB91FCF" w14:textId="77777777" w:rsidR="00A00259" w:rsidRDefault="00371282">
            <w:pPr>
              <w:pStyle w:val="P68B1DB1-Normal13"/>
              <w:spacing w:after="0" w:line="240" w:lineRule="auto"/>
              <w:rPr>
                <w:rFonts w:eastAsia="Times New Roman"/>
                <w:noProof/>
                <w:szCs w:val="18"/>
              </w:rPr>
            </w:pPr>
            <w:r>
              <w:rPr>
                <w:noProof/>
              </w:rPr>
              <w:t>Objectif</w:t>
            </w:r>
          </w:p>
        </w:tc>
        <w:tc>
          <w:tcPr>
            <w:tcW w:w="1276" w:type="dxa"/>
            <w:tcBorders>
              <w:top w:val="single" w:sz="4" w:space="0" w:color="auto"/>
              <w:left w:val="nil"/>
              <w:bottom w:val="single" w:sz="4" w:space="0" w:color="auto"/>
              <w:right w:val="single" w:sz="4" w:space="0" w:color="auto"/>
            </w:tcBorders>
            <w:shd w:val="clear" w:color="auto" w:fill="C6EFCE"/>
            <w:noWrap/>
          </w:tcPr>
          <w:p w14:paraId="4F064135" w14:textId="01A38633" w:rsidR="00A00259" w:rsidRDefault="00371282">
            <w:pPr>
              <w:pStyle w:val="P68B1DB1-Normal13"/>
              <w:spacing w:after="0" w:line="240" w:lineRule="auto"/>
              <w:rPr>
                <w:rFonts w:eastAsia="Times New Roman"/>
                <w:noProof/>
                <w:szCs w:val="18"/>
              </w:rPr>
            </w:pPr>
            <w:r>
              <w:rPr>
                <w:noProof/>
              </w:rPr>
              <w:t>9 800 millions d’EUR de fonds d’établissements financiers signés avec les bénéficiaires finaux</w:t>
            </w:r>
          </w:p>
        </w:tc>
        <w:tc>
          <w:tcPr>
            <w:tcW w:w="1276" w:type="dxa"/>
            <w:tcBorders>
              <w:top w:val="single" w:sz="4" w:space="0" w:color="auto"/>
              <w:left w:val="nil"/>
              <w:bottom w:val="single" w:sz="4" w:space="0" w:color="auto"/>
              <w:right w:val="single" w:sz="4" w:space="0" w:color="auto"/>
            </w:tcBorders>
            <w:shd w:val="clear" w:color="auto" w:fill="C6EFCE"/>
          </w:tcPr>
          <w:p w14:paraId="3E00759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32AB9B1D" w14:textId="77777777" w:rsidR="00A00259" w:rsidRDefault="00371282">
            <w:pPr>
              <w:pStyle w:val="P68B1DB1-Normal13"/>
              <w:spacing w:after="0" w:line="240" w:lineRule="auto"/>
              <w:rPr>
                <w:rFonts w:eastAsia="Times New Roman"/>
                <w:noProof/>
                <w:szCs w:val="18"/>
              </w:rPr>
            </w:pPr>
            <w:r>
              <w:rPr>
                <w:noProof/>
              </w:rPr>
              <w:t>Montant (en</w:t>
            </w:r>
            <w:r>
              <w:rPr>
                <w:noProof/>
                <w:szCs w:val="18"/>
              </w:rPr>
              <w:t xml:space="preserve"> millions d’EUR)</w:t>
            </w:r>
          </w:p>
        </w:tc>
        <w:tc>
          <w:tcPr>
            <w:tcW w:w="1417" w:type="dxa"/>
            <w:tcBorders>
              <w:top w:val="single" w:sz="4" w:space="0" w:color="auto"/>
              <w:left w:val="nil"/>
              <w:bottom w:val="single" w:sz="4" w:space="0" w:color="auto"/>
              <w:right w:val="single" w:sz="4" w:space="0" w:color="auto"/>
            </w:tcBorders>
            <w:shd w:val="clear" w:color="auto" w:fill="C6EFCE"/>
            <w:noWrap/>
          </w:tcPr>
          <w:p w14:paraId="7C6A7409" w14:textId="77777777" w:rsidR="00A00259" w:rsidRDefault="00371282">
            <w:pPr>
              <w:pStyle w:val="P68B1DB1-Normal13"/>
              <w:spacing w:after="0" w:line="240" w:lineRule="auto"/>
              <w:rPr>
                <w:rFonts w:eastAsia="Times New Roman"/>
                <w:noProof/>
                <w:szCs w:val="18"/>
              </w:rPr>
            </w:pPr>
            <w:r>
              <w:rPr>
                <w:noProof/>
              </w:rPr>
              <w:t>7 064</w:t>
            </w:r>
          </w:p>
        </w:tc>
        <w:tc>
          <w:tcPr>
            <w:tcW w:w="1418" w:type="dxa"/>
            <w:tcBorders>
              <w:top w:val="single" w:sz="4" w:space="0" w:color="auto"/>
              <w:left w:val="nil"/>
              <w:bottom w:val="single" w:sz="4" w:space="0" w:color="auto"/>
              <w:right w:val="single" w:sz="4" w:space="0" w:color="auto"/>
            </w:tcBorders>
            <w:shd w:val="clear" w:color="auto" w:fill="C6EFCE"/>
            <w:noWrap/>
          </w:tcPr>
          <w:p w14:paraId="1AF26892" w14:textId="77777777" w:rsidR="00A00259" w:rsidRDefault="00371282">
            <w:pPr>
              <w:pStyle w:val="P68B1DB1-Normal13"/>
              <w:spacing w:after="0" w:line="240" w:lineRule="auto"/>
              <w:rPr>
                <w:rFonts w:eastAsia="Times New Roman"/>
                <w:noProof/>
                <w:szCs w:val="18"/>
              </w:rPr>
            </w:pPr>
            <w:r>
              <w:rPr>
                <w:noProof/>
              </w:rPr>
              <w:t>9 800</w:t>
            </w:r>
          </w:p>
        </w:tc>
        <w:tc>
          <w:tcPr>
            <w:tcW w:w="992" w:type="dxa"/>
            <w:tcBorders>
              <w:top w:val="single" w:sz="4" w:space="0" w:color="auto"/>
              <w:left w:val="nil"/>
              <w:bottom w:val="single" w:sz="4" w:space="0" w:color="auto"/>
              <w:right w:val="single" w:sz="4" w:space="0" w:color="auto"/>
            </w:tcBorders>
            <w:shd w:val="clear" w:color="auto" w:fill="C6EFCE"/>
            <w:noWrap/>
          </w:tcPr>
          <w:p w14:paraId="60A260B6" w14:textId="77777777" w:rsidR="00A00259" w:rsidRDefault="00371282">
            <w:pPr>
              <w:pStyle w:val="P68B1DB1-Normal13"/>
              <w:spacing w:after="0" w:line="240" w:lineRule="auto"/>
              <w:rPr>
                <w:rFonts w:eastAsia="Times New Roman"/>
                <w:noProof/>
                <w:szCs w:val="18"/>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5064FE62" w14:textId="77777777" w:rsidR="00A00259" w:rsidRDefault="00371282">
            <w:pPr>
              <w:pStyle w:val="P68B1DB1-Normal13"/>
              <w:spacing w:after="0" w:line="240" w:lineRule="auto"/>
              <w:rPr>
                <w:rFonts w:eastAsia="Times New Roman"/>
                <w:noProof/>
                <w:szCs w:val="18"/>
              </w:rPr>
            </w:pPr>
            <w:r>
              <w:rPr>
                <w:noProof/>
              </w:rPr>
              <w:t>2025</w:t>
            </w:r>
          </w:p>
        </w:tc>
        <w:tc>
          <w:tcPr>
            <w:tcW w:w="4028" w:type="dxa"/>
            <w:tcBorders>
              <w:top w:val="single" w:sz="4" w:space="0" w:color="auto"/>
              <w:left w:val="nil"/>
              <w:bottom w:val="single" w:sz="4" w:space="0" w:color="auto"/>
              <w:right w:val="single" w:sz="4" w:space="0" w:color="auto"/>
            </w:tcBorders>
            <w:shd w:val="clear" w:color="auto" w:fill="C6EFCE"/>
            <w:noWrap/>
          </w:tcPr>
          <w:p w14:paraId="4D7FCE64" w14:textId="77777777" w:rsidR="00A00259" w:rsidRDefault="00371282">
            <w:pPr>
              <w:pStyle w:val="P68B1DB1-Normal13"/>
              <w:spacing w:after="0" w:line="240" w:lineRule="auto"/>
              <w:rPr>
                <w:rFonts w:eastAsia="Times New Roman"/>
                <w:noProof/>
                <w:szCs w:val="18"/>
              </w:rPr>
            </w:pPr>
            <w:r>
              <w:rPr>
                <w:noProof/>
                <w:szCs w:val="18"/>
              </w:rPr>
              <w:t>9 800 millions d’EUR (y compris les frais de gestion) de fonds de la facilité de prêt FRR liés aux institutions financières internationales et aux banques commerciales ont été signés avec les bénéficiaires finaux conformément au mandat défini dans le jalon et après vérification ex ante par des auditeurs indépendants du respect des critères de gouvernance, de sélection, de suivi, d’audit et de partage des pertes, des orientations techniques «Ne pas causer de préjudice important» (2021/C58/01) et de la contribution à l’objectif climatique de 48,98 % et à l’objectif numérique de 24,19 %.</w:t>
            </w:r>
          </w:p>
        </w:tc>
      </w:tr>
      <w:tr w:rsidR="00A00259" w14:paraId="3B41AA6F" w14:textId="77777777" w:rsidTr="00096954">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7DCA0F20" w14:textId="77777777" w:rsidR="00A00259" w:rsidRDefault="00371282">
            <w:pPr>
              <w:pStyle w:val="P68B1DB1-Normal12"/>
              <w:spacing w:after="0" w:line="240" w:lineRule="auto"/>
              <w:rPr>
                <w:noProof/>
              </w:rPr>
            </w:pPr>
            <w:r>
              <w:rPr>
                <w:noProof/>
              </w:rPr>
              <w:t>327 bis</w:t>
            </w:r>
          </w:p>
        </w:tc>
        <w:tc>
          <w:tcPr>
            <w:tcW w:w="1614" w:type="dxa"/>
            <w:tcBorders>
              <w:top w:val="single" w:sz="4" w:space="0" w:color="auto"/>
              <w:left w:val="nil"/>
              <w:bottom w:val="single" w:sz="4" w:space="0" w:color="auto"/>
              <w:right w:val="single" w:sz="4" w:space="0" w:color="auto"/>
            </w:tcBorders>
            <w:shd w:val="clear" w:color="auto" w:fill="C6EFCE"/>
            <w:noWrap/>
          </w:tcPr>
          <w:p w14:paraId="4BB32DF8" w14:textId="77777777" w:rsidR="00A00259" w:rsidRDefault="00371282">
            <w:pPr>
              <w:pStyle w:val="P68B1DB1-Normal12"/>
              <w:spacing w:after="0" w:line="240" w:lineRule="auto"/>
              <w:rPr>
                <w:noProof/>
              </w:rPr>
            </w:pPr>
            <w:r>
              <w:rPr>
                <w:noProof/>
              </w:rPr>
              <w:t>4.7. Améliorer la compétitivité et promouvoir les investissements privés et les exportations - 16980_RRP Loan Facility</w:t>
            </w:r>
          </w:p>
        </w:tc>
        <w:tc>
          <w:tcPr>
            <w:tcW w:w="1275" w:type="dxa"/>
            <w:tcBorders>
              <w:top w:val="single" w:sz="4" w:space="0" w:color="auto"/>
              <w:left w:val="nil"/>
              <w:bottom w:val="single" w:sz="4" w:space="0" w:color="auto"/>
              <w:right w:val="single" w:sz="4" w:space="0" w:color="auto"/>
            </w:tcBorders>
            <w:shd w:val="clear" w:color="auto" w:fill="C6EFCE"/>
            <w:noWrap/>
          </w:tcPr>
          <w:p w14:paraId="33F759F0" w14:textId="77777777" w:rsidR="00A00259" w:rsidRDefault="00371282">
            <w:pPr>
              <w:pStyle w:val="P68B1DB1-Normal12"/>
              <w:spacing w:after="0" w:line="240" w:lineRule="auto"/>
              <w:rPr>
                <w:noProof/>
              </w:rPr>
            </w:pPr>
            <w:r>
              <w:rPr>
                <w:noProof/>
              </w:rPr>
              <w:t>Objectif</w:t>
            </w:r>
          </w:p>
        </w:tc>
        <w:tc>
          <w:tcPr>
            <w:tcW w:w="1276" w:type="dxa"/>
            <w:tcBorders>
              <w:top w:val="single" w:sz="4" w:space="0" w:color="auto"/>
              <w:left w:val="nil"/>
              <w:bottom w:val="single" w:sz="4" w:space="0" w:color="auto"/>
              <w:right w:val="single" w:sz="4" w:space="0" w:color="auto"/>
            </w:tcBorders>
            <w:shd w:val="clear" w:color="auto" w:fill="C6EFCE"/>
            <w:noWrap/>
          </w:tcPr>
          <w:p w14:paraId="334213AC" w14:textId="2B961ADC" w:rsidR="00A00259" w:rsidRDefault="00371282">
            <w:pPr>
              <w:pStyle w:val="P68B1DB1-Normal12"/>
              <w:spacing w:after="0" w:line="240" w:lineRule="auto"/>
              <w:rPr>
                <w:noProof/>
              </w:rPr>
            </w:pPr>
            <w:r>
              <w:rPr>
                <w:noProof/>
              </w:rPr>
              <w:t>13 366 446 891 EUR de fonds d’établissements financiers signés avec les bénéficiaires finaux</w:t>
            </w:r>
          </w:p>
        </w:tc>
        <w:tc>
          <w:tcPr>
            <w:tcW w:w="1276" w:type="dxa"/>
            <w:tcBorders>
              <w:top w:val="single" w:sz="4" w:space="0" w:color="auto"/>
              <w:left w:val="nil"/>
              <w:bottom w:val="single" w:sz="4" w:space="0" w:color="auto"/>
              <w:right w:val="single" w:sz="4" w:space="0" w:color="auto"/>
            </w:tcBorders>
            <w:shd w:val="clear" w:color="auto" w:fill="C6EFCE"/>
          </w:tcPr>
          <w:p w14:paraId="08F96BE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63AD3C28" w14:textId="2384A3EC" w:rsidR="00A00259" w:rsidRDefault="00371282">
            <w:pPr>
              <w:pStyle w:val="P68B1DB1-Normal12"/>
              <w:spacing w:after="0" w:line="240" w:lineRule="auto"/>
              <w:rPr>
                <w:noProof/>
              </w:rPr>
            </w:pPr>
            <w:r>
              <w:rPr>
                <w:noProof/>
              </w:rPr>
              <w:t>Montant (EUR)</w:t>
            </w:r>
          </w:p>
        </w:tc>
        <w:tc>
          <w:tcPr>
            <w:tcW w:w="1417" w:type="dxa"/>
            <w:tcBorders>
              <w:top w:val="single" w:sz="4" w:space="0" w:color="auto"/>
              <w:left w:val="nil"/>
              <w:bottom w:val="single" w:sz="4" w:space="0" w:color="auto"/>
              <w:right w:val="single" w:sz="4" w:space="0" w:color="auto"/>
            </w:tcBorders>
            <w:shd w:val="clear" w:color="auto" w:fill="C6EFCE"/>
            <w:noWrap/>
          </w:tcPr>
          <w:p w14:paraId="07E9B010" w14:textId="5694CEB4" w:rsidR="00A00259" w:rsidRDefault="00371282">
            <w:pPr>
              <w:pStyle w:val="P68B1DB1-Normal13"/>
              <w:spacing w:after="0" w:line="240" w:lineRule="auto"/>
              <w:rPr>
                <w:noProof/>
                <w:szCs w:val="18"/>
              </w:rPr>
            </w:pPr>
            <w:r>
              <w:rPr>
                <w:noProof/>
                <w:szCs w:val="18"/>
              </w:rPr>
              <w:t>9</w:t>
            </w:r>
            <w:r>
              <w:rPr>
                <w:noProof/>
              </w:rPr>
              <w:t xml:space="preserve"> </w:t>
            </w:r>
            <w:r>
              <w:rPr>
                <w:noProof/>
                <w:szCs w:val="18"/>
              </w:rPr>
              <w:t>800 000 000</w:t>
            </w:r>
          </w:p>
        </w:tc>
        <w:tc>
          <w:tcPr>
            <w:tcW w:w="1418" w:type="dxa"/>
            <w:tcBorders>
              <w:top w:val="single" w:sz="4" w:space="0" w:color="auto"/>
              <w:left w:val="nil"/>
              <w:bottom w:val="single" w:sz="4" w:space="0" w:color="auto"/>
              <w:right w:val="single" w:sz="4" w:space="0" w:color="auto"/>
            </w:tcBorders>
            <w:shd w:val="clear" w:color="auto" w:fill="C6EFCE"/>
            <w:noWrap/>
          </w:tcPr>
          <w:p w14:paraId="2B140E03" w14:textId="2A843003" w:rsidR="00A00259" w:rsidRDefault="00371282">
            <w:pPr>
              <w:pStyle w:val="P68B1DB1-Normal12"/>
              <w:spacing w:after="0" w:line="240" w:lineRule="auto"/>
              <w:rPr>
                <w:noProof/>
              </w:rPr>
            </w:pPr>
            <w:r>
              <w:rPr>
                <w:noProof/>
              </w:rPr>
              <w:t>13 366 446 891</w:t>
            </w:r>
          </w:p>
        </w:tc>
        <w:tc>
          <w:tcPr>
            <w:tcW w:w="992" w:type="dxa"/>
            <w:tcBorders>
              <w:top w:val="single" w:sz="4" w:space="0" w:color="auto"/>
              <w:left w:val="nil"/>
              <w:bottom w:val="single" w:sz="4" w:space="0" w:color="auto"/>
              <w:right w:val="single" w:sz="4" w:space="0" w:color="auto"/>
            </w:tcBorders>
            <w:shd w:val="clear" w:color="auto" w:fill="C6EFCE"/>
            <w:noWrap/>
          </w:tcPr>
          <w:p w14:paraId="3B6A4568" w14:textId="77777777" w:rsidR="00A00259" w:rsidRDefault="00371282">
            <w:pPr>
              <w:pStyle w:val="P68B1DB1-Normal12"/>
              <w:spacing w:after="0" w:line="240" w:lineRule="auto"/>
              <w:rPr>
                <w:noProof/>
              </w:rPr>
            </w:pPr>
            <w:r>
              <w:rPr>
                <w:noProof/>
              </w:rPr>
              <w:t>T1</w:t>
            </w:r>
          </w:p>
        </w:tc>
        <w:tc>
          <w:tcPr>
            <w:tcW w:w="851" w:type="dxa"/>
            <w:tcBorders>
              <w:top w:val="single" w:sz="4" w:space="0" w:color="auto"/>
              <w:left w:val="nil"/>
              <w:bottom w:val="single" w:sz="4" w:space="0" w:color="auto"/>
              <w:right w:val="single" w:sz="4" w:space="0" w:color="auto"/>
            </w:tcBorders>
            <w:shd w:val="clear" w:color="auto" w:fill="C6EFCE"/>
            <w:noWrap/>
          </w:tcPr>
          <w:p w14:paraId="76F58916" w14:textId="77777777" w:rsidR="00A00259" w:rsidRDefault="00371282">
            <w:pPr>
              <w:pStyle w:val="P68B1DB1-Normal12"/>
              <w:spacing w:after="0" w:line="240" w:lineRule="auto"/>
              <w:rPr>
                <w:noProof/>
              </w:rPr>
            </w:pPr>
            <w:r>
              <w:rPr>
                <w:noProof/>
              </w:rPr>
              <w:t>2026</w:t>
            </w:r>
          </w:p>
        </w:tc>
        <w:tc>
          <w:tcPr>
            <w:tcW w:w="4028" w:type="dxa"/>
            <w:tcBorders>
              <w:top w:val="single" w:sz="4" w:space="0" w:color="auto"/>
              <w:left w:val="nil"/>
              <w:bottom w:val="single" w:sz="4" w:space="0" w:color="auto"/>
              <w:right w:val="single" w:sz="4" w:space="0" w:color="auto"/>
            </w:tcBorders>
            <w:shd w:val="clear" w:color="auto" w:fill="C6EFCE"/>
            <w:noWrap/>
          </w:tcPr>
          <w:p w14:paraId="4498F6D2" w14:textId="2724030F" w:rsidR="00A00259" w:rsidRDefault="00371282">
            <w:pPr>
              <w:pStyle w:val="P68B1DB1-Normal12"/>
              <w:spacing w:after="0" w:line="240" w:lineRule="auto"/>
              <w:rPr>
                <w:noProof/>
              </w:rPr>
            </w:pPr>
            <w:r>
              <w:rPr>
                <w:noProof/>
              </w:rPr>
              <w:t>13 366 446 891 EUR (y compris les frais de gestion) de fonds de la facilité de prêt FRR liés aux institutions financières internationales et aux banques commerciales ont été signés avec les bénéficiaires finaux conformément au mandat défini dans le jalon et après vérification ex ante par des auditeurs indépendants du respect des critères de gouvernance, de sélection, de suivi, d’audit et de partage des pertes, des orientations techniques «Ne pas causer de préjudice important» (2021/C58/01) et de la contribution à l’objectif climatique de 55 % et à l’objectif numérique de 28 %.</w:t>
            </w:r>
          </w:p>
        </w:tc>
      </w:tr>
      <w:tr w:rsidR="00A00259" w14:paraId="750D7666" w14:textId="77777777" w:rsidTr="00096954">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5ABCC33D" w14:textId="77777777" w:rsidR="00A00259" w:rsidRDefault="00371282">
            <w:pPr>
              <w:pStyle w:val="P68B1DB1-Normal12"/>
              <w:spacing w:after="0" w:line="240" w:lineRule="auto"/>
              <w:rPr>
                <w:rFonts w:eastAsia="Times New Roman"/>
                <w:noProof/>
              </w:rPr>
            </w:pPr>
            <w:r>
              <w:rPr>
                <w:noProof/>
              </w:rPr>
              <w:t>328 bis</w:t>
            </w:r>
          </w:p>
        </w:tc>
        <w:tc>
          <w:tcPr>
            <w:tcW w:w="1614" w:type="dxa"/>
            <w:tcBorders>
              <w:top w:val="single" w:sz="4" w:space="0" w:color="auto"/>
              <w:left w:val="nil"/>
              <w:bottom w:val="single" w:sz="4" w:space="0" w:color="auto"/>
              <w:right w:val="single" w:sz="4" w:space="0" w:color="auto"/>
            </w:tcBorders>
            <w:shd w:val="clear" w:color="auto" w:fill="C6EFCE"/>
            <w:noWrap/>
          </w:tcPr>
          <w:p w14:paraId="169AD4ED" w14:textId="77777777" w:rsidR="00A00259" w:rsidRDefault="00371282">
            <w:pPr>
              <w:pStyle w:val="P68B1DB1-Normal12"/>
              <w:spacing w:after="0" w:line="240" w:lineRule="auto"/>
              <w:rPr>
                <w:rFonts w:eastAsia="Times New Roman"/>
                <w:noProof/>
              </w:rPr>
            </w:pPr>
            <w:r>
              <w:rPr>
                <w:noProof/>
              </w:rPr>
              <w:t>4.7. Améliorer la compétitivité et promouvoir les investissements privés et les exportations - 16980_RRP Loan Facility</w:t>
            </w:r>
          </w:p>
        </w:tc>
        <w:tc>
          <w:tcPr>
            <w:tcW w:w="1275" w:type="dxa"/>
            <w:tcBorders>
              <w:top w:val="single" w:sz="4" w:space="0" w:color="auto"/>
              <w:left w:val="nil"/>
              <w:bottom w:val="single" w:sz="4" w:space="0" w:color="auto"/>
              <w:right w:val="single" w:sz="4" w:space="0" w:color="auto"/>
            </w:tcBorders>
            <w:shd w:val="clear" w:color="auto" w:fill="C6EFCE"/>
            <w:noWrap/>
          </w:tcPr>
          <w:p w14:paraId="4CE752CD" w14:textId="77777777" w:rsidR="00A00259" w:rsidRDefault="00371282">
            <w:pPr>
              <w:pStyle w:val="P68B1DB1-Normal12"/>
              <w:spacing w:after="0" w:line="240" w:lineRule="auto"/>
              <w:rPr>
                <w:rFonts w:eastAsia="Times New Roman"/>
                <w:noProof/>
              </w:rPr>
            </w:pPr>
            <w:r>
              <w:rPr>
                <w:noProof/>
              </w:rPr>
              <w:t>Étape</w:t>
            </w:r>
          </w:p>
        </w:tc>
        <w:tc>
          <w:tcPr>
            <w:tcW w:w="1276" w:type="dxa"/>
            <w:tcBorders>
              <w:top w:val="single" w:sz="4" w:space="0" w:color="auto"/>
              <w:left w:val="nil"/>
              <w:bottom w:val="single" w:sz="4" w:space="0" w:color="auto"/>
              <w:right w:val="single" w:sz="4" w:space="0" w:color="auto"/>
            </w:tcBorders>
            <w:shd w:val="clear" w:color="auto" w:fill="C6EFCE"/>
            <w:noWrap/>
          </w:tcPr>
          <w:p w14:paraId="61605FFB" w14:textId="77777777" w:rsidR="00A00259" w:rsidRDefault="00371282">
            <w:pPr>
              <w:pStyle w:val="P68B1DB1-Normal12"/>
              <w:spacing w:after="0" w:line="240" w:lineRule="auto"/>
              <w:rPr>
                <w:rFonts w:eastAsia="Times New Roman"/>
                <w:noProof/>
              </w:rPr>
            </w:pPr>
            <w:r>
              <w:rPr>
                <w:noProof/>
              </w:rPr>
              <w:t>Facilité de prêt - Le ministère des Finances a terminé l'investissement</w:t>
            </w:r>
          </w:p>
        </w:tc>
        <w:tc>
          <w:tcPr>
            <w:tcW w:w="1276" w:type="dxa"/>
            <w:tcBorders>
              <w:top w:val="single" w:sz="4" w:space="0" w:color="auto"/>
              <w:left w:val="nil"/>
              <w:bottom w:val="single" w:sz="4" w:space="0" w:color="auto"/>
              <w:right w:val="single" w:sz="4" w:space="0" w:color="auto"/>
            </w:tcBorders>
            <w:shd w:val="clear" w:color="auto" w:fill="C6EFCE"/>
          </w:tcPr>
          <w:p w14:paraId="494F1466" w14:textId="77777777" w:rsidR="00A00259" w:rsidRDefault="00371282">
            <w:pPr>
              <w:pStyle w:val="P68B1DB1-Normal12"/>
              <w:spacing w:after="0" w:line="240" w:lineRule="auto"/>
              <w:rPr>
                <w:rFonts w:eastAsia="Times New Roman"/>
                <w:noProof/>
              </w:rPr>
            </w:pPr>
            <w:r>
              <w:rPr>
                <w:noProof/>
              </w:rPr>
              <w:t>Certificat de transfert</w:t>
            </w:r>
          </w:p>
        </w:tc>
        <w:tc>
          <w:tcPr>
            <w:tcW w:w="1134" w:type="dxa"/>
            <w:tcBorders>
              <w:top w:val="single" w:sz="4" w:space="0" w:color="auto"/>
              <w:left w:val="nil"/>
              <w:bottom w:val="single" w:sz="4" w:space="0" w:color="auto"/>
              <w:right w:val="single" w:sz="4" w:space="0" w:color="auto"/>
            </w:tcBorders>
            <w:shd w:val="clear" w:color="auto" w:fill="C6EFCE"/>
            <w:noWrap/>
          </w:tcPr>
          <w:p w14:paraId="79CE5C5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417" w:type="dxa"/>
            <w:tcBorders>
              <w:top w:val="single" w:sz="4" w:space="0" w:color="auto"/>
              <w:left w:val="nil"/>
              <w:bottom w:val="single" w:sz="4" w:space="0" w:color="auto"/>
              <w:right w:val="single" w:sz="4" w:space="0" w:color="auto"/>
            </w:tcBorders>
            <w:shd w:val="clear" w:color="auto" w:fill="C6EFCE"/>
            <w:noWrap/>
          </w:tcPr>
          <w:p w14:paraId="7CB8E318"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418" w:type="dxa"/>
            <w:tcBorders>
              <w:top w:val="single" w:sz="4" w:space="0" w:color="auto"/>
              <w:left w:val="nil"/>
              <w:bottom w:val="single" w:sz="4" w:space="0" w:color="auto"/>
              <w:right w:val="single" w:sz="4" w:space="0" w:color="auto"/>
            </w:tcBorders>
            <w:shd w:val="clear" w:color="auto" w:fill="C6EFCE"/>
            <w:noWrap/>
          </w:tcPr>
          <w:p w14:paraId="5BED152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3151D96E" w14:textId="2ECEAB97" w:rsidR="00A00259" w:rsidRDefault="00371282">
            <w:pPr>
              <w:pStyle w:val="P68B1DB1-Normal12"/>
              <w:spacing w:after="0" w:line="240" w:lineRule="auto"/>
              <w:rPr>
                <w:rFonts w:eastAsia="Times New Roman"/>
                <w:noProof/>
              </w:rPr>
            </w:pPr>
            <w:r>
              <w:rPr>
                <w:noProof/>
              </w:rPr>
              <w:t>T1</w:t>
            </w:r>
          </w:p>
        </w:tc>
        <w:tc>
          <w:tcPr>
            <w:tcW w:w="851" w:type="dxa"/>
            <w:tcBorders>
              <w:top w:val="single" w:sz="4" w:space="0" w:color="auto"/>
              <w:left w:val="nil"/>
              <w:bottom w:val="single" w:sz="4" w:space="0" w:color="auto"/>
              <w:right w:val="single" w:sz="4" w:space="0" w:color="auto"/>
            </w:tcBorders>
            <w:shd w:val="clear" w:color="auto" w:fill="C6EFCE"/>
            <w:noWrap/>
          </w:tcPr>
          <w:p w14:paraId="2C0F1D64" w14:textId="77777777" w:rsidR="00A00259" w:rsidRDefault="00371282">
            <w:pPr>
              <w:pStyle w:val="P68B1DB1-Normal12"/>
              <w:spacing w:after="0" w:line="240" w:lineRule="auto"/>
              <w:rPr>
                <w:rFonts w:eastAsia="Times New Roman"/>
                <w:noProof/>
              </w:rPr>
            </w:pPr>
            <w:r>
              <w:rPr>
                <w:noProof/>
              </w:rPr>
              <w:t>2026</w:t>
            </w:r>
          </w:p>
        </w:tc>
        <w:tc>
          <w:tcPr>
            <w:tcW w:w="4028" w:type="dxa"/>
            <w:tcBorders>
              <w:top w:val="single" w:sz="4" w:space="0" w:color="auto"/>
              <w:left w:val="nil"/>
              <w:bottom w:val="single" w:sz="4" w:space="0" w:color="auto"/>
              <w:right w:val="single" w:sz="4" w:space="0" w:color="auto"/>
            </w:tcBorders>
            <w:shd w:val="clear" w:color="auto" w:fill="C6EFCE"/>
            <w:noWrap/>
          </w:tcPr>
          <w:p w14:paraId="5AE7434B" w14:textId="38913D8B" w:rsidR="00A00259" w:rsidRDefault="00371282">
            <w:pPr>
              <w:pStyle w:val="P68B1DB1-Normal12"/>
              <w:spacing w:after="0" w:line="240" w:lineRule="auto"/>
              <w:rPr>
                <w:rFonts w:eastAsia="Times New Roman"/>
                <w:noProof/>
              </w:rPr>
            </w:pPr>
            <w:r>
              <w:rPr>
                <w:noProof/>
              </w:rPr>
              <w:t>La Grèce transfère 13 366 446 891 EUR aux institutions financières internationales et aux banques commerciales pour la facilité de prêt.</w:t>
            </w:r>
          </w:p>
        </w:tc>
      </w:tr>
      <w:tr w:rsidR="00A00259" w14:paraId="12ED2CDA" w14:textId="77777777" w:rsidTr="00096954">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20842550" w14:textId="77777777" w:rsidR="00A00259" w:rsidRDefault="00371282">
            <w:pPr>
              <w:pStyle w:val="P68B1DB1-Normal12"/>
              <w:spacing w:after="0" w:line="240" w:lineRule="auto"/>
              <w:rPr>
                <w:noProof/>
              </w:rPr>
            </w:pPr>
            <w:r>
              <w:rPr>
                <w:noProof/>
              </w:rPr>
              <w:t>329</w:t>
            </w:r>
          </w:p>
        </w:tc>
        <w:tc>
          <w:tcPr>
            <w:tcW w:w="1614" w:type="dxa"/>
            <w:tcBorders>
              <w:top w:val="single" w:sz="4" w:space="0" w:color="auto"/>
              <w:left w:val="nil"/>
              <w:bottom w:val="single" w:sz="4" w:space="0" w:color="auto"/>
              <w:right w:val="single" w:sz="4" w:space="0" w:color="auto"/>
            </w:tcBorders>
            <w:shd w:val="clear" w:color="auto" w:fill="C6EFCE"/>
            <w:noWrap/>
          </w:tcPr>
          <w:p w14:paraId="08982417" w14:textId="77777777" w:rsidR="00A00259" w:rsidRDefault="00371282">
            <w:pPr>
              <w:pStyle w:val="P68B1DB1-Normal12"/>
              <w:spacing w:after="0" w:line="240" w:lineRule="auto"/>
              <w:rPr>
                <w:rFonts w:eastAsia="Times New Roman"/>
                <w:noProof/>
              </w:rPr>
            </w:pPr>
            <w:r>
              <w:rPr>
                <w:noProof/>
              </w:rPr>
              <w:t>4.7. Améliorer la compétitivité et promouvoir les investissements privés et les exportations - 16980_RRP Loan Facility</w:t>
            </w:r>
          </w:p>
        </w:tc>
        <w:tc>
          <w:tcPr>
            <w:tcW w:w="1275" w:type="dxa"/>
            <w:tcBorders>
              <w:top w:val="single" w:sz="4" w:space="0" w:color="auto"/>
              <w:left w:val="nil"/>
              <w:bottom w:val="single" w:sz="4" w:space="0" w:color="auto"/>
              <w:right w:val="single" w:sz="4" w:space="0" w:color="auto"/>
            </w:tcBorders>
            <w:shd w:val="clear" w:color="auto" w:fill="C6EFCE"/>
            <w:noWrap/>
          </w:tcPr>
          <w:p w14:paraId="4FAD3868" w14:textId="77777777" w:rsidR="00A00259" w:rsidRDefault="00371282">
            <w:pPr>
              <w:pStyle w:val="P68B1DB1-Normal12"/>
              <w:spacing w:after="0" w:line="240" w:lineRule="auto"/>
              <w:rPr>
                <w:rFonts w:eastAsia="Times New Roman"/>
                <w:noProof/>
              </w:rPr>
            </w:pPr>
            <w:r>
              <w:rPr>
                <w:noProof/>
              </w:rPr>
              <w:t>Objectif</w:t>
            </w:r>
          </w:p>
        </w:tc>
        <w:tc>
          <w:tcPr>
            <w:tcW w:w="1276" w:type="dxa"/>
            <w:tcBorders>
              <w:top w:val="single" w:sz="4" w:space="0" w:color="auto"/>
              <w:left w:val="nil"/>
              <w:bottom w:val="single" w:sz="4" w:space="0" w:color="auto"/>
              <w:right w:val="single" w:sz="4" w:space="0" w:color="auto"/>
            </w:tcBorders>
            <w:shd w:val="clear" w:color="auto" w:fill="C6EFCE"/>
            <w:noWrap/>
          </w:tcPr>
          <w:p w14:paraId="4359D482" w14:textId="77777777" w:rsidR="00A00259" w:rsidRDefault="00371282">
            <w:pPr>
              <w:pStyle w:val="P68B1DB1-Normal12"/>
              <w:spacing w:after="0" w:line="240" w:lineRule="auto"/>
              <w:rPr>
                <w:rFonts w:eastAsia="Times New Roman"/>
                <w:noProof/>
              </w:rPr>
            </w:pPr>
            <w:r>
              <w:rPr>
                <w:noProof/>
              </w:rPr>
              <w:t>Accords juridiques signés avec des fonds - 500 millions d'euros</w:t>
            </w:r>
          </w:p>
        </w:tc>
        <w:tc>
          <w:tcPr>
            <w:tcW w:w="1276" w:type="dxa"/>
            <w:tcBorders>
              <w:top w:val="single" w:sz="4" w:space="0" w:color="auto"/>
              <w:left w:val="nil"/>
              <w:bottom w:val="single" w:sz="4" w:space="0" w:color="auto"/>
              <w:right w:val="single" w:sz="4" w:space="0" w:color="auto"/>
            </w:tcBorders>
            <w:shd w:val="clear" w:color="auto" w:fill="C6EFCE"/>
          </w:tcPr>
          <w:p w14:paraId="683A5A3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21A2D0E9" w14:textId="77777777" w:rsidR="00A00259" w:rsidRDefault="00371282">
            <w:pPr>
              <w:pStyle w:val="P68B1DB1-Normal12"/>
              <w:spacing w:after="0" w:line="240" w:lineRule="auto"/>
              <w:rPr>
                <w:rFonts w:eastAsia="Times New Roman"/>
                <w:noProof/>
              </w:rPr>
            </w:pPr>
            <w:r>
              <w:rPr>
                <w:noProof/>
              </w:rPr>
              <w:t>Montant (en millions d’EUR)</w:t>
            </w:r>
          </w:p>
        </w:tc>
        <w:tc>
          <w:tcPr>
            <w:tcW w:w="1417" w:type="dxa"/>
            <w:tcBorders>
              <w:top w:val="single" w:sz="4" w:space="0" w:color="auto"/>
              <w:left w:val="nil"/>
              <w:bottom w:val="single" w:sz="4" w:space="0" w:color="auto"/>
              <w:right w:val="single" w:sz="4" w:space="0" w:color="auto"/>
            </w:tcBorders>
            <w:shd w:val="clear" w:color="auto" w:fill="C6EFCE"/>
            <w:noWrap/>
          </w:tcPr>
          <w:p w14:paraId="7E353C94" w14:textId="77777777" w:rsidR="00A00259" w:rsidRDefault="00371282">
            <w:pPr>
              <w:pStyle w:val="P68B1DB1-Normal12"/>
              <w:spacing w:after="0" w:line="240" w:lineRule="auto"/>
              <w:rPr>
                <w:rFonts w:eastAsia="Times New Roman"/>
                <w:noProof/>
              </w:rPr>
            </w:pPr>
            <w:r>
              <w:rPr>
                <w:noProof/>
              </w:rPr>
              <w:t>0</w:t>
            </w:r>
          </w:p>
        </w:tc>
        <w:tc>
          <w:tcPr>
            <w:tcW w:w="1418" w:type="dxa"/>
            <w:tcBorders>
              <w:top w:val="single" w:sz="4" w:space="0" w:color="auto"/>
              <w:left w:val="nil"/>
              <w:bottom w:val="single" w:sz="4" w:space="0" w:color="auto"/>
              <w:right w:val="single" w:sz="4" w:space="0" w:color="auto"/>
            </w:tcBorders>
            <w:shd w:val="clear" w:color="auto" w:fill="C6EFCE"/>
            <w:noWrap/>
          </w:tcPr>
          <w:p w14:paraId="5B61F3F9" w14:textId="77777777" w:rsidR="00A00259" w:rsidRDefault="00371282">
            <w:pPr>
              <w:pStyle w:val="P68B1DB1-Normal12"/>
              <w:spacing w:after="0" w:line="240" w:lineRule="auto"/>
              <w:rPr>
                <w:noProof/>
              </w:rPr>
            </w:pPr>
            <w:r>
              <w:rPr>
                <w:noProof/>
              </w:rPr>
              <w:t>500</w:t>
            </w:r>
          </w:p>
        </w:tc>
        <w:tc>
          <w:tcPr>
            <w:tcW w:w="992" w:type="dxa"/>
            <w:tcBorders>
              <w:top w:val="single" w:sz="4" w:space="0" w:color="auto"/>
              <w:left w:val="nil"/>
              <w:bottom w:val="single" w:sz="4" w:space="0" w:color="auto"/>
              <w:right w:val="single" w:sz="4" w:space="0" w:color="auto"/>
            </w:tcBorders>
            <w:shd w:val="clear" w:color="auto" w:fill="C6EFCE"/>
            <w:noWrap/>
          </w:tcPr>
          <w:p w14:paraId="57D97B2F" w14:textId="77777777" w:rsidR="00A00259" w:rsidRDefault="00371282">
            <w:pPr>
              <w:pStyle w:val="P68B1DB1-Normal12"/>
              <w:spacing w:after="0" w:line="240" w:lineRule="auto"/>
              <w:rPr>
                <w:rFonts w:eastAsia="Times New Roman"/>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4D57B136" w14:textId="77777777" w:rsidR="00A00259" w:rsidRDefault="00371282">
            <w:pPr>
              <w:pStyle w:val="P68B1DB1-Normal12"/>
              <w:spacing w:after="0" w:line="240" w:lineRule="auto"/>
              <w:rPr>
                <w:rFonts w:eastAsia="Times New Roman"/>
                <w:noProof/>
              </w:rPr>
            </w:pPr>
            <w:r>
              <w:rPr>
                <w:noProof/>
              </w:rPr>
              <w:t>2025</w:t>
            </w:r>
          </w:p>
        </w:tc>
        <w:tc>
          <w:tcPr>
            <w:tcW w:w="4028" w:type="dxa"/>
            <w:tcBorders>
              <w:top w:val="single" w:sz="4" w:space="0" w:color="auto"/>
              <w:left w:val="nil"/>
              <w:bottom w:val="single" w:sz="4" w:space="0" w:color="auto"/>
              <w:right w:val="single" w:sz="4" w:space="0" w:color="auto"/>
            </w:tcBorders>
            <w:shd w:val="clear" w:color="auto" w:fill="C6EFCE"/>
            <w:noWrap/>
          </w:tcPr>
          <w:p w14:paraId="3836371D" w14:textId="15790FB9" w:rsidR="00A00259" w:rsidRDefault="00371282">
            <w:pPr>
              <w:pStyle w:val="P68B1DB1-Normal12"/>
              <w:spacing w:after="0" w:line="240" w:lineRule="auto"/>
              <w:rPr>
                <w:noProof/>
              </w:rPr>
            </w:pPr>
            <w:r>
              <w:rPr>
                <w:noProof/>
              </w:rPr>
              <w:t>La Banque hellénique de développement des investissements doit avoir conclu des conventions de financement légales avec des fonds pour un montant nécessaire à l’utilisation d’au moins 500 millions d’EUR du soutien en fonds propres (en tenant compte des frais de gestion).</w:t>
            </w:r>
          </w:p>
        </w:tc>
      </w:tr>
      <w:tr w:rsidR="00A00259" w14:paraId="61902D5C" w14:textId="77777777" w:rsidTr="00096954">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2FDE6E74" w14:textId="77777777" w:rsidR="00A00259" w:rsidRDefault="00371282">
            <w:pPr>
              <w:pStyle w:val="P68B1DB1-Normal12"/>
              <w:spacing w:after="0" w:line="240" w:lineRule="auto"/>
              <w:rPr>
                <w:noProof/>
              </w:rPr>
            </w:pPr>
            <w:r>
              <w:rPr>
                <w:noProof/>
              </w:rPr>
              <w:t>329 bis</w:t>
            </w:r>
          </w:p>
        </w:tc>
        <w:tc>
          <w:tcPr>
            <w:tcW w:w="1614" w:type="dxa"/>
            <w:tcBorders>
              <w:top w:val="single" w:sz="4" w:space="0" w:color="auto"/>
              <w:left w:val="nil"/>
              <w:bottom w:val="single" w:sz="4" w:space="0" w:color="auto"/>
              <w:right w:val="single" w:sz="4" w:space="0" w:color="auto"/>
            </w:tcBorders>
            <w:shd w:val="clear" w:color="auto" w:fill="C6EFCE"/>
            <w:noWrap/>
          </w:tcPr>
          <w:p w14:paraId="03402805" w14:textId="77777777" w:rsidR="00A00259" w:rsidRDefault="00371282">
            <w:pPr>
              <w:pStyle w:val="P68B1DB1-Normal12"/>
              <w:spacing w:after="0" w:line="240" w:lineRule="auto"/>
              <w:rPr>
                <w:noProof/>
              </w:rPr>
            </w:pPr>
            <w:r>
              <w:rPr>
                <w:noProof/>
              </w:rPr>
              <w:t>4.7. Améliorer la compétitivité et promouvoir les investissements privés et les exportations - 16980_RRP Loan Facility</w:t>
            </w:r>
          </w:p>
        </w:tc>
        <w:tc>
          <w:tcPr>
            <w:tcW w:w="1275" w:type="dxa"/>
            <w:tcBorders>
              <w:top w:val="single" w:sz="4" w:space="0" w:color="auto"/>
              <w:left w:val="nil"/>
              <w:bottom w:val="single" w:sz="4" w:space="0" w:color="auto"/>
              <w:right w:val="single" w:sz="4" w:space="0" w:color="auto"/>
            </w:tcBorders>
            <w:shd w:val="clear" w:color="auto" w:fill="C6EFCE"/>
            <w:noWrap/>
          </w:tcPr>
          <w:p w14:paraId="4F4BED0E" w14:textId="77777777" w:rsidR="00A00259" w:rsidRDefault="00371282">
            <w:pPr>
              <w:pStyle w:val="P68B1DB1-Normal12"/>
              <w:spacing w:after="0" w:line="240" w:lineRule="auto"/>
              <w:rPr>
                <w:noProof/>
              </w:rPr>
            </w:pPr>
            <w:r>
              <w:rPr>
                <w:noProof/>
              </w:rPr>
              <w:t>Objectif</w:t>
            </w:r>
          </w:p>
        </w:tc>
        <w:tc>
          <w:tcPr>
            <w:tcW w:w="1276" w:type="dxa"/>
            <w:tcBorders>
              <w:top w:val="single" w:sz="4" w:space="0" w:color="auto"/>
              <w:left w:val="nil"/>
              <w:bottom w:val="single" w:sz="4" w:space="0" w:color="auto"/>
              <w:right w:val="single" w:sz="4" w:space="0" w:color="auto"/>
            </w:tcBorders>
            <w:shd w:val="clear" w:color="auto" w:fill="C6EFCE"/>
            <w:noWrap/>
          </w:tcPr>
          <w:p w14:paraId="4C609A1D" w14:textId="6771A4A6" w:rsidR="00A00259" w:rsidRDefault="00371282">
            <w:pPr>
              <w:pStyle w:val="P68B1DB1-Normal12"/>
              <w:spacing w:after="0" w:line="240" w:lineRule="auto"/>
              <w:rPr>
                <w:noProof/>
              </w:rPr>
            </w:pPr>
            <w:r>
              <w:rPr>
                <w:noProof/>
              </w:rPr>
              <w:t xml:space="preserve">Accords juridiques signés avec des fonds - 650 000 000 EUR </w:t>
            </w:r>
          </w:p>
          <w:p w14:paraId="2ED2167E" w14:textId="5BD139D9" w:rsidR="00A00259" w:rsidRDefault="00A00259">
            <w:pPr>
              <w:spacing w:after="0" w:line="240" w:lineRule="auto"/>
              <w:rPr>
                <w:rFonts w:ascii="Times New Roman" w:hAnsi="Times New Roman" w:cs="Times New Roman"/>
                <w:noProof/>
                <w:color w:val="006100"/>
                <w:sz w:val="18"/>
                <w:szCs w:val="18"/>
              </w:rPr>
            </w:pPr>
          </w:p>
        </w:tc>
        <w:tc>
          <w:tcPr>
            <w:tcW w:w="1276" w:type="dxa"/>
            <w:tcBorders>
              <w:top w:val="single" w:sz="4" w:space="0" w:color="auto"/>
              <w:left w:val="nil"/>
              <w:bottom w:val="single" w:sz="4" w:space="0" w:color="auto"/>
              <w:right w:val="single" w:sz="4" w:space="0" w:color="auto"/>
            </w:tcBorders>
            <w:shd w:val="clear" w:color="auto" w:fill="C6EFCE"/>
          </w:tcPr>
          <w:p w14:paraId="4CB5B98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729BADD5" w14:textId="106AACB1" w:rsidR="00A00259" w:rsidRDefault="00371282">
            <w:pPr>
              <w:pStyle w:val="P68B1DB1-Normal12"/>
              <w:spacing w:after="0" w:line="240" w:lineRule="auto"/>
              <w:rPr>
                <w:noProof/>
              </w:rPr>
            </w:pPr>
            <w:r>
              <w:rPr>
                <w:noProof/>
              </w:rPr>
              <w:t>Montant (EUR)</w:t>
            </w:r>
          </w:p>
        </w:tc>
        <w:tc>
          <w:tcPr>
            <w:tcW w:w="1417" w:type="dxa"/>
            <w:tcBorders>
              <w:top w:val="single" w:sz="4" w:space="0" w:color="auto"/>
              <w:left w:val="nil"/>
              <w:bottom w:val="single" w:sz="4" w:space="0" w:color="auto"/>
              <w:right w:val="single" w:sz="4" w:space="0" w:color="auto"/>
            </w:tcBorders>
            <w:shd w:val="clear" w:color="auto" w:fill="C6EFCE"/>
            <w:noWrap/>
          </w:tcPr>
          <w:p w14:paraId="5968C840" w14:textId="66B446AC" w:rsidR="00A00259" w:rsidRDefault="00371282">
            <w:pPr>
              <w:pStyle w:val="P68B1DB1-Normal12"/>
              <w:spacing w:after="0" w:line="240" w:lineRule="auto"/>
              <w:rPr>
                <w:noProof/>
              </w:rPr>
            </w:pPr>
            <w:r>
              <w:rPr>
                <w:noProof/>
              </w:rPr>
              <w:t>500 000 000</w:t>
            </w:r>
          </w:p>
        </w:tc>
        <w:tc>
          <w:tcPr>
            <w:tcW w:w="1418" w:type="dxa"/>
            <w:tcBorders>
              <w:top w:val="single" w:sz="4" w:space="0" w:color="auto"/>
              <w:left w:val="nil"/>
              <w:bottom w:val="single" w:sz="4" w:space="0" w:color="auto"/>
              <w:right w:val="single" w:sz="4" w:space="0" w:color="auto"/>
            </w:tcBorders>
            <w:shd w:val="clear" w:color="auto" w:fill="C6EFCE"/>
            <w:noWrap/>
          </w:tcPr>
          <w:p w14:paraId="23D73377" w14:textId="2ADF31F4" w:rsidR="00A00259" w:rsidRDefault="00371282">
            <w:pPr>
              <w:pStyle w:val="P68B1DB1-Normal12"/>
              <w:spacing w:after="0" w:line="240" w:lineRule="auto"/>
              <w:rPr>
                <w:noProof/>
              </w:rPr>
            </w:pPr>
            <w:r>
              <w:rPr>
                <w:noProof/>
              </w:rPr>
              <w:t>650 000 000</w:t>
            </w:r>
          </w:p>
        </w:tc>
        <w:tc>
          <w:tcPr>
            <w:tcW w:w="992" w:type="dxa"/>
            <w:tcBorders>
              <w:top w:val="single" w:sz="4" w:space="0" w:color="auto"/>
              <w:left w:val="nil"/>
              <w:bottom w:val="single" w:sz="4" w:space="0" w:color="auto"/>
              <w:right w:val="single" w:sz="4" w:space="0" w:color="auto"/>
            </w:tcBorders>
            <w:shd w:val="clear" w:color="auto" w:fill="C6EFCE"/>
            <w:noWrap/>
          </w:tcPr>
          <w:p w14:paraId="11DE2B82" w14:textId="77777777" w:rsidR="00A00259" w:rsidRDefault="00371282">
            <w:pPr>
              <w:pStyle w:val="P68B1DB1-Normal12"/>
              <w:spacing w:after="0" w:line="240" w:lineRule="auto"/>
              <w:rPr>
                <w:noProof/>
              </w:rPr>
            </w:pPr>
            <w:r>
              <w:rPr>
                <w:noProof/>
              </w:rPr>
              <w:t>T1</w:t>
            </w:r>
          </w:p>
        </w:tc>
        <w:tc>
          <w:tcPr>
            <w:tcW w:w="851" w:type="dxa"/>
            <w:tcBorders>
              <w:top w:val="single" w:sz="4" w:space="0" w:color="auto"/>
              <w:left w:val="nil"/>
              <w:bottom w:val="single" w:sz="4" w:space="0" w:color="auto"/>
              <w:right w:val="single" w:sz="4" w:space="0" w:color="auto"/>
            </w:tcBorders>
            <w:shd w:val="clear" w:color="auto" w:fill="C6EFCE"/>
            <w:noWrap/>
          </w:tcPr>
          <w:p w14:paraId="1337D473" w14:textId="77777777" w:rsidR="00A00259" w:rsidRDefault="00371282">
            <w:pPr>
              <w:pStyle w:val="P68B1DB1-Normal12"/>
              <w:spacing w:after="0" w:line="240" w:lineRule="auto"/>
              <w:rPr>
                <w:noProof/>
              </w:rPr>
            </w:pPr>
            <w:r>
              <w:rPr>
                <w:noProof/>
              </w:rPr>
              <w:t>2026</w:t>
            </w:r>
          </w:p>
        </w:tc>
        <w:tc>
          <w:tcPr>
            <w:tcW w:w="4028" w:type="dxa"/>
            <w:tcBorders>
              <w:top w:val="single" w:sz="4" w:space="0" w:color="auto"/>
              <w:left w:val="nil"/>
              <w:bottom w:val="single" w:sz="4" w:space="0" w:color="auto"/>
              <w:right w:val="single" w:sz="4" w:space="0" w:color="auto"/>
            </w:tcBorders>
            <w:shd w:val="clear" w:color="auto" w:fill="C6EFCE"/>
            <w:noWrap/>
          </w:tcPr>
          <w:p w14:paraId="5FDDF86C" w14:textId="49576CCF" w:rsidR="00A00259" w:rsidRDefault="00371282">
            <w:pPr>
              <w:pStyle w:val="P68B1DB1-Normal12"/>
              <w:spacing w:after="0" w:line="240" w:lineRule="auto"/>
              <w:rPr>
                <w:noProof/>
              </w:rPr>
            </w:pPr>
            <w:r>
              <w:rPr>
                <w:noProof/>
              </w:rPr>
              <w:t>La Banque hellénique de développement des investissements doit avoir conclu des conventions de financement légales avec des fonds pour un montant nécessaire à l’utilisation d’au moins 650 000 000 EUR du soutien en fonds propres (en tenant compte des frais de gestion).</w:t>
            </w:r>
          </w:p>
        </w:tc>
      </w:tr>
      <w:tr w:rsidR="00A00259" w14:paraId="6776C1FF" w14:textId="77777777" w:rsidTr="00096954">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7329125D" w14:textId="77777777" w:rsidR="00A00259" w:rsidRDefault="00371282">
            <w:pPr>
              <w:pStyle w:val="P68B1DB1-Normal12"/>
              <w:spacing w:after="0" w:line="240" w:lineRule="auto"/>
              <w:rPr>
                <w:noProof/>
              </w:rPr>
            </w:pPr>
            <w:r>
              <w:rPr>
                <w:noProof/>
              </w:rPr>
              <w:t>330</w:t>
            </w:r>
          </w:p>
        </w:tc>
        <w:tc>
          <w:tcPr>
            <w:tcW w:w="1614" w:type="dxa"/>
            <w:tcBorders>
              <w:top w:val="single" w:sz="4" w:space="0" w:color="auto"/>
              <w:left w:val="nil"/>
              <w:bottom w:val="single" w:sz="4" w:space="0" w:color="auto"/>
              <w:right w:val="single" w:sz="4" w:space="0" w:color="auto"/>
            </w:tcBorders>
            <w:shd w:val="clear" w:color="auto" w:fill="C6EFCE"/>
            <w:noWrap/>
          </w:tcPr>
          <w:p w14:paraId="09B261DD" w14:textId="77777777" w:rsidR="00A00259" w:rsidRDefault="00371282">
            <w:pPr>
              <w:pStyle w:val="P68B1DB1-Normal12"/>
              <w:spacing w:after="0" w:line="240" w:lineRule="auto"/>
              <w:rPr>
                <w:rFonts w:eastAsia="Times New Roman"/>
                <w:noProof/>
              </w:rPr>
            </w:pPr>
            <w:r>
              <w:rPr>
                <w:noProof/>
              </w:rPr>
              <w:t>4.7. Améliorer la compétitivité et promouvoir les investissements privés et les exportations - 16980_RRP Loan Facility</w:t>
            </w:r>
          </w:p>
        </w:tc>
        <w:tc>
          <w:tcPr>
            <w:tcW w:w="1275" w:type="dxa"/>
            <w:tcBorders>
              <w:top w:val="single" w:sz="4" w:space="0" w:color="auto"/>
              <w:left w:val="nil"/>
              <w:bottom w:val="single" w:sz="4" w:space="0" w:color="auto"/>
              <w:right w:val="single" w:sz="4" w:space="0" w:color="auto"/>
            </w:tcBorders>
            <w:shd w:val="clear" w:color="auto" w:fill="C6EFCE"/>
            <w:noWrap/>
          </w:tcPr>
          <w:p w14:paraId="1B611A4D" w14:textId="77777777" w:rsidR="00A00259" w:rsidRDefault="00371282">
            <w:pPr>
              <w:pStyle w:val="P68B1DB1-Normal12"/>
              <w:spacing w:after="0" w:line="240" w:lineRule="auto"/>
              <w:rPr>
                <w:rFonts w:eastAsia="Times New Roman"/>
                <w:noProof/>
              </w:rPr>
            </w:pPr>
            <w:r>
              <w:rPr>
                <w:noProof/>
              </w:rPr>
              <w:t>Objectif</w:t>
            </w:r>
          </w:p>
        </w:tc>
        <w:tc>
          <w:tcPr>
            <w:tcW w:w="1276" w:type="dxa"/>
            <w:tcBorders>
              <w:top w:val="single" w:sz="4" w:space="0" w:color="auto"/>
              <w:left w:val="nil"/>
              <w:bottom w:val="single" w:sz="4" w:space="0" w:color="auto"/>
              <w:right w:val="single" w:sz="4" w:space="0" w:color="auto"/>
            </w:tcBorders>
            <w:shd w:val="clear" w:color="auto" w:fill="C6EFCE"/>
            <w:noWrap/>
          </w:tcPr>
          <w:p w14:paraId="773ACC98" w14:textId="49AA2CAC" w:rsidR="00A00259" w:rsidRDefault="00371282">
            <w:pPr>
              <w:pStyle w:val="P68B1DB1-Normal12"/>
              <w:spacing w:after="0" w:line="240" w:lineRule="auto"/>
              <w:rPr>
                <w:rFonts w:eastAsia="Times New Roman"/>
                <w:noProof/>
              </w:rPr>
            </w:pPr>
            <w:r>
              <w:rPr>
                <w:noProof/>
              </w:rPr>
              <w:t>Approbation par InvestEU d’opérations d’un montant de 500 millions d’EUR</w:t>
            </w:r>
          </w:p>
        </w:tc>
        <w:tc>
          <w:tcPr>
            <w:tcW w:w="1276" w:type="dxa"/>
            <w:tcBorders>
              <w:top w:val="single" w:sz="4" w:space="0" w:color="auto"/>
              <w:left w:val="nil"/>
              <w:bottom w:val="single" w:sz="4" w:space="0" w:color="auto"/>
              <w:right w:val="single" w:sz="4" w:space="0" w:color="auto"/>
            </w:tcBorders>
            <w:shd w:val="clear" w:color="auto" w:fill="C6EFCE"/>
          </w:tcPr>
          <w:p w14:paraId="25C7CE2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7D3C1CB5" w14:textId="77777777" w:rsidR="00A00259" w:rsidRDefault="00371282">
            <w:pPr>
              <w:pStyle w:val="P68B1DB1-Normal12"/>
              <w:spacing w:after="0" w:line="240" w:lineRule="auto"/>
              <w:rPr>
                <w:rFonts w:eastAsia="Times New Roman"/>
                <w:noProof/>
              </w:rPr>
            </w:pPr>
            <w:r>
              <w:rPr>
                <w:noProof/>
              </w:rPr>
              <w:t>Montant (en millions d’EUR)</w:t>
            </w:r>
          </w:p>
        </w:tc>
        <w:tc>
          <w:tcPr>
            <w:tcW w:w="1417" w:type="dxa"/>
            <w:tcBorders>
              <w:top w:val="single" w:sz="4" w:space="0" w:color="auto"/>
              <w:left w:val="nil"/>
              <w:bottom w:val="single" w:sz="4" w:space="0" w:color="auto"/>
              <w:right w:val="single" w:sz="4" w:space="0" w:color="auto"/>
            </w:tcBorders>
            <w:shd w:val="clear" w:color="auto" w:fill="C6EFCE"/>
            <w:noWrap/>
          </w:tcPr>
          <w:p w14:paraId="06263F99" w14:textId="77777777" w:rsidR="00A00259" w:rsidRDefault="00371282">
            <w:pPr>
              <w:pStyle w:val="P68B1DB1-Normal12"/>
              <w:spacing w:after="0" w:line="240" w:lineRule="auto"/>
              <w:rPr>
                <w:rFonts w:eastAsia="Times New Roman"/>
                <w:noProof/>
              </w:rPr>
            </w:pPr>
            <w:r>
              <w:rPr>
                <w:noProof/>
              </w:rPr>
              <w:t>0</w:t>
            </w:r>
          </w:p>
        </w:tc>
        <w:tc>
          <w:tcPr>
            <w:tcW w:w="1418" w:type="dxa"/>
            <w:tcBorders>
              <w:top w:val="single" w:sz="4" w:space="0" w:color="auto"/>
              <w:left w:val="nil"/>
              <w:bottom w:val="single" w:sz="4" w:space="0" w:color="auto"/>
              <w:right w:val="single" w:sz="4" w:space="0" w:color="auto"/>
            </w:tcBorders>
            <w:shd w:val="clear" w:color="auto" w:fill="C6EFCE"/>
            <w:noWrap/>
          </w:tcPr>
          <w:p w14:paraId="04627D2B" w14:textId="77777777" w:rsidR="00A00259" w:rsidRDefault="00371282">
            <w:pPr>
              <w:pStyle w:val="P68B1DB1-Normal12"/>
              <w:spacing w:after="0" w:line="240" w:lineRule="auto"/>
              <w:rPr>
                <w:rFonts w:eastAsia="Times New Roman"/>
                <w:noProof/>
              </w:rPr>
            </w:pPr>
            <w:r>
              <w:rPr>
                <w:noProof/>
              </w:rPr>
              <w:t>500</w:t>
            </w:r>
          </w:p>
        </w:tc>
        <w:tc>
          <w:tcPr>
            <w:tcW w:w="992" w:type="dxa"/>
            <w:tcBorders>
              <w:top w:val="single" w:sz="4" w:space="0" w:color="auto"/>
              <w:left w:val="nil"/>
              <w:bottom w:val="single" w:sz="4" w:space="0" w:color="auto"/>
              <w:right w:val="single" w:sz="4" w:space="0" w:color="auto"/>
            </w:tcBorders>
            <w:shd w:val="clear" w:color="auto" w:fill="C6EFCE"/>
            <w:noWrap/>
          </w:tcPr>
          <w:p w14:paraId="51689105" w14:textId="77777777" w:rsidR="00A00259" w:rsidRDefault="00371282">
            <w:pPr>
              <w:pStyle w:val="P68B1DB1-Normal12"/>
              <w:spacing w:after="0" w:line="240" w:lineRule="auto"/>
              <w:rPr>
                <w:rFonts w:eastAsia="Times New Roman"/>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339041B6" w14:textId="77777777" w:rsidR="00A00259" w:rsidRDefault="00371282">
            <w:pPr>
              <w:pStyle w:val="P68B1DB1-Normal12"/>
              <w:spacing w:after="0" w:line="240" w:lineRule="auto"/>
              <w:rPr>
                <w:rFonts w:eastAsia="Times New Roman"/>
                <w:noProof/>
              </w:rPr>
            </w:pPr>
            <w:r>
              <w:rPr>
                <w:noProof/>
              </w:rPr>
              <w:t>2025</w:t>
            </w:r>
          </w:p>
        </w:tc>
        <w:tc>
          <w:tcPr>
            <w:tcW w:w="4028" w:type="dxa"/>
            <w:tcBorders>
              <w:top w:val="single" w:sz="4" w:space="0" w:color="auto"/>
              <w:left w:val="nil"/>
              <w:bottom w:val="single" w:sz="4" w:space="0" w:color="auto"/>
              <w:right w:val="single" w:sz="4" w:space="0" w:color="auto"/>
            </w:tcBorders>
            <w:shd w:val="clear" w:color="auto" w:fill="C6EFCE"/>
            <w:noWrap/>
          </w:tcPr>
          <w:p w14:paraId="4035B53D" w14:textId="2FED3CF0" w:rsidR="00A00259" w:rsidRDefault="00371282">
            <w:pPr>
              <w:pStyle w:val="P68B1DB1-Normal12"/>
              <w:spacing w:after="0" w:line="240" w:lineRule="auto"/>
              <w:rPr>
                <w:rFonts w:eastAsia="Times New Roman"/>
                <w:noProof/>
              </w:rPr>
            </w:pPr>
            <w:r>
              <w:rPr>
                <w:noProof/>
              </w:rPr>
              <w:t>Le comité d’investissement InvestEU approuve des opérations d’investissement d’un montant de 500 millions d’EUR sur le montant total des financements ciblés (ou des investissements mobilisés).</w:t>
            </w:r>
          </w:p>
        </w:tc>
      </w:tr>
      <w:tr w:rsidR="00A00259" w14:paraId="1F336A75" w14:textId="77777777" w:rsidTr="00096954">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51FD2F7F" w14:textId="77777777" w:rsidR="00A00259" w:rsidRDefault="00371282">
            <w:pPr>
              <w:pStyle w:val="P68B1DB1-Normal12"/>
              <w:spacing w:after="0" w:line="240" w:lineRule="auto"/>
              <w:rPr>
                <w:noProof/>
              </w:rPr>
            </w:pPr>
            <w:r>
              <w:rPr>
                <w:noProof/>
              </w:rPr>
              <w:t>330a</w:t>
            </w:r>
          </w:p>
        </w:tc>
        <w:tc>
          <w:tcPr>
            <w:tcW w:w="1614" w:type="dxa"/>
            <w:tcBorders>
              <w:top w:val="single" w:sz="4" w:space="0" w:color="auto"/>
              <w:left w:val="nil"/>
              <w:bottom w:val="single" w:sz="4" w:space="0" w:color="auto"/>
              <w:right w:val="single" w:sz="4" w:space="0" w:color="auto"/>
            </w:tcBorders>
            <w:shd w:val="clear" w:color="auto" w:fill="C6EFCE"/>
            <w:noWrap/>
          </w:tcPr>
          <w:p w14:paraId="79140F7F" w14:textId="77777777" w:rsidR="00A00259" w:rsidRDefault="00371282">
            <w:pPr>
              <w:pStyle w:val="P68B1DB1-Normal12"/>
              <w:spacing w:after="0" w:line="240" w:lineRule="auto"/>
              <w:rPr>
                <w:noProof/>
              </w:rPr>
            </w:pPr>
            <w:r>
              <w:rPr>
                <w:noProof/>
              </w:rPr>
              <w:t>4.7. Améliorer la compétitivité et promouvoir les investissements privés et les exportations - 16980_RRP Loan Facility</w:t>
            </w:r>
          </w:p>
        </w:tc>
        <w:tc>
          <w:tcPr>
            <w:tcW w:w="1275" w:type="dxa"/>
            <w:tcBorders>
              <w:top w:val="single" w:sz="4" w:space="0" w:color="auto"/>
              <w:left w:val="nil"/>
              <w:bottom w:val="single" w:sz="4" w:space="0" w:color="auto"/>
              <w:right w:val="single" w:sz="4" w:space="0" w:color="auto"/>
            </w:tcBorders>
            <w:shd w:val="clear" w:color="auto" w:fill="C6EFCE"/>
            <w:noWrap/>
          </w:tcPr>
          <w:p w14:paraId="11A37EB7" w14:textId="77777777" w:rsidR="00A00259" w:rsidRDefault="00371282">
            <w:pPr>
              <w:pStyle w:val="P68B1DB1-Normal12"/>
              <w:spacing w:after="0" w:line="240" w:lineRule="auto"/>
              <w:rPr>
                <w:noProof/>
              </w:rPr>
            </w:pPr>
            <w:r>
              <w:rPr>
                <w:noProof/>
              </w:rPr>
              <w:t>Objectif</w:t>
            </w:r>
          </w:p>
        </w:tc>
        <w:tc>
          <w:tcPr>
            <w:tcW w:w="1276" w:type="dxa"/>
            <w:tcBorders>
              <w:top w:val="single" w:sz="4" w:space="0" w:color="auto"/>
              <w:left w:val="nil"/>
              <w:bottom w:val="single" w:sz="4" w:space="0" w:color="auto"/>
              <w:right w:val="single" w:sz="4" w:space="0" w:color="auto"/>
            </w:tcBorders>
            <w:shd w:val="clear" w:color="auto" w:fill="C6EFCE"/>
            <w:noWrap/>
          </w:tcPr>
          <w:p w14:paraId="4840E475" w14:textId="2F4368AF" w:rsidR="00A00259" w:rsidRDefault="00371282">
            <w:pPr>
              <w:pStyle w:val="P68B1DB1-Normal12"/>
              <w:spacing w:after="0" w:line="240" w:lineRule="auto"/>
              <w:rPr>
                <w:noProof/>
              </w:rPr>
            </w:pPr>
            <w:r>
              <w:rPr>
                <w:noProof/>
              </w:rPr>
              <w:t xml:space="preserve">Approbation par InvestEU d’opérations d’un montant de 300 000 000 EUR </w:t>
            </w:r>
          </w:p>
        </w:tc>
        <w:tc>
          <w:tcPr>
            <w:tcW w:w="1276" w:type="dxa"/>
            <w:tcBorders>
              <w:top w:val="single" w:sz="4" w:space="0" w:color="auto"/>
              <w:left w:val="nil"/>
              <w:bottom w:val="single" w:sz="4" w:space="0" w:color="auto"/>
              <w:right w:val="single" w:sz="4" w:space="0" w:color="auto"/>
            </w:tcBorders>
            <w:shd w:val="clear" w:color="auto" w:fill="C6EFCE"/>
          </w:tcPr>
          <w:p w14:paraId="7C893C4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37D9B56D" w14:textId="3CD13F64" w:rsidR="00A00259" w:rsidRDefault="00371282">
            <w:pPr>
              <w:pStyle w:val="P68B1DB1-Normal12"/>
              <w:spacing w:after="0" w:line="240" w:lineRule="auto"/>
              <w:rPr>
                <w:noProof/>
              </w:rPr>
            </w:pPr>
            <w:r>
              <w:rPr>
                <w:noProof/>
              </w:rPr>
              <w:t>Montant (EUR)</w:t>
            </w:r>
          </w:p>
        </w:tc>
        <w:tc>
          <w:tcPr>
            <w:tcW w:w="1417" w:type="dxa"/>
            <w:tcBorders>
              <w:top w:val="single" w:sz="4" w:space="0" w:color="auto"/>
              <w:left w:val="nil"/>
              <w:bottom w:val="single" w:sz="4" w:space="0" w:color="auto"/>
              <w:right w:val="single" w:sz="4" w:space="0" w:color="auto"/>
            </w:tcBorders>
            <w:shd w:val="clear" w:color="auto" w:fill="C6EFCE"/>
            <w:noWrap/>
          </w:tcPr>
          <w:p w14:paraId="3611DD68" w14:textId="7D36FB86" w:rsidR="00A00259" w:rsidRDefault="00371282">
            <w:pPr>
              <w:pStyle w:val="P68B1DB1-Normal12"/>
              <w:spacing w:after="0" w:line="240" w:lineRule="auto"/>
              <w:rPr>
                <w:noProof/>
              </w:rPr>
            </w:pPr>
            <w:r>
              <w:rPr>
                <w:noProof/>
              </w:rPr>
              <w:t>500 000 000</w:t>
            </w:r>
          </w:p>
        </w:tc>
        <w:tc>
          <w:tcPr>
            <w:tcW w:w="1418" w:type="dxa"/>
            <w:tcBorders>
              <w:top w:val="single" w:sz="4" w:space="0" w:color="auto"/>
              <w:left w:val="nil"/>
              <w:bottom w:val="single" w:sz="4" w:space="0" w:color="auto"/>
              <w:right w:val="single" w:sz="4" w:space="0" w:color="auto"/>
            </w:tcBorders>
            <w:shd w:val="clear" w:color="auto" w:fill="C6EFCE"/>
            <w:noWrap/>
          </w:tcPr>
          <w:p w14:paraId="6667AB35" w14:textId="47621DBA" w:rsidR="00A00259" w:rsidRDefault="00371282">
            <w:pPr>
              <w:pStyle w:val="P68B1DB1-Normal12"/>
              <w:spacing w:after="0" w:line="240" w:lineRule="auto"/>
              <w:rPr>
                <w:noProof/>
              </w:rPr>
            </w:pPr>
            <w:r>
              <w:rPr>
                <w:noProof/>
              </w:rPr>
              <w:t>800 000 000</w:t>
            </w:r>
          </w:p>
        </w:tc>
        <w:tc>
          <w:tcPr>
            <w:tcW w:w="992" w:type="dxa"/>
            <w:tcBorders>
              <w:top w:val="single" w:sz="4" w:space="0" w:color="auto"/>
              <w:left w:val="nil"/>
              <w:bottom w:val="single" w:sz="4" w:space="0" w:color="auto"/>
              <w:right w:val="single" w:sz="4" w:space="0" w:color="auto"/>
            </w:tcBorders>
            <w:shd w:val="clear" w:color="auto" w:fill="C6EFCE"/>
            <w:noWrap/>
          </w:tcPr>
          <w:p w14:paraId="321FF496" w14:textId="4279B99E" w:rsidR="00A00259" w:rsidRDefault="00371282">
            <w:pPr>
              <w:pStyle w:val="P68B1DB1-Normal12"/>
              <w:spacing w:after="0" w:line="240" w:lineRule="auto"/>
              <w:rPr>
                <w:noProof/>
              </w:rPr>
            </w:pPr>
            <w:r>
              <w:rPr>
                <w:noProof/>
              </w:rPr>
              <w:t>T1</w:t>
            </w:r>
          </w:p>
        </w:tc>
        <w:tc>
          <w:tcPr>
            <w:tcW w:w="851" w:type="dxa"/>
            <w:tcBorders>
              <w:top w:val="single" w:sz="4" w:space="0" w:color="auto"/>
              <w:left w:val="nil"/>
              <w:bottom w:val="single" w:sz="4" w:space="0" w:color="auto"/>
              <w:right w:val="single" w:sz="4" w:space="0" w:color="auto"/>
            </w:tcBorders>
            <w:shd w:val="clear" w:color="auto" w:fill="C6EFCE"/>
            <w:noWrap/>
          </w:tcPr>
          <w:p w14:paraId="0EF6DA4A" w14:textId="77777777" w:rsidR="00A00259" w:rsidRDefault="00371282">
            <w:pPr>
              <w:pStyle w:val="P68B1DB1-Normal12"/>
              <w:spacing w:after="0" w:line="240" w:lineRule="auto"/>
              <w:rPr>
                <w:noProof/>
              </w:rPr>
            </w:pPr>
            <w:r>
              <w:rPr>
                <w:noProof/>
              </w:rPr>
              <w:t>2026</w:t>
            </w:r>
          </w:p>
        </w:tc>
        <w:tc>
          <w:tcPr>
            <w:tcW w:w="4028" w:type="dxa"/>
            <w:tcBorders>
              <w:top w:val="single" w:sz="4" w:space="0" w:color="auto"/>
              <w:left w:val="nil"/>
              <w:bottom w:val="single" w:sz="4" w:space="0" w:color="auto"/>
              <w:right w:val="single" w:sz="4" w:space="0" w:color="auto"/>
            </w:tcBorders>
            <w:shd w:val="clear" w:color="auto" w:fill="C6EFCE"/>
            <w:noWrap/>
          </w:tcPr>
          <w:p w14:paraId="2F20FA69" w14:textId="3554D60B" w:rsidR="00A00259" w:rsidRDefault="00371282">
            <w:pPr>
              <w:pStyle w:val="P68B1DB1-Normal12"/>
              <w:spacing w:after="0" w:line="240" w:lineRule="auto"/>
              <w:rPr>
                <w:noProof/>
              </w:rPr>
            </w:pPr>
            <w:r>
              <w:rPr>
                <w:noProof/>
              </w:rPr>
              <w:t>Le comité d’investissement InvestEU approuve des opérations d’investissement s’élevant à 300 000 000 EUR du montant total du financement ciblé (ou de l’investissement mobilisé).</w:t>
            </w:r>
          </w:p>
        </w:tc>
      </w:tr>
      <w:tr w:rsidR="00A00259" w14:paraId="393ED148" w14:textId="77777777" w:rsidTr="00096954">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28BD1AA5" w14:textId="1CE40AA7" w:rsidR="00A00259" w:rsidRDefault="00371282">
            <w:pPr>
              <w:pStyle w:val="P68B1DB1-Normal12"/>
              <w:spacing w:after="0" w:line="240" w:lineRule="auto"/>
              <w:rPr>
                <w:noProof/>
              </w:rPr>
            </w:pPr>
            <w:r>
              <w:rPr>
                <w:noProof/>
              </w:rPr>
              <w:t>330b</w:t>
            </w:r>
          </w:p>
        </w:tc>
        <w:tc>
          <w:tcPr>
            <w:tcW w:w="1614" w:type="dxa"/>
            <w:tcBorders>
              <w:top w:val="single" w:sz="4" w:space="0" w:color="auto"/>
              <w:left w:val="nil"/>
              <w:bottom w:val="single" w:sz="4" w:space="0" w:color="auto"/>
              <w:right w:val="single" w:sz="4" w:space="0" w:color="auto"/>
            </w:tcBorders>
            <w:shd w:val="clear" w:color="auto" w:fill="C6EFCE"/>
            <w:noWrap/>
          </w:tcPr>
          <w:p w14:paraId="79B3FF09" w14:textId="73797B03" w:rsidR="00A00259" w:rsidRDefault="00371282">
            <w:pPr>
              <w:pStyle w:val="P68B1DB1-Normal12"/>
              <w:spacing w:after="0" w:line="240" w:lineRule="auto"/>
              <w:rPr>
                <w:noProof/>
              </w:rPr>
            </w:pPr>
            <w:r>
              <w:rPr>
                <w:noProof/>
              </w:rPr>
              <w:t>4.7. Améliorer la compétitivité et promouvoir les investissements privés et les exportations - 16980_RRP Loan Facility</w:t>
            </w:r>
          </w:p>
        </w:tc>
        <w:tc>
          <w:tcPr>
            <w:tcW w:w="1275" w:type="dxa"/>
            <w:tcBorders>
              <w:top w:val="single" w:sz="4" w:space="0" w:color="auto"/>
              <w:left w:val="nil"/>
              <w:bottom w:val="single" w:sz="4" w:space="0" w:color="auto"/>
              <w:right w:val="single" w:sz="4" w:space="0" w:color="auto"/>
            </w:tcBorders>
            <w:shd w:val="clear" w:color="auto" w:fill="C6EFCE"/>
            <w:noWrap/>
          </w:tcPr>
          <w:p w14:paraId="094BE6F9" w14:textId="167113D5" w:rsidR="00A00259" w:rsidRDefault="00371282">
            <w:pPr>
              <w:pStyle w:val="P68B1DB1-Normal12"/>
              <w:spacing w:after="0" w:line="240" w:lineRule="auto"/>
              <w:rPr>
                <w:noProof/>
              </w:rPr>
            </w:pPr>
            <w:r>
              <w:rPr>
                <w:noProof/>
              </w:rPr>
              <w:t>Objectif</w:t>
            </w:r>
          </w:p>
        </w:tc>
        <w:tc>
          <w:tcPr>
            <w:tcW w:w="1276" w:type="dxa"/>
            <w:tcBorders>
              <w:top w:val="single" w:sz="4" w:space="0" w:color="auto"/>
              <w:left w:val="nil"/>
              <w:bottom w:val="single" w:sz="4" w:space="0" w:color="auto"/>
              <w:right w:val="single" w:sz="4" w:space="0" w:color="auto"/>
            </w:tcBorders>
            <w:shd w:val="clear" w:color="auto" w:fill="C6EFCE"/>
            <w:noWrap/>
          </w:tcPr>
          <w:p w14:paraId="3FE884BF" w14:textId="238BBADF" w:rsidR="00A00259" w:rsidRDefault="00371282">
            <w:pPr>
              <w:pStyle w:val="P68B1DB1-Normal12"/>
              <w:spacing w:after="0" w:line="240" w:lineRule="auto"/>
              <w:rPr>
                <w:noProof/>
              </w:rPr>
            </w:pPr>
            <w:r>
              <w:rPr>
                <w:noProof/>
              </w:rPr>
              <w:t>Approbation par InvestEU d’opérations d’un montant de 100 000 000 EUR</w:t>
            </w:r>
          </w:p>
        </w:tc>
        <w:tc>
          <w:tcPr>
            <w:tcW w:w="1276" w:type="dxa"/>
            <w:tcBorders>
              <w:top w:val="single" w:sz="4" w:space="0" w:color="auto"/>
              <w:left w:val="nil"/>
              <w:bottom w:val="single" w:sz="4" w:space="0" w:color="auto"/>
              <w:right w:val="single" w:sz="4" w:space="0" w:color="auto"/>
            </w:tcBorders>
            <w:shd w:val="clear" w:color="auto" w:fill="C6EFCE"/>
          </w:tcPr>
          <w:p w14:paraId="5639664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7314C7C4" w14:textId="11D7CF61" w:rsidR="00A00259" w:rsidRDefault="00371282">
            <w:pPr>
              <w:pStyle w:val="P68B1DB1-Normal12"/>
              <w:spacing w:after="0" w:line="240" w:lineRule="auto"/>
              <w:rPr>
                <w:noProof/>
              </w:rPr>
            </w:pPr>
            <w:r>
              <w:rPr>
                <w:noProof/>
              </w:rPr>
              <w:t>Montant (EUR)</w:t>
            </w:r>
          </w:p>
        </w:tc>
        <w:tc>
          <w:tcPr>
            <w:tcW w:w="1417" w:type="dxa"/>
            <w:tcBorders>
              <w:top w:val="single" w:sz="4" w:space="0" w:color="auto"/>
              <w:left w:val="nil"/>
              <w:bottom w:val="single" w:sz="4" w:space="0" w:color="auto"/>
              <w:right w:val="single" w:sz="4" w:space="0" w:color="auto"/>
            </w:tcBorders>
            <w:shd w:val="clear" w:color="auto" w:fill="C6EFCE"/>
            <w:noWrap/>
          </w:tcPr>
          <w:p w14:paraId="7F40A994" w14:textId="74161A2C" w:rsidR="00A00259" w:rsidRDefault="00371282">
            <w:pPr>
              <w:pStyle w:val="P68B1DB1-Normal12"/>
              <w:spacing w:after="0" w:line="240" w:lineRule="auto"/>
              <w:rPr>
                <w:noProof/>
              </w:rPr>
            </w:pPr>
            <w:r>
              <w:rPr>
                <w:noProof/>
              </w:rPr>
              <w:t>800 000 000</w:t>
            </w:r>
          </w:p>
        </w:tc>
        <w:tc>
          <w:tcPr>
            <w:tcW w:w="1418" w:type="dxa"/>
            <w:tcBorders>
              <w:top w:val="single" w:sz="4" w:space="0" w:color="auto"/>
              <w:left w:val="nil"/>
              <w:bottom w:val="single" w:sz="4" w:space="0" w:color="auto"/>
              <w:right w:val="single" w:sz="4" w:space="0" w:color="auto"/>
            </w:tcBorders>
            <w:shd w:val="clear" w:color="auto" w:fill="C6EFCE"/>
            <w:noWrap/>
          </w:tcPr>
          <w:p w14:paraId="6EB68AE0" w14:textId="1B61B9A5" w:rsidR="00A00259" w:rsidRDefault="00371282">
            <w:pPr>
              <w:pStyle w:val="P68B1DB1-Normal12"/>
              <w:spacing w:after="0" w:line="240" w:lineRule="auto"/>
              <w:rPr>
                <w:noProof/>
              </w:rPr>
            </w:pPr>
            <w:r>
              <w:rPr>
                <w:noProof/>
              </w:rPr>
              <w:t>900 000 000</w:t>
            </w:r>
          </w:p>
        </w:tc>
        <w:tc>
          <w:tcPr>
            <w:tcW w:w="992" w:type="dxa"/>
            <w:tcBorders>
              <w:top w:val="single" w:sz="4" w:space="0" w:color="auto"/>
              <w:left w:val="nil"/>
              <w:bottom w:val="single" w:sz="4" w:space="0" w:color="auto"/>
              <w:right w:val="single" w:sz="4" w:space="0" w:color="auto"/>
            </w:tcBorders>
            <w:shd w:val="clear" w:color="auto" w:fill="C6EFCE"/>
            <w:noWrap/>
          </w:tcPr>
          <w:p w14:paraId="6BFA93CE" w14:textId="0B6B063D" w:rsidR="00A00259" w:rsidRDefault="00371282">
            <w:pPr>
              <w:pStyle w:val="P68B1DB1-Normal12"/>
              <w:spacing w:after="0" w:line="240" w:lineRule="auto"/>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07053D5A" w14:textId="23DAF9A6" w:rsidR="00A00259" w:rsidRDefault="00371282">
            <w:pPr>
              <w:pStyle w:val="P68B1DB1-Normal12"/>
              <w:spacing w:after="0" w:line="240" w:lineRule="auto"/>
              <w:rPr>
                <w:noProof/>
              </w:rPr>
            </w:pPr>
            <w:r>
              <w:rPr>
                <w:noProof/>
              </w:rPr>
              <w:t>2026</w:t>
            </w:r>
          </w:p>
        </w:tc>
        <w:tc>
          <w:tcPr>
            <w:tcW w:w="4028" w:type="dxa"/>
            <w:tcBorders>
              <w:top w:val="single" w:sz="4" w:space="0" w:color="auto"/>
              <w:left w:val="nil"/>
              <w:bottom w:val="single" w:sz="4" w:space="0" w:color="auto"/>
              <w:right w:val="single" w:sz="4" w:space="0" w:color="auto"/>
            </w:tcBorders>
            <w:shd w:val="clear" w:color="auto" w:fill="C6EFCE"/>
            <w:noWrap/>
          </w:tcPr>
          <w:p w14:paraId="6F0F4E61" w14:textId="31A99FD8" w:rsidR="00A00259" w:rsidRDefault="00371282">
            <w:pPr>
              <w:pStyle w:val="P68B1DB1-Normal12"/>
              <w:spacing w:after="0" w:line="240" w:lineRule="auto"/>
              <w:rPr>
                <w:noProof/>
              </w:rPr>
            </w:pPr>
            <w:r>
              <w:rPr>
                <w:noProof/>
              </w:rPr>
              <w:t>Le comité d’investissement InvestEU approuve des opérations d’investissement s’élevant à 100 000 000 EUR du montant total du financement ciblé (ou de l’investissement mobilisé).</w:t>
            </w:r>
          </w:p>
        </w:tc>
      </w:tr>
    </w:tbl>
    <w:p w14:paraId="1287DBF4" w14:textId="77777777" w:rsidR="00A00259" w:rsidRDefault="00A00259">
      <w:pPr>
        <w:spacing w:before="120" w:after="120" w:line="240" w:lineRule="auto"/>
        <w:jc w:val="both"/>
        <w:rPr>
          <w:rFonts w:ascii="Times New Roman" w:hAnsi="Times New Roman" w:cs="Times New Roman"/>
          <w:noProof/>
          <w:sz w:val="24"/>
        </w:rPr>
        <w:sectPr w:rsidR="00A00259">
          <w:headerReference w:type="even" r:id="rId372"/>
          <w:headerReference w:type="default" r:id="rId373"/>
          <w:footerReference w:type="even" r:id="rId374"/>
          <w:footerReference w:type="default" r:id="rId375"/>
          <w:headerReference w:type="first" r:id="rId376"/>
          <w:footerReference w:type="first" r:id="rId377"/>
          <w:pgSz w:w="16839" w:h="11907" w:orient="landscape"/>
          <w:pgMar w:top="1134" w:right="1134" w:bottom="1134" w:left="1134" w:header="567" w:footer="567" w:gutter="0"/>
          <w:cols w:space="720"/>
          <w:docGrid w:linePitch="360"/>
        </w:sectPr>
      </w:pPr>
    </w:p>
    <w:p w14:paraId="010DE421" w14:textId="77777777" w:rsidR="00A00259" w:rsidRDefault="00371282">
      <w:pPr>
        <w:pStyle w:val="P68B1DB1-Normal9"/>
        <w:keepNext/>
        <w:keepLines/>
        <w:spacing w:before="40" w:after="240" w:line="240" w:lineRule="auto"/>
        <w:jc w:val="both"/>
        <w:outlineLvl w:val="4"/>
        <w:rPr>
          <w:noProof/>
        </w:rPr>
      </w:pPr>
      <w:r>
        <w:rPr>
          <w:noProof/>
        </w:rPr>
        <w:t>Injection de capital dans la Banque hellénique de développement (16403)</w:t>
      </w:r>
    </w:p>
    <w:tbl>
      <w:tblPr>
        <w:tblW w:w="5208" w:type="pct"/>
        <w:tblInd w:w="-585" w:type="dxa"/>
        <w:tblLook w:val="04A0" w:firstRow="1" w:lastRow="0" w:firstColumn="1" w:lastColumn="0" w:noHBand="0" w:noVBand="1"/>
      </w:tblPr>
      <w:tblGrid>
        <w:gridCol w:w="754"/>
        <w:gridCol w:w="2381"/>
        <w:gridCol w:w="1173"/>
        <w:gridCol w:w="1797"/>
        <w:gridCol w:w="1626"/>
        <w:gridCol w:w="724"/>
        <w:gridCol w:w="1007"/>
        <w:gridCol w:w="660"/>
        <w:gridCol w:w="800"/>
        <w:gridCol w:w="602"/>
        <w:gridCol w:w="3683"/>
      </w:tblGrid>
      <w:tr w:rsidR="00A00259" w14:paraId="6BEE5B2E" w14:textId="77777777">
        <w:trPr>
          <w:trHeight w:val="300"/>
          <w:tblHeader/>
        </w:trPr>
        <w:tc>
          <w:tcPr>
            <w:tcW w:w="254" w:type="pct"/>
            <w:vMerge w:val="restart"/>
            <w:tcBorders>
              <w:top w:val="single" w:sz="6" w:space="0" w:color="auto"/>
              <w:left w:val="single" w:sz="6" w:space="0" w:color="auto"/>
              <w:right w:val="single" w:sz="6" w:space="0" w:color="auto"/>
            </w:tcBorders>
            <w:shd w:val="clear" w:color="auto" w:fill="C6D9F1" w:themeFill="text2" w:themeFillTint="33"/>
            <w:tcMar>
              <w:top w:w="15" w:type="dxa"/>
              <w:left w:w="15" w:type="dxa"/>
              <w:bottom w:w="15" w:type="dxa"/>
              <w:right w:w="15" w:type="dxa"/>
            </w:tcMar>
            <w:vAlign w:val="center"/>
          </w:tcPr>
          <w:p w14:paraId="0CF57A37" w14:textId="77777777" w:rsidR="00A00259" w:rsidRDefault="00371282">
            <w:pPr>
              <w:pStyle w:val="P68B1DB1-Normal15"/>
              <w:spacing w:after="0" w:line="240" w:lineRule="auto"/>
              <w:jc w:val="center"/>
              <w:rPr>
                <w:rFonts w:eastAsia="Times New Roman"/>
                <w:noProof/>
              </w:rPr>
            </w:pPr>
            <w:r>
              <w:rPr>
                <w:noProof/>
              </w:rPr>
              <w:t xml:space="preserve">Seq. </w:t>
            </w:r>
            <w:r>
              <w:rPr>
                <w:noProof/>
              </w:rPr>
              <w:br/>
              <w:t>Non.</w:t>
            </w:r>
          </w:p>
        </w:tc>
        <w:tc>
          <w:tcPr>
            <w:tcW w:w="789" w:type="pct"/>
            <w:vMerge w:val="restart"/>
            <w:tcBorders>
              <w:top w:val="single" w:sz="6" w:space="0" w:color="auto"/>
              <w:left w:val="single" w:sz="6" w:space="0" w:color="auto"/>
              <w:right w:val="single" w:sz="6" w:space="0" w:color="auto"/>
            </w:tcBorders>
            <w:shd w:val="clear" w:color="auto" w:fill="C6D9F1" w:themeFill="text2" w:themeFillTint="33"/>
            <w:tcMar>
              <w:top w:w="15" w:type="dxa"/>
              <w:left w:w="15" w:type="dxa"/>
              <w:bottom w:w="15" w:type="dxa"/>
              <w:right w:w="15" w:type="dxa"/>
            </w:tcMar>
            <w:vAlign w:val="center"/>
          </w:tcPr>
          <w:p w14:paraId="405E5A9C" w14:textId="77777777" w:rsidR="00A00259" w:rsidRDefault="00371282">
            <w:pPr>
              <w:pStyle w:val="P68B1DB1-Normal15"/>
              <w:spacing w:after="0" w:line="240" w:lineRule="auto"/>
              <w:jc w:val="center"/>
              <w:rPr>
                <w:rFonts w:eastAsia="Times New Roman"/>
                <w:noProof/>
              </w:rPr>
            </w:pPr>
            <w:r>
              <w:rPr>
                <w:noProof/>
              </w:rPr>
              <w:t>Mesure connexe (réforme ou investissement)</w:t>
            </w:r>
          </w:p>
        </w:tc>
        <w:tc>
          <w:tcPr>
            <w:tcW w:w="392" w:type="pct"/>
            <w:vMerge w:val="restart"/>
            <w:tcBorders>
              <w:top w:val="single" w:sz="6" w:space="0" w:color="auto"/>
              <w:left w:val="single" w:sz="6" w:space="0" w:color="auto"/>
              <w:right w:val="single" w:sz="6" w:space="0" w:color="auto"/>
            </w:tcBorders>
            <w:shd w:val="clear" w:color="auto" w:fill="C6D9F1" w:themeFill="text2" w:themeFillTint="33"/>
            <w:tcMar>
              <w:top w:w="15" w:type="dxa"/>
              <w:left w:w="15" w:type="dxa"/>
              <w:bottom w:w="15" w:type="dxa"/>
              <w:right w:w="15" w:type="dxa"/>
            </w:tcMar>
            <w:vAlign w:val="center"/>
          </w:tcPr>
          <w:p w14:paraId="7EC6F4B6" w14:textId="77777777" w:rsidR="00A00259" w:rsidRDefault="00371282">
            <w:pPr>
              <w:pStyle w:val="P68B1DB1-Normal15"/>
              <w:spacing w:after="0" w:line="240" w:lineRule="auto"/>
              <w:jc w:val="center"/>
              <w:rPr>
                <w:rFonts w:eastAsia="Times New Roman"/>
                <w:noProof/>
              </w:rPr>
            </w:pPr>
            <w:r>
              <w:rPr>
                <w:noProof/>
              </w:rPr>
              <w:t>Étape/cible</w:t>
            </w:r>
          </w:p>
        </w:tc>
        <w:tc>
          <w:tcPr>
            <w:tcW w:w="597" w:type="pct"/>
            <w:vMerge w:val="restart"/>
            <w:tcBorders>
              <w:top w:val="single" w:sz="6" w:space="0" w:color="auto"/>
              <w:left w:val="single" w:sz="6" w:space="0" w:color="auto"/>
              <w:right w:val="single" w:sz="6" w:space="0" w:color="auto"/>
            </w:tcBorders>
            <w:shd w:val="clear" w:color="auto" w:fill="C6D9F1" w:themeFill="text2" w:themeFillTint="33"/>
            <w:tcMar>
              <w:top w:w="15" w:type="dxa"/>
              <w:left w:w="15" w:type="dxa"/>
              <w:bottom w:w="15" w:type="dxa"/>
              <w:right w:w="15" w:type="dxa"/>
            </w:tcMar>
            <w:vAlign w:val="center"/>
          </w:tcPr>
          <w:p w14:paraId="31A6F124" w14:textId="77777777" w:rsidR="00A00259" w:rsidRDefault="00371282">
            <w:pPr>
              <w:pStyle w:val="P68B1DB1-Normal15"/>
              <w:spacing w:after="0" w:line="240" w:lineRule="auto"/>
              <w:jc w:val="center"/>
              <w:rPr>
                <w:rFonts w:eastAsia="Times New Roman"/>
                <w:noProof/>
              </w:rPr>
            </w:pPr>
            <w:r>
              <w:rPr>
                <w:noProof/>
              </w:rPr>
              <w:t>Nom</w:t>
            </w:r>
          </w:p>
        </w:tc>
        <w:tc>
          <w:tcPr>
            <w:tcW w:w="541" w:type="pct"/>
            <w:vMerge w:val="restart"/>
            <w:tcBorders>
              <w:top w:val="single" w:sz="6" w:space="0" w:color="auto"/>
              <w:left w:val="single" w:sz="6" w:space="0" w:color="auto"/>
              <w:right w:val="single" w:sz="6" w:space="0" w:color="auto"/>
            </w:tcBorders>
            <w:shd w:val="clear" w:color="auto" w:fill="C6D9F1" w:themeFill="text2" w:themeFillTint="33"/>
            <w:tcMar>
              <w:top w:w="15" w:type="dxa"/>
              <w:left w:w="15" w:type="dxa"/>
              <w:bottom w:w="15" w:type="dxa"/>
              <w:right w:w="15" w:type="dxa"/>
            </w:tcMar>
            <w:vAlign w:val="center"/>
          </w:tcPr>
          <w:p w14:paraId="6C7DB1D7" w14:textId="77777777" w:rsidR="00A00259" w:rsidRDefault="00371282">
            <w:pPr>
              <w:pStyle w:val="P68B1DB1-Normal15"/>
              <w:spacing w:after="0" w:line="240" w:lineRule="auto"/>
              <w:jc w:val="center"/>
              <w:rPr>
                <w:rFonts w:eastAsia="Times New Roman"/>
                <w:noProof/>
              </w:rPr>
            </w:pPr>
            <w:r>
              <w:rPr>
                <w:noProof/>
              </w:rPr>
              <w:t>Indicateurs qualitatifs (pour les jalons)</w:t>
            </w:r>
          </w:p>
        </w:tc>
        <w:tc>
          <w:tcPr>
            <w:tcW w:w="780" w:type="pct"/>
            <w:gridSpan w:val="3"/>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2D1C750D" w14:textId="77777777" w:rsidR="00A00259" w:rsidRDefault="00371282">
            <w:pPr>
              <w:pStyle w:val="P68B1DB1-Normal15"/>
              <w:spacing w:after="0" w:line="240" w:lineRule="auto"/>
              <w:jc w:val="center"/>
              <w:rPr>
                <w:noProof/>
              </w:rPr>
            </w:pPr>
            <w:r>
              <w:rPr>
                <w:noProof/>
              </w:rPr>
              <w:t>Indicateur quantitatif (pour les objectifs)</w:t>
            </w:r>
          </w:p>
        </w:tc>
        <w:tc>
          <w:tcPr>
            <w:tcW w:w="430" w:type="pct"/>
            <w:gridSpan w:val="2"/>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37C33596" w14:textId="77777777" w:rsidR="00A00259" w:rsidRDefault="00371282">
            <w:pPr>
              <w:pStyle w:val="P68B1DB1-Normal15"/>
              <w:spacing w:after="0" w:line="240" w:lineRule="auto"/>
              <w:jc w:val="center"/>
              <w:rPr>
                <w:noProof/>
              </w:rPr>
            </w:pPr>
            <w:r>
              <w:rPr>
                <w:noProof/>
              </w:rPr>
              <w:t>Calendrier indicatif d'achèvement</w:t>
            </w:r>
          </w:p>
        </w:tc>
        <w:tc>
          <w:tcPr>
            <w:tcW w:w="1217" w:type="pct"/>
            <w:vMerge w:val="restart"/>
            <w:tcBorders>
              <w:top w:val="single" w:sz="6" w:space="0" w:color="auto"/>
              <w:left w:val="single" w:sz="6" w:space="0" w:color="auto"/>
              <w:right w:val="single" w:sz="6" w:space="0" w:color="auto"/>
            </w:tcBorders>
            <w:shd w:val="clear" w:color="auto" w:fill="C6D9F1" w:themeFill="text2" w:themeFillTint="33"/>
            <w:tcMar>
              <w:top w:w="15" w:type="dxa"/>
              <w:left w:w="15" w:type="dxa"/>
              <w:bottom w:w="15" w:type="dxa"/>
              <w:right w:w="15" w:type="dxa"/>
            </w:tcMar>
          </w:tcPr>
          <w:p w14:paraId="56EB885E" w14:textId="77777777" w:rsidR="00A00259" w:rsidRDefault="00A00259">
            <w:pPr>
              <w:spacing w:after="0" w:line="240" w:lineRule="auto"/>
              <w:jc w:val="center"/>
              <w:rPr>
                <w:rFonts w:ascii="Times New Roman" w:hAnsi="Times New Roman" w:cs="Times New Roman"/>
                <w:b/>
                <w:noProof/>
                <w:sz w:val="18"/>
                <w:szCs w:val="18"/>
              </w:rPr>
            </w:pPr>
          </w:p>
          <w:p w14:paraId="24DB65ED" w14:textId="77777777" w:rsidR="00A00259" w:rsidRDefault="00A00259">
            <w:pPr>
              <w:spacing w:after="0" w:line="240" w:lineRule="auto"/>
              <w:jc w:val="center"/>
              <w:rPr>
                <w:rFonts w:ascii="Times New Roman" w:hAnsi="Times New Roman" w:cs="Times New Roman"/>
                <w:b/>
                <w:noProof/>
                <w:sz w:val="18"/>
                <w:szCs w:val="18"/>
              </w:rPr>
            </w:pPr>
          </w:p>
          <w:p w14:paraId="0FE1FE88" w14:textId="77777777" w:rsidR="00A00259" w:rsidRDefault="00371282">
            <w:pPr>
              <w:pStyle w:val="P68B1DB1-Normal15"/>
              <w:spacing w:after="0" w:line="240" w:lineRule="auto"/>
              <w:jc w:val="center"/>
              <w:rPr>
                <w:noProof/>
              </w:rPr>
            </w:pPr>
            <w:r>
              <w:rPr>
                <w:noProof/>
              </w:rPr>
              <w:t>Description de chaque jalon et cible</w:t>
            </w:r>
          </w:p>
        </w:tc>
      </w:tr>
      <w:tr w:rsidR="00A00259" w14:paraId="47280348" w14:textId="77777777">
        <w:trPr>
          <w:trHeight w:val="505"/>
          <w:tblHeader/>
        </w:trPr>
        <w:tc>
          <w:tcPr>
            <w:tcW w:w="254" w:type="pct"/>
            <w:vMerge/>
            <w:tcBorders>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322CE142" w14:textId="77777777" w:rsidR="00A00259" w:rsidRDefault="00A00259">
            <w:pPr>
              <w:spacing w:after="0" w:line="240" w:lineRule="auto"/>
              <w:jc w:val="center"/>
              <w:rPr>
                <w:rFonts w:ascii="Times New Roman" w:eastAsia="Times New Roman" w:hAnsi="Times New Roman" w:cs="Times New Roman"/>
                <w:noProof/>
                <w:sz w:val="18"/>
                <w:szCs w:val="18"/>
              </w:rPr>
            </w:pPr>
          </w:p>
        </w:tc>
        <w:tc>
          <w:tcPr>
            <w:tcW w:w="789" w:type="pct"/>
            <w:vMerge/>
            <w:tcBorders>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7ECA6A07" w14:textId="77777777" w:rsidR="00A00259" w:rsidRDefault="00A00259">
            <w:pPr>
              <w:spacing w:after="0" w:line="240" w:lineRule="auto"/>
              <w:jc w:val="center"/>
              <w:rPr>
                <w:rFonts w:ascii="Times New Roman" w:eastAsia="Times New Roman" w:hAnsi="Times New Roman" w:cs="Times New Roman"/>
                <w:noProof/>
                <w:sz w:val="18"/>
                <w:szCs w:val="18"/>
              </w:rPr>
            </w:pPr>
          </w:p>
        </w:tc>
        <w:tc>
          <w:tcPr>
            <w:tcW w:w="392" w:type="pct"/>
            <w:vMerge/>
            <w:tcBorders>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36529291" w14:textId="77777777" w:rsidR="00A00259" w:rsidRDefault="00A00259">
            <w:pPr>
              <w:spacing w:after="0" w:line="240" w:lineRule="auto"/>
              <w:jc w:val="center"/>
              <w:rPr>
                <w:rFonts w:ascii="Times New Roman" w:eastAsia="Times New Roman" w:hAnsi="Times New Roman" w:cs="Times New Roman"/>
                <w:noProof/>
                <w:sz w:val="18"/>
                <w:szCs w:val="18"/>
              </w:rPr>
            </w:pPr>
          </w:p>
        </w:tc>
        <w:tc>
          <w:tcPr>
            <w:tcW w:w="597" w:type="pct"/>
            <w:vMerge/>
            <w:tcBorders>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18CDA09E" w14:textId="77777777" w:rsidR="00A00259" w:rsidRDefault="00A00259">
            <w:pPr>
              <w:spacing w:after="0" w:line="240" w:lineRule="auto"/>
              <w:jc w:val="center"/>
              <w:rPr>
                <w:rFonts w:ascii="Times New Roman" w:eastAsia="Times New Roman" w:hAnsi="Times New Roman" w:cs="Times New Roman"/>
                <w:noProof/>
                <w:sz w:val="18"/>
                <w:szCs w:val="18"/>
              </w:rPr>
            </w:pPr>
          </w:p>
        </w:tc>
        <w:tc>
          <w:tcPr>
            <w:tcW w:w="541" w:type="pct"/>
            <w:vMerge/>
            <w:tcBorders>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23977C02" w14:textId="77777777" w:rsidR="00A00259" w:rsidRDefault="00A00259">
            <w:pPr>
              <w:spacing w:after="0" w:line="240" w:lineRule="auto"/>
              <w:jc w:val="center"/>
              <w:rPr>
                <w:rFonts w:ascii="Times New Roman" w:eastAsia="Times New Roman" w:hAnsi="Times New Roman" w:cs="Times New Roman"/>
                <w:noProof/>
                <w:sz w:val="18"/>
                <w:szCs w:val="18"/>
              </w:rPr>
            </w:pPr>
          </w:p>
        </w:tc>
        <w:tc>
          <w:tcPr>
            <w:tcW w:w="244" w:type="pct"/>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057D0B75" w14:textId="77777777" w:rsidR="00A00259" w:rsidRDefault="00371282">
            <w:pPr>
              <w:pStyle w:val="P68B1DB1-Normal15"/>
              <w:spacing w:after="0" w:line="240" w:lineRule="auto"/>
              <w:jc w:val="center"/>
              <w:rPr>
                <w:noProof/>
              </w:rPr>
            </w:pPr>
            <w:r>
              <w:rPr>
                <w:noProof/>
              </w:rPr>
              <w:t>Unité</w:t>
            </w:r>
          </w:p>
        </w:tc>
        <w:tc>
          <w:tcPr>
            <w:tcW w:w="337" w:type="pct"/>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292D39DC" w14:textId="77777777" w:rsidR="00A00259" w:rsidRDefault="00371282">
            <w:pPr>
              <w:pStyle w:val="P68B1DB1-Normal15"/>
              <w:spacing w:after="0" w:line="240" w:lineRule="auto"/>
              <w:jc w:val="center"/>
              <w:rPr>
                <w:noProof/>
              </w:rPr>
            </w:pPr>
            <w:r>
              <w:rPr>
                <w:noProof/>
              </w:rPr>
              <w:t>Données de référence</w:t>
            </w:r>
          </w:p>
        </w:tc>
        <w:tc>
          <w:tcPr>
            <w:tcW w:w="199" w:type="pct"/>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471162CC" w14:textId="77777777" w:rsidR="00A00259" w:rsidRDefault="00371282">
            <w:pPr>
              <w:pStyle w:val="P68B1DB1-Normal15"/>
              <w:spacing w:after="0" w:line="240" w:lineRule="auto"/>
              <w:jc w:val="center"/>
              <w:rPr>
                <w:noProof/>
              </w:rPr>
            </w:pPr>
            <w:r>
              <w:rPr>
                <w:noProof/>
              </w:rPr>
              <w:t>Objectif</w:t>
            </w:r>
          </w:p>
        </w:tc>
        <w:tc>
          <w:tcPr>
            <w:tcW w:w="226" w:type="pct"/>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0107F698" w14:textId="77777777" w:rsidR="00A00259" w:rsidRDefault="00371282">
            <w:pPr>
              <w:pStyle w:val="P68B1DB1-Normal15"/>
              <w:spacing w:after="0" w:line="240" w:lineRule="auto"/>
              <w:jc w:val="center"/>
              <w:rPr>
                <w:noProof/>
              </w:rPr>
            </w:pPr>
            <w:r>
              <w:rPr>
                <w:noProof/>
              </w:rPr>
              <w:t>Trimestre</w:t>
            </w:r>
          </w:p>
        </w:tc>
        <w:tc>
          <w:tcPr>
            <w:tcW w:w="204" w:type="pct"/>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298BC776" w14:textId="77777777" w:rsidR="00A00259" w:rsidRDefault="00371282">
            <w:pPr>
              <w:pStyle w:val="P68B1DB1-Normal15"/>
              <w:spacing w:after="0" w:line="240" w:lineRule="auto"/>
              <w:jc w:val="center"/>
              <w:rPr>
                <w:noProof/>
              </w:rPr>
            </w:pPr>
            <w:r>
              <w:rPr>
                <w:noProof/>
              </w:rPr>
              <w:t>Année</w:t>
            </w:r>
          </w:p>
        </w:tc>
        <w:tc>
          <w:tcPr>
            <w:tcW w:w="1217" w:type="pct"/>
            <w:vMerge/>
            <w:tcBorders>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726FD414" w14:textId="77777777" w:rsidR="00A00259" w:rsidRDefault="00A00259">
            <w:pPr>
              <w:spacing w:after="0" w:line="240" w:lineRule="auto"/>
              <w:jc w:val="center"/>
              <w:rPr>
                <w:rFonts w:ascii="Times New Roman" w:hAnsi="Times New Roman" w:cs="Times New Roman"/>
                <w:b/>
                <w:noProof/>
                <w:sz w:val="18"/>
                <w:szCs w:val="18"/>
              </w:rPr>
            </w:pPr>
          </w:p>
        </w:tc>
      </w:tr>
      <w:tr w:rsidR="00A00259" w14:paraId="750FE8DB" w14:textId="77777777">
        <w:trPr>
          <w:trHeight w:val="739"/>
        </w:trPr>
        <w:tc>
          <w:tcPr>
            <w:tcW w:w="25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512B4B3" w14:textId="77777777" w:rsidR="00A00259" w:rsidRDefault="00371282">
            <w:pPr>
              <w:pStyle w:val="P68B1DB1-Normal12"/>
              <w:spacing w:after="0" w:line="240" w:lineRule="auto"/>
              <w:rPr>
                <w:noProof/>
              </w:rPr>
            </w:pPr>
            <w:r>
              <w:rPr>
                <w:noProof/>
              </w:rPr>
              <w:t>382</w:t>
            </w:r>
          </w:p>
        </w:tc>
        <w:tc>
          <w:tcPr>
            <w:tcW w:w="789"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19AB252D" w14:textId="77777777" w:rsidR="00A00259" w:rsidRDefault="00371282">
            <w:pPr>
              <w:pStyle w:val="P68B1DB1-Normal12"/>
              <w:spacing w:after="0" w:line="240" w:lineRule="auto"/>
              <w:rPr>
                <w:noProof/>
              </w:rPr>
            </w:pPr>
            <w:r>
              <w:rPr>
                <w:noProof/>
              </w:rPr>
              <w:t>4.7. Améliorer la compétitivité et promouvoir les investissements privés et les exportations - 16403_Injection de capital dans la Banque hellénique de développement</w:t>
            </w:r>
          </w:p>
        </w:tc>
        <w:tc>
          <w:tcPr>
            <w:tcW w:w="392"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55BDE346" w14:textId="77777777" w:rsidR="00A00259" w:rsidRDefault="00371282">
            <w:pPr>
              <w:pStyle w:val="P68B1DB1-Normal12"/>
              <w:spacing w:after="0" w:line="240" w:lineRule="auto"/>
              <w:rPr>
                <w:noProof/>
              </w:rPr>
            </w:pPr>
            <w:r>
              <w:rPr>
                <w:noProof/>
              </w:rPr>
              <w:t>Étape</w:t>
            </w:r>
          </w:p>
        </w:tc>
        <w:tc>
          <w:tcPr>
            <w:tcW w:w="59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70C4C98C" w14:textId="77777777" w:rsidR="00A00259" w:rsidRDefault="00371282">
            <w:pPr>
              <w:pStyle w:val="P68B1DB1-Normal12"/>
              <w:spacing w:after="0" w:line="240" w:lineRule="auto"/>
              <w:rPr>
                <w:noProof/>
              </w:rPr>
            </w:pPr>
            <w:r>
              <w:rPr>
                <w:noProof/>
              </w:rPr>
              <w:t>Politique d'investissement</w:t>
            </w:r>
          </w:p>
        </w:tc>
        <w:tc>
          <w:tcPr>
            <w:tcW w:w="541"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4874E6E3" w14:textId="77777777" w:rsidR="00A00259" w:rsidRDefault="00371282">
            <w:pPr>
              <w:pStyle w:val="P68B1DB1-Normal12"/>
              <w:spacing w:after="0" w:line="240" w:lineRule="auto"/>
              <w:rPr>
                <w:noProof/>
              </w:rPr>
            </w:pPr>
            <w:r>
              <w:rPr>
                <w:noProof/>
              </w:rPr>
              <w:t>Adoption d'une politique d'investissement</w:t>
            </w:r>
          </w:p>
        </w:tc>
        <w:tc>
          <w:tcPr>
            <w:tcW w:w="24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47CA6303" w14:textId="77777777" w:rsidR="00A00259" w:rsidRDefault="00371282">
            <w:pPr>
              <w:pStyle w:val="P68B1DB1-Normal12"/>
              <w:spacing w:after="0" w:line="240" w:lineRule="auto"/>
              <w:rPr>
                <w:noProof/>
              </w:rPr>
            </w:pPr>
            <w:r>
              <w:rPr>
                <w:noProof/>
              </w:rPr>
              <w:t xml:space="preserve"> </w:t>
            </w:r>
          </w:p>
        </w:tc>
        <w:tc>
          <w:tcPr>
            <w:tcW w:w="33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3A454E0B" w14:textId="77777777" w:rsidR="00A00259" w:rsidRDefault="00371282">
            <w:pPr>
              <w:pStyle w:val="P68B1DB1-Normal12"/>
              <w:spacing w:after="0" w:line="240" w:lineRule="auto"/>
              <w:rPr>
                <w:noProof/>
              </w:rPr>
            </w:pPr>
            <w:r>
              <w:rPr>
                <w:noProof/>
              </w:rPr>
              <w:t xml:space="preserve"> </w:t>
            </w:r>
          </w:p>
        </w:tc>
        <w:tc>
          <w:tcPr>
            <w:tcW w:w="199"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0FCFE1AD" w14:textId="77777777" w:rsidR="00A00259" w:rsidRDefault="00371282">
            <w:pPr>
              <w:pStyle w:val="P68B1DB1-Normal12"/>
              <w:spacing w:after="0" w:line="240" w:lineRule="auto"/>
              <w:rPr>
                <w:noProof/>
              </w:rPr>
            </w:pPr>
            <w:r>
              <w:rPr>
                <w:noProof/>
              </w:rPr>
              <w:t xml:space="preserve"> </w:t>
            </w:r>
          </w:p>
        </w:tc>
        <w:tc>
          <w:tcPr>
            <w:tcW w:w="226"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35116FFB" w14:textId="77777777" w:rsidR="00A00259" w:rsidRDefault="00371282">
            <w:pPr>
              <w:pStyle w:val="P68B1DB1-Normal12"/>
              <w:spacing w:after="0" w:line="240" w:lineRule="auto"/>
              <w:rPr>
                <w:noProof/>
              </w:rPr>
            </w:pPr>
            <w:r>
              <w:rPr>
                <w:noProof/>
              </w:rPr>
              <w:t>T2</w:t>
            </w:r>
          </w:p>
        </w:tc>
        <w:tc>
          <w:tcPr>
            <w:tcW w:w="20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7901CA9E" w14:textId="77777777" w:rsidR="00A00259" w:rsidRDefault="00371282">
            <w:pPr>
              <w:pStyle w:val="P68B1DB1-Normal12"/>
              <w:spacing w:after="0" w:line="240" w:lineRule="auto"/>
              <w:rPr>
                <w:noProof/>
              </w:rPr>
            </w:pPr>
            <w:r>
              <w:rPr>
                <w:noProof/>
              </w:rPr>
              <w:t>2026</w:t>
            </w:r>
          </w:p>
        </w:tc>
        <w:tc>
          <w:tcPr>
            <w:tcW w:w="121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54C718D1" w14:textId="77777777" w:rsidR="00A00259" w:rsidRDefault="00371282">
            <w:pPr>
              <w:pStyle w:val="P68B1DB1-Normal12"/>
              <w:spacing w:after="0" w:line="240" w:lineRule="auto"/>
              <w:rPr>
                <w:noProof/>
              </w:rPr>
            </w:pPr>
            <w:r>
              <w:rPr>
                <w:noProof/>
              </w:rPr>
              <w:t>Adoption d'une nouvelle politique d'investissement pour la Banque hellénique de développement en vue de l'utilisation de l'injection de capital supplémentaire.</w:t>
            </w:r>
          </w:p>
        </w:tc>
      </w:tr>
      <w:tr w:rsidR="00A00259" w14:paraId="584209DC" w14:textId="77777777">
        <w:trPr>
          <w:trHeight w:val="300"/>
        </w:trPr>
        <w:tc>
          <w:tcPr>
            <w:tcW w:w="25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7E651F14" w14:textId="77777777" w:rsidR="00A00259" w:rsidRDefault="00371282">
            <w:pPr>
              <w:pStyle w:val="P68B1DB1-Normal12"/>
              <w:spacing w:after="0" w:line="240" w:lineRule="auto"/>
              <w:rPr>
                <w:noProof/>
              </w:rPr>
            </w:pPr>
            <w:r>
              <w:rPr>
                <w:noProof/>
              </w:rPr>
              <w:t>383</w:t>
            </w:r>
          </w:p>
        </w:tc>
        <w:tc>
          <w:tcPr>
            <w:tcW w:w="789"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0866367C" w14:textId="77777777" w:rsidR="00A00259" w:rsidRDefault="00371282">
            <w:pPr>
              <w:pStyle w:val="P68B1DB1-Normal12"/>
              <w:spacing w:after="0" w:line="240" w:lineRule="auto"/>
              <w:rPr>
                <w:noProof/>
              </w:rPr>
            </w:pPr>
            <w:r>
              <w:rPr>
                <w:noProof/>
              </w:rPr>
              <w:t>4.7. Améliorer la compétitivité et promouvoir les investissements privés et les exportations - 16403_Injection de capital dans la Banque hellénique de développement</w:t>
            </w:r>
          </w:p>
        </w:tc>
        <w:tc>
          <w:tcPr>
            <w:tcW w:w="392"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5444DC08" w14:textId="77777777" w:rsidR="00A00259" w:rsidRDefault="00371282">
            <w:pPr>
              <w:pStyle w:val="P68B1DB1-Normal12"/>
              <w:spacing w:line="240" w:lineRule="auto"/>
              <w:rPr>
                <w:noProof/>
              </w:rPr>
            </w:pPr>
            <w:r>
              <w:rPr>
                <w:noProof/>
              </w:rPr>
              <w:t>Étape</w:t>
            </w:r>
          </w:p>
        </w:tc>
        <w:tc>
          <w:tcPr>
            <w:tcW w:w="59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70BA0674" w14:textId="77777777" w:rsidR="00A00259" w:rsidRDefault="00371282">
            <w:pPr>
              <w:pStyle w:val="P68B1DB1-Normal12"/>
              <w:spacing w:line="240" w:lineRule="auto"/>
              <w:rPr>
                <w:noProof/>
              </w:rPr>
            </w:pPr>
            <w:r>
              <w:rPr>
                <w:noProof/>
              </w:rPr>
              <w:t>Injection de capital</w:t>
            </w:r>
          </w:p>
        </w:tc>
        <w:tc>
          <w:tcPr>
            <w:tcW w:w="541"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2B969165" w14:textId="77777777" w:rsidR="00A00259" w:rsidRDefault="00371282">
            <w:pPr>
              <w:pStyle w:val="P68B1DB1-Normal12"/>
              <w:spacing w:line="240" w:lineRule="auto"/>
              <w:rPr>
                <w:noProof/>
              </w:rPr>
            </w:pPr>
            <w:r>
              <w:rPr>
                <w:noProof/>
              </w:rPr>
              <w:t xml:space="preserve">Certificat de transfert </w:t>
            </w:r>
          </w:p>
        </w:tc>
        <w:tc>
          <w:tcPr>
            <w:tcW w:w="24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4A548FE8" w14:textId="77777777" w:rsidR="00A00259" w:rsidRDefault="00A00259">
            <w:pPr>
              <w:spacing w:line="240" w:lineRule="auto"/>
              <w:rPr>
                <w:rFonts w:ascii="Times New Roman" w:hAnsi="Times New Roman" w:cs="Times New Roman"/>
                <w:noProof/>
                <w:color w:val="006100"/>
                <w:sz w:val="18"/>
                <w:szCs w:val="18"/>
              </w:rPr>
            </w:pPr>
          </w:p>
        </w:tc>
        <w:tc>
          <w:tcPr>
            <w:tcW w:w="33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2921844F" w14:textId="77777777" w:rsidR="00A00259" w:rsidRDefault="00A00259">
            <w:pPr>
              <w:spacing w:line="240" w:lineRule="auto"/>
              <w:rPr>
                <w:rFonts w:ascii="Times New Roman" w:hAnsi="Times New Roman" w:cs="Times New Roman"/>
                <w:noProof/>
                <w:color w:val="006100"/>
                <w:sz w:val="18"/>
                <w:szCs w:val="18"/>
              </w:rPr>
            </w:pPr>
          </w:p>
        </w:tc>
        <w:tc>
          <w:tcPr>
            <w:tcW w:w="199"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05DD9A0D" w14:textId="77777777" w:rsidR="00A00259" w:rsidRDefault="00A00259">
            <w:pPr>
              <w:spacing w:line="240" w:lineRule="auto"/>
              <w:rPr>
                <w:rFonts w:ascii="Times New Roman" w:hAnsi="Times New Roman" w:cs="Times New Roman"/>
                <w:noProof/>
                <w:color w:val="006100"/>
                <w:sz w:val="18"/>
                <w:szCs w:val="18"/>
              </w:rPr>
            </w:pPr>
          </w:p>
        </w:tc>
        <w:tc>
          <w:tcPr>
            <w:tcW w:w="226"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216BA5EA" w14:textId="77777777" w:rsidR="00A00259" w:rsidRDefault="00371282">
            <w:pPr>
              <w:pStyle w:val="P68B1DB1-Normal12"/>
              <w:spacing w:line="240" w:lineRule="auto"/>
              <w:rPr>
                <w:noProof/>
              </w:rPr>
            </w:pPr>
            <w:r>
              <w:rPr>
                <w:noProof/>
              </w:rPr>
              <w:t>T2</w:t>
            </w:r>
          </w:p>
        </w:tc>
        <w:tc>
          <w:tcPr>
            <w:tcW w:w="20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39C8B689" w14:textId="77777777" w:rsidR="00A00259" w:rsidRDefault="00371282">
            <w:pPr>
              <w:pStyle w:val="P68B1DB1-Normal12"/>
              <w:spacing w:line="240" w:lineRule="auto"/>
              <w:rPr>
                <w:noProof/>
              </w:rPr>
            </w:pPr>
            <w:r>
              <w:rPr>
                <w:noProof/>
              </w:rPr>
              <w:t>2026</w:t>
            </w:r>
          </w:p>
        </w:tc>
        <w:tc>
          <w:tcPr>
            <w:tcW w:w="121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40F65E8" w14:textId="65ADA8DE" w:rsidR="00A00259" w:rsidRDefault="00371282">
            <w:pPr>
              <w:pStyle w:val="P68B1DB1-Normal12"/>
              <w:spacing w:line="240" w:lineRule="auto"/>
              <w:rPr>
                <w:noProof/>
              </w:rPr>
            </w:pPr>
            <w:r>
              <w:rPr>
                <w:noProof/>
              </w:rPr>
              <w:t>La Grèce transfère 1 989 092 029 EUR à la Banque hellénique de développement pour augmenter son capital.</w:t>
            </w:r>
          </w:p>
          <w:p w14:paraId="3DC561B4" w14:textId="77777777" w:rsidR="00A00259" w:rsidRDefault="00371282">
            <w:pPr>
              <w:pStyle w:val="P68B1DB1-Normal12"/>
              <w:spacing w:line="240" w:lineRule="auto"/>
              <w:rPr>
                <w:noProof/>
              </w:rPr>
            </w:pPr>
            <w:r>
              <w:rPr>
                <w:noProof/>
              </w:rPr>
              <w:t>Au-delà de l’injection de capital dans la Banque hellénique de développement qui constitue l’investissement au titre de la FRR, la Grèce transmet un rapport décrivant les mesures prises par la Banque hellénique de développement au plus tard le 31 août 2026 pour mettre en œuvre la politique d’investissement, y compris les mesures prises pour la mise en œuvre des produits financiers que le capital supplémentaire devrait initialement soutenir, ainsi que les mesures attendues pour la poursuite de la mise en œuvre de ces produits.</w:t>
            </w:r>
          </w:p>
        </w:tc>
      </w:tr>
    </w:tbl>
    <w:p w14:paraId="0D52B17F" w14:textId="77777777" w:rsidR="00A00259" w:rsidRDefault="00A00259">
      <w:pPr>
        <w:jc w:val="both"/>
        <w:rPr>
          <w:rFonts w:ascii="Times New Roman" w:hAnsi="Times New Roman" w:cs="Times New Roman"/>
          <w:b/>
          <w:bCs/>
          <w:noProof/>
          <w:u w:val="single"/>
        </w:rPr>
      </w:pPr>
    </w:p>
    <w:p w14:paraId="38700385" w14:textId="77777777" w:rsidR="00A00259" w:rsidRDefault="00371282">
      <w:pPr>
        <w:pStyle w:val="P68B1DB1-Normal9"/>
        <w:keepNext/>
        <w:keepLines/>
        <w:spacing w:before="40" w:after="240" w:line="240" w:lineRule="auto"/>
        <w:jc w:val="both"/>
        <w:outlineLvl w:val="4"/>
        <w:rPr>
          <w:noProof/>
        </w:rPr>
      </w:pPr>
      <w:r>
        <w:rPr>
          <w:noProof/>
        </w:rPr>
        <w:t>Évaluation des piliers de la Banque hellénique de développement (16405)</w:t>
      </w:r>
    </w:p>
    <w:tbl>
      <w:tblPr>
        <w:tblW w:w="5251" w:type="pct"/>
        <w:tblInd w:w="-705" w:type="dxa"/>
        <w:tblLook w:val="04A0" w:firstRow="1" w:lastRow="0" w:firstColumn="1" w:lastColumn="0" w:noHBand="0" w:noVBand="1"/>
      </w:tblPr>
      <w:tblGrid>
        <w:gridCol w:w="622"/>
        <w:gridCol w:w="2717"/>
        <w:gridCol w:w="1214"/>
        <w:gridCol w:w="1837"/>
        <w:gridCol w:w="1665"/>
        <w:gridCol w:w="761"/>
        <w:gridCol w:w="1046"/>
        <w:gridCol w:w="660"/>
        <w:gridCol w:w="831"/>
        <w:gridCol w:w="849"/>
        <w:gridCol w:w="3131"/>
      </w:tblGrid>
      <w:tr w:rsidR="00A00259" w14:paraId="050C7103" w14:textId="77777777" w:rsidTr="0007083E">
        <w:trPr>
          <w:trHeight w:val="300"/>
          <w:tblHeader/>
        </w:trPr>
        <w:tc>
          <w:tcPr>
            <w:tcW w:w="203" w:type="pct"/>
            <w:vMerge w:val="restart"/>
            <w:tcBorders>
              <w:top w:val="single" w:sz="6" w:space="0" w:color="auto"/>
              <w:left w:val="single" w:sz="6" w:space="0" w:color="auto"/>
              <w:right w:val="single" w:sz="6" w:space="0" w:color="auto"/>
            </w:tcBorders>
            <w:shd w:val="clear" w:color="auto" w:fill="C6D9F1"/>
            <w:tcMar>
              <w:top w:w="15" w:type="dxa"/>
              <w:left w:w="15" w:type="dxa"/>
              <w:bottom w:w="15" w:type="dxa"/>
              <w:right w:w="15" w:type="dxa"/>
            </w:tcMar>
            <w:vAlign w:val="center"/>
          </w:tcPr>
          <w:p w14:paraId="3C43C980" w14:textId="77777777" w:rsidR="00A00259" w:rsidRDefault="00371282">
            <w:pPr>
              <w:pStyle w:val="P68B1DB1-Normal41"/>
              <w:spacing w:after="0" w:line="240" w:lineRule="auto"/>
              <w:jc w:val="center"/>
              <w:rPr>
                <w:rFonts w:eastAsia="Times New Roman" w:cs="Times New Roman"/>
                <w:noProof/>
              </w:rPr>
            </w:pPr>
            <w:r>
              <w:rPr>
                <w:noProof/>
              </w:rPr>
              <w:t>Seq. Non.</w:t>
            </w:r>
          </w:p>
        </w:tc>
        <w:tc>
          <w:tcPr>
            <w:tcW w:w="886" w:type="pct"/>
            <w:vMerge w:val="restart"/>
            <w:tcBorders>
              <w:top w:val="single" w:sz="6" w:space="0" w:color="auto"/>
              <w:left w:val="single" w:sz="6" w:space="0" w:color="auto"/>
              <w:right w:val="single" w:sz="6" w:space="0" w:color="auto"/>
            </w:tcBorders>
            <w:shd w:val="clear" w:color="auto" w:fill="C6D9F1"/>
            <w:tcMar>
              <w:top w:w="15" w:type="dxa"/>
              <w:left w:w="15" w:type="dxa"/>
              <w:bottom w:w="15" w:type="dxa"/>
              <w:right w:w="15" w:type="dxa"/>
            </w:tcMar>
            <w:vAlign w:val="center"/>
          </w:tcPr>
          <w:p w14:paraId="0F961895" w14:textId="77777777" w:rsidR="00A00259" w:rsidRDefault="00371282">
            <w:pPr>
              <w:pStyle w:val="P68B1DB1-Normal41"/>
              <w:spacing w:after="0" w:line="240" w:lineRule="auto"/>
              <w:jc w:val="center"/>
              <w:rPr>
                <w:rFonts w:eastAsia="Times New Roman" w:cs="Times New Roman"/>
                <w:noProof/>
              </w:rPr>
            </w:pPr>
            <w:r>
              <w:rPr>
                <w:noProof/>
              </w:rPr>
              <w:t>Mesure connexe (réforme ou investissement)</w:t>
            </w:r>
          </w:p>
        </w:tc>
        <w:tc>
          <w:tcPr>
            <w:tcW w:w="396" w:type="pct"/>
            <w:vMerge w:val="restart"/>
            <w:tcBorders>
              <w:top w:val="single" w:sz="6" w:space="0" w:color="auto"/>
              <w:left w:val="single" w:sz="6" w:space="0" w:color="auto"/>
              <w:right w:val="single" w:sz="6" w:space="0" w:color="auto"/>
            </w:tcBorders>
            <w:shd w:val="clear" w:color="auto" w:fill="C6D9F1"/>
            <w:tcMar>
              <w:top w:w="15" w:type="dxa"/>
              <w:left w:w="15" w:type="dxa"/>
              <w:bottom w:w="15" w:type="dxa"/>
              <w:right w:w="15" w:type="dxa"/>
            </w:tcMar>
            <w:vAlign w:val="center"/>
          </w:tcPr>
          <w:p w14:paraId="0C39C0E2" w14:textId="77777777" w:rsidR="00A00259" w:rsidRDefault="00371282">
            <w:pPr>
              <w:pStyle w:val="P68B1DB1-Normal41"/>
              <w:spacing w:after="0" w:line="240" w:lineRule="auto"/>
              <w:jc w:val="center"/>
              <w:rPr>
                <w:rFonts w:eastAsia="Times New Roman" w:cs="Times New Roman"/>
                <w:noProof/>
              </w:rPr>
            </w:pPr>
            <w:r>
              <w:rPr>
                <w:noProof/>
              </w:rPr>
              <w:t>Étape/cible</w:t>
            </w:r>
          </w:p>
        </w:tc>
        <w:tc>
          <w:tcPr>
            <w:tcW w:w="599" w:type="pct"/>
            <w:vMerge w:val="restart"/>
            <w:tcBorders>
              <w:top w:val="single" w:sz="6" w:space="0" w:color="auto"/>
              <w:left w:val="single" w:sz="6" w:space="0" w:color="auto"/>
              <w:right w:val="single" w:sz="6" w:space="0" w:color="auto"/>
            </w:tcBorders>
            <w:shd w:val="clear" w:color="auto" w:fill="C6D9F1"/>
            <w:tcMar>
              <w:top w:w="15" w:type="dxa"/>
              <w:left w:w="15" w:type="dxa"/>
              <w:bottom w:w="15" w:type="dxa"/>
              <w:right w:w="15" w:type="dxa"/>
            </w:tcMar>
            <w:vAlign w:val="center"/>
          </w:tcPr>
          <w:p w14:paraId="1EA94CC9" w14:textId="77777777" w:rsidR="00A00259" w:rsidRDefault="00371282">
            <w:pPr>
              <w:pStyle w:val="P68B1DB1-Normal41"/>
              <w:spacing w:after="0" w:line="240" w:lineRule="auto"/>
              <w:jc w:val="center"/>
              <w:rPr>
                <w:rFonts w:eastAsia="Times New Roman" w:cs="Times New Roman"/>
                <w:noProof/>
              </w:rPr>
            </w:pPr>
            <w:r>
              <w:rPr>
                <w:noProof/>
              </w:rPr>
              <w:t>Nom</w:t>
            </w:r>
          </w:p>
        </w:tc>
        <w:tc>
          <w:tcPr>
            <w:tcW w:w="543" w:type="pct"/>
            <w:vMerge w:val="restart"/>
            <w:tcBorders>
              <w:top w:val="single" w:sz="6" w:space="0" w:color="auto"/>
              <w:left w:val="single" w:sz="6" w:space="0" w:color="auto"/>
              <w:right w:val="single" w:sz="6" w:space="0" w:color="auto"/>
            </w:tcBorders>
            <w:shd w:val="clear" w:color="auto" w:fill="C6D9F1"/>
            <w:tcMar>
              <w:top w:w="15" w:type="dxa"/>
              <w:left w:w="15" w:type="dxa"/>
              <w:bottom w:w="15" w:type="dxa"/>
              <w:right w:w="15" w:type="dxa"/>
            </w:tcMar>
            <w:vAlign w:val="center"/>
          </w:tcPr>
          <w:p w14:paraId="5FF374B6" w14:textId="77777777" w:rsidR="00A00259" w:rsidRDefault="00371282">
            <w:pPr>
              <w:pStyle w:val="P68B1DB1-Normal41"/>
              <w:spacing w:after="0" w:line="240" w:lineRule="auto"/>
              <w:jc w:val="center"/>
              <w:rPr>
                <w:rFonts w:eastAsia="Times New Roman" w:cs="Times New Roman"/>
                <w:noProof/>
              </w:rPr>
            </w:pPr>
            <w:r>
              <w:rPr>
                <w:noProof/>
              </w:rPr>
              <w:t>Indicateurs qualitatifs (pour les jalons)</w:t>
            </w:r>
          </w:p>
        </w:tc>
        <w:tc>
          <w:tcPr>
            <w:tcW w:w="804" w:type="pct"/>
            <w:gridSpan w:val="3"/>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19D16514" w14:textId="77777777" w:rsidR="00A00259" w:rsidRDefault="00371282">
            <w:pPr>
              <w:pStyle w:val="P68B1DB1-Normal41"/>
              <w:spacing w:after="0" w:line="240" w:lineRule="auto"/>
              <w:jc w:val="center"/>
              <w:rPr>
                <w:rFonts w:eastAsia="Times New Roman" w:cs="Times New Roman"/>
                <w:noProof/>
              </w:rPr>
            </w:pPr>
            <w:r>
              <w:rPr>
                <w:noProof/>
              </w:rPr>
              <w:t>Indicateur quantitatif (pour les objectifs)</w:t>
            </w:r>
          </w:p>
        </w:tc>
        <w:tc>
          <w:tcPr>
            <w:tcW w:w="548" w:type="pct"/>
            <w:gridSpan w:val="2"/>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111F6684" w14:textId="77777777" w:rsidR="00A00259" w:rsidRDefault="00371282">
            <w:pPr>
              <w:pStyle w:val="P68B1DB1-Normal41"/>
              <w:spacing w:after="0" w:line="240" w:lineRule="auto"/>
              <w:jc w:val="center"/>
              <w:rPr>
                <w:rFonts w:eastAsia="Times New Roman" w:cs="Times New Roman"/>
                <w:noProof/>
              </w:rPr>
            </w:pPr>
            <w:r>
              <w:rPr>
                <w:noProof/>
              </w:rPr>
              <w:t>Calendrier indicatif d'achèvement</w:t>
            </w:r>
          </w:p>
        </w:tc>
        <w:tc>
          <w:tcPr>
            <w:tcW w:w="1021" w:type="pct"/>
            <w:vMerge w:val="restart"/>
            <w:tcBorders>
              <w:top w:val="single" w:sz="6" w:space="0" w:color="auto"/>
              <w:left w:val="single" w:sz="6" w:space="0" w:color="auto"/>
              <w:right w:val="single" w:sz="6" w:space="0" w:color="auto"/>
            </w:tcBorders>
            <w:shd w:val="clear" w:color="auto" w:fill="C6D9F1"/>
            <w:tcMar>
              <w:top w:w="15" w:type="dxa"/>
              <w:left w:w="15" w:type="dxa"/>
              <w:bottom w:w="15" w:type="dxa"/>
              <w:right w:w="15" w:type="dxa"/>
            </w:tcMar>
            <w:vAlign w:val="center"/>
          </w:tcPr>
          <w:p w14:paraId="7CAC9CE8" w14:textId="77777777" w:rsidR="00A00259" w:rsidRDefault="00371282">
            <w:pPr>
              <w:pStyle w:val="P68B1DB1-Normal41"/>
              <w:spacing w:after="0" w:line="240" w:lineRule="auto"/>
              <w:jc w:val="center"/>
              <w:rPr>
                <w:rFonts w:eastAsia="Times New Roman" w:cs="Times New Roman"/>
                <w:noProof/>
              </w:rPr>
            </w:pPr>
            <w:r>
              <w:rPr>
                <w:noProof/>
              </w:rPr>
              <w:t>Description de chaque jalon et cible</w:t>
            </w:r>
          </w:p>
        </w:tc>
      </w:tr>
      <w:tr w:rsidR="00A00259" w14:paraId="64FA12E8" w14:textId="77777777" w:rsidTr="0007083E">
        <w:trPr>
          <w:trHeight w:val="505"/>
          <w:tblHeader/>
        </w:trPr>
        <w:tc>
          <w:tcPr>
            <w:tcW w:w="203" w:type="pct"/>
            <w:vMerge/>
            <w:tcBorders>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495835F7" w14:textId="77777777" w:rsidR="00A00259" w:rsidRDefault="00A00259">
            <w:pPr>
              <w:spacing w:after="0" w:line="240" w:lineRule="auto"/>
              <w:jc w:val="center"/>
              <w:rPr>
                <w:rFonts w:ascii="Times New Roman" w:eastAsia="Times New Roman" w:hAnsi="Times New Roman" w:cs="Times New Roman"/>
                <w:noProof/>
                <w:sz w:val="18"/>
                <w:szCs w:val="18"/>
              </w:rPr>
            </w:pPr>
          </w:p>
        </w:tc>
        <w:tc>
          <w:tcPr>
            <w:tcW w:w="886" w:type="pct"/>
            <w:vMerge/>
            <w:tcBorders>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581B0F35" w14:textId="77777777" w:rsidR="00A00259" w:rsidRDefault="00A00259">
            <w:pPr>
              <w:spacing w:after="0" w:line="240" w:lineRule="auto"/>
              <w:jc w:val="center"/>
              <w:rPr>
                <w:rFonts w:ascii="Times New Roman" w:eastAsia="Times New Roman" w:hAnsi="Times New Roman" w:cs="Times New Roman"/>
                <w:noProof/>
                <w:sz w:val="18"/>
                <w:szCs w:val="18"/>
              </w:rPr>
            </w:pPr>
          </w:p>
        </w:tc>
        <w:tc>
          <w:tcPr>
            <w:tcW w:w="396" w:type="pct"/>
            <w:vMerge/>
            <w:tcBorders>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2123533A" w14:textId="77777777" w:rsidR="00A00259" w:rsidRDefault="00A00259">
            <w:pPr>
              <w:spacing w:after="0" w:line="240" w:lineRule="auto"/>
              <w:jc w:val="center"/>
              <w:rPr>
                <w:rFonts w:ascii="Times New Roman" w:eastAsia="Times New Roman" w:hAnsi="Times New Roman" w:cs="Times New Roman"/>
                <w:noProof/>
                <w:sz w:val="18"/>
                <w:szCs w:val="18"/>
              </w:rPr>
            </w:pPr>
          </w:p>
        </w:tc>
        <w:tc>
          <w:tcPr>
            <w:tcW w:w="599" w:type="pct"/>
            <w:vMerge/>
            <w:tcBorders>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633C8BEB" w14:textId="77777777" w:rsidR="00A00259" w:rsidRDefault="00A00259">
            <w:pPr>
              <w:spacing w:after="0" w:line="240" w:lineRule="auto"/>
              <w:jc w:val="center"/>
              <w:rPr>
                <w:rFonts w:ascii="Times New Roman" w:eastAsia="Times New Roman" w:hAnsi="Times New Roman" w:cs="Times New Roman"/>
                <w:noProof/>
                <w:sz w:val="18"/>
                <w:szCs w:val="18"/>
              </w:rPr>
            </w:pPr>
          </w:p>
        </w:tc>
        <w:tc>
          <w:tcPr>
            <w:tcW w:w="543" w:type="pct"/>
            <w:vMerge/>
            <w:tcBorders>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24D0AAE3" w14:textId="77777777" w:rsidR="00A00259" w:rsidRDefault="00A00259">
            <w:pPr>
              <w:spacing w:after="0" w:line="240" w:lineRule="auto"/>
              <w:jc w:val="center"/>
              <w:rPr>
                <w:rFonts w:ascii="Times New Roman" w:eastAsia="Times New Roman" w:hAnsi="Times New Roman" w:cs="Times New Roman"/>
                <w:noProof/>
                <w:sz w:val="18"/>
                <w:szCs w:val="18"/>
              </w:rPr>
            </w:pPr>
          </w:p>
        </w:tc>
        <w:tc>
          <w:tcPr>
            <w:tcW w:w="248" w:type="pct"/>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74388B3F" w14:textId="77777777" w:rsidR="00A00259" w:rsidRDefault="00371282">
            <w:pPr>
              <w:pStyle w:val="P68B1DB1-Normal41"/>
              <w:spacing w:after="0" w:line="240" w:lineRule="auto"/>
              <w:jc w:val="center"/>
              <w:rPr>
                <w:rFonts w:eastAsia="Times New Roman" w:cs="Times New Roman"/>
                <w:noProof/>
              </w:rPr>
            </w:pPr>
            <w:r>
              <w:rPr>
                <w:noProof/>
              </w:rPr>
              <w:t>Unité</w:t>
            </w:r>
          </w:p>
        </w:tc>
        <w:tc>
          <w:tcPr>
            <w:tcW w:w="341" w:type="pct"/>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3842E659" w14:textId="77777777" w:rsidR="00A00259" w:rsidRDefault="00371282">
            <w:pPr>
              <w:pStyle w:val="P68B1DB1-Normal41"/>
              <w:spacing w:after="0" w:line="240" w:lineRule="auto"/>
              <w:jc w:val="center"/>
              <w:rPr>
                <w:rFonts w:eastAsia="Times New Roman" w:cs="Times New Roman"/>
                <w:noProof/>
              </w:rPr>
            </w:pPr>
            <w:r>
              <w:rPr>
                <w:noProof/>
              </w:rPr>
              <w:t>Données de référence</w:t>
            </w:r>
          </w:p>
        </w:tc>
        <w:tc>
          <w:tcPr>
            <w:tcW w:w="215" w:type="pct"/>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798BC4E9" w14:textId="77777777" w:rsidR="00A00259" w:rsidRDefault="00371282">
            <w:pPr>
              <w:pStyle w:val="P68B1DB1-Normal41"/>
              <w:spacing w:after="0" w:line="240" w:lineRule="auto"/>
              <w:jc w:val="center"/>
              <w:rPr>
                <w:rFonts w:eastAsia="Times New Roman" w:cs="Times New Roman"/>
                <w:noProof/>
              </w:rPr>
            </w:pPr>
            <w:r>
              <w:rPr>
                <w:noProof/>
              </w:rPr>
              <w:t>Objectif</w:t>
            </w:r>
          </w:p>
        </w:tc>
        <w:tc>
          <w:tcPr>
            <w:tcW w:w="271" w:type="pct"/>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020E2405" w14:textId="77777777" w:rsidR="00A00259" w:rsidRDefault="00A00259">
            <w:pPr>
              <w:spacing w:after="0" w:line="240" w:lineRule="auto"/>
              <w:jc w:val="center"/>
              <w:rPr>
                <w:rFonts w:ascii="Times New Roman" w:eastAsia="Times New Roman" w:hAnsi="Times New Roman" w:cs="Times New Roman"/>
                <w:noProof/>
                <w:sz w:val="18"/>
                <w:szCs w:val="18"/>
              </w:rPr>
            </w:pPr>
          </w:p>
        </w:tc>
        <w:tc>
          <w:tcPr>
            <w:tcW w:w="277" w:type="pct"/>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73889394" w14:textId="77777777" w:rsidR="00A00259" w:rsidRDefault="00A00259">
            <w:pPr>
              <w:spacing w:after="0" w:line="240" w:lineRule="auto"/>
              <w:jc w:val="center"/>
              <w:rPr>
                <w:rFonts w:ascii="Times New Roman" w:eastAsia="Times New Roman" w:hAnsi="Times New Roman" w:cs="Times New Roman"/>
                <w:noProof/>
                <w:sz w:val="18"/>
                <w:szCs w:val="18"/>
              </w:rPr>
            </w:pPr>
          </w:p>
        </w:tc>
        <w:tc>
          <w:tcPr>
            <w:tcW w:w="1021" w:type="pct"/>
            <w:vMerge/>
            <w:tcBorders>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599284B6" w14:textId="77777777" w:rsidR="00A00259" w:rsidRDefault="00A00259">
            <w:pPr>
              <w:spacing w:after="0" w:line="240" w:lineRule="auto"/>
              <w:jc w:val="center"/>
              <w:rPr>
                <w:rFonts w:ascii="Times New Roman" w:eastAsia="Times New Roman" w:hAnsi="Times New Roman" w:cs="Times New Roman"/>
                <w:noProof/>
                <w:sz w:val="18"/>
                <w:szCs w:val="18"/>
              </w:rPr>
            </w:pPr>
          </w:p>
        </w:tc>
      </w:tr>
      <w:tr w:rsidR="00A00259" w14:paraId="20CA9E6A" w14:textId="77777777" w:rsidTr="0007083E">
        <w:trPr>
          <w:trHeight w:val="739"/>
        </w:trPr>
        <w:tc>
          <w:tcPr>
            <w:tcW w:w="203"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8B4317C" w14:textId="77777777" w:rsidR="00A00259" w:rsidRDefault="00371282">
            <w:pPr>
              <w:pStyle w:val="P68B1DB1-Normal12"/>
              <w:spacing w:line="240" w:lineRule="auto"/>
              <w:rPr>
                <w:noProof/>
              </w:rPr>
            </w:pPr>
            <w:r>
              <w:rPr>
                <w:noProof/>
              </w:rPr>
              <w:t>384</w:t>
            </w:r>
          </w:p>
        </w:tc>
        <w:tc>
          <w:tcPr>
            <w:tcW w:w="886"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3DB4EC4" w14:textId="77777777" w:rsidR="00A00259" w:rsidRDefault="00371282">
            <w:pPr>
              <w:pStyle w:val="P68B1DB1-Normal12"/>
              <w:spacing w:line="240" w:lineRule="auto"/>
              <w:rPr>
                <w:noProof/>
              </w:rPr>
            </w:pPr>
            <w:r>
              <w:rPr>
                <w:noProof/>
              </w:rPr>
              <w:t>4.7. Améliorer la compétitivité et promouvoir les investissements privés et les exportations - 16405_Évaluation Pillar de la Banque hellénique de développement</w:t>
            </w:r>
          </w:p>
        </w:tc>
        <w:tc>
          <w:tcPr>
            <w:tcW w:w="396"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F69A48B" w14:textId="77777777" w:rsidR="00A00259" w:rsidRDefault="00371282">
            <w:pPr>
              <w:pStyle w:val="P68B1DB1-Normal12"/>
              <w:spacing w:line="240" w:lineRule="auto"/>
              <w:rPr>
                <w:noProof/>
              </w:rPr>
            </w:pPr>
            <w:r>
              <w:rPr>
                <w:noProof/>
              </w:rPr>
              <w:t>Étape</w:t>
            </w:r>
          </w:p>
        </w:tc>
        <w:tc>
          <w:tcPr>
            <w:tcW w:w="599"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42DA658D" w14:textId="77777777" w:rsidR="00A00259" w:rsidRDefault="00371282">
            <w:pPr>
              <w:pStyle w:val="P68B1DB1-Normal12"/>
              <w:spacing w:line="240" w:lineRule="auto"/>
              <w:rPr>
                <w:noProof/>
              </w:rPr>
            </w:pPr>
            <w:r>
              <w:rPr>
                <w:noProof/>
              </w:rPr>
              <w:t>La Banque hellénique de développement fait l'objet d'une évaluation des piliers</w:t>
            </w:r>
          </w:p>
        </w:tc>
        <w:tc>
          <w:tcPr>
            <w:tcW w:w="543"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4F76B235" w14:textId="77777777" w:rsidR="00A00259" w:rsidRDefault="00371282">
            <w:pPr>
              <w:pStyle w:val="P68B1DB1-Normal12"/>
              <w:spacing w:line="240" w:lineRule="auto"/>
              <w:rPr>
                <w:noProof/>
              </w:rPr>
            </w:pPr>
            <w:r>
              <w:rPr>
                <w:noProof/>
              </w:rPr>
              <w:t>La Banque hellénique de développement est un pilier évalué pour la mise en œuvre des fonds de l’UE</w:t>
            </w:r>
          </w:p>
        </w:tc>
        <w:tc>
          <w:tcPr>
            <w:tcW w:w="248"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179F68E2" w14:textId="77777777" w:rsidR="00A00259" w:rsidRDefault="00A00259">
            <w:pPr>
              <w:spacing w:line="240" w:lineRule="auto"/>
              <w:rPr>
                <w:rFonts w:ascii="Times New Roman" w:hAnsi="Times New Roman" w:cs="Times New Roman"/>
                <w:noProof/>
                <w:color w:val="006100"/>
                <w:sz w:val="18"/>
                <w:szCs w:val="18"/>
              </w:rPr>
            </w:pPr>
          </w:p>
        </w:tc>
        <w:tc>
          <w:tcPr>
            <w:tcW w:w="341"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59876078" w14:textId="77777777" w:rsidR="00A00259" w:rsidRDefault="00A00259">
            <w:pPr>
              <w:spacing w:line="240" w:lineRule="auto"/>
              <w:rPr>
                <w:rFonts w:ascii="Times New Roman" w:hAnsi="Times New Roman" w:cs="Times New Roman"/>
                <w:noProof/>
                <w:color w:val="006100"/>
                <w:sz w:val="18"/>
                <w:szCs w:val="18"/>
              </w:rPr>
            </w:pPr>
          </w:p>
        </w:tc>
        <w:tc>
          <w:tcPr>
            <w:tcW w:w="215"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398CC88A" w14:textId="77777777" w:rsidR="00A00259" w:rsidRDefault="00A00259">
            <w:pPr>
              <w:spacing w:line="240" w:lineRule="auto"/>
              <w:rPr>
                <w:rFonts w:ascii="Times New Roman" w:hAnsi="Times New Roman" w:cs="Times New Roman"/>
                <w:noProof/>
                <w:color w:val="006100"/>
                <w:sz w:val="18"/>
                <w:szCs w:val="18"/>
              </w:rPr>
            </w:pPr>
          </w:p>
        </w:tc>
        <w:tc>
          <w:tcPr>
            <w:tcW w:w="271"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8F63404" w14:textId="77777777" w:rsidR="00A00259" w:rsidRDefault="00371282">
            <w:pPr>
              <w:pStyle w:val="P68B1DB1-Normal12"/>
              <w:spacing w:line="240" w:lineRule="auto"/>
              <w:rPr>
                <w:noProof/>
              </w:rPr>
            </w:pPr>
            <w:r>
              <w:rPr>
                <w:noProof/>
              </w:rPr>
              <w:t>T2</w:t>
            </w:r>
          </w:p>
        </w:tc>
        <w:tc>
          <w:tcPr>
            <w:tcW w:w="27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48366E25" w14:textId="77777777" w:rsidR="00A00259" w:rsidRDefault="00371282">
            <w:pPr>
              <w:pStyle w:val="P68B1DB1-Normal12"/>
              <w:spacing w:line="240" w:lineRule="auto"/>
              <w:rPr>
                <w:noProof/>
              </w:rPr>
            </w:pPr>
            <w:r>
              <w:rPr>
                <w:noProof/>
              </w:rPr>
              <w:t>2026</w:t>
            </w:r>
          </w:p>
        </w:tc>
        <w:tc>
          <w:tcPr>
            <w:tcW w:w="1021"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B2C6279" w14:textId="77777777" w:rsidR="00A00259" w:rsidRDefault="00371282">
            <w:pPr>
              <w:pStyle w:val="P68B1DB1-Normal12"/>
              <w:rPr>
                <w:noProof/>
              </w:rPr>
            </w:pPr>
            <w:r>
              <w:rPr>
                <w:noProof/>
              </w:rPr>
              <w:t>La Banque hellénique de développement est un pilier positivement évalué par un auditeur externe indépendant.</w:t>
            </w:r>
          </w:p>
        </w:tc>
      </w:tr>
    </w:tbl>
    <w:p w14:paraId="6E571736" w14:textId="77777777" w:rsidR="00A00259" w:rsidRDefault="00A00259">
      <w:pPr>
        <w:rPr>
          <w:noProof/>
        </w:rPr>
      </w:pPr>
    </w:p>
    <w:p w14:paraId="1E2263B0" w14:textId="77777777" w:rsidR="00A00259" w:rsidRDefault="00A00259">
      <w:pPr>
        <w:spacing w:before="120" w:after="120" w:line="240" w:lineRule="auto"/>
        <w:ind w:firstLine="6"/>
        <w:jc w:val="both"/>
        <w:outlineLvl w:val="3"/>
        <w:rPr>
          <w:rFonts w:ascii="Times New Roman" w:hAnsi="Times New Roman"/>
          <w:b/>
          <w:bCs/>
          <w:noProof/>
          <w:sz w:val="24"/>
          <w:szCs w:val="24"/>
        </w:rPr>
        <w:sectPr w:rsidR="00A00259">
          <w:headerReference w:type="even" r:id="rId378"/>
          <w:headerReference w:type="default" r:id="rId379"/>
          <w:footerReference w:type="even" r:id="rId380"/>
          <w:footerReference w:type="default" r:id="rId381"/>
          <w:headerReference w:type="first" r:id="rId382"/>
          <w:footerReference w:type="first" r:id="rId383"/>
          <w:pgSz w:w="16838" w:h="11906" w:orient="landscape"/>
          <w:pgMar w:top="1134" w:right="1134" w:bottom="1134" w:left="1134" w:header="567" w:footer="567" w:gutter="0"/>
          <w:cols w:space="708"/>
          <w:docGrid w:linePitch="360"/>
        </w:sectPr>
      </w:pPr>
    </w:p>
    <w:p w14:paraId="28570E29" w14:textId="77777777" w:rsidR="00A00259" w:rsidRDefault="00371282">
      <w:pPr>
        <w:pStyle w:val="P68B1DB1-Normal48"/>
        <w:spacing w:before="120" w:after="120" w:line="240" w:lineRule="auto"/>
        <w:ind w:firstLine="6"/>
        <w:jc w:val="both"/>
        <w:outlineLvl w:val="3"/>
        <w:rPr>
          <w:rFonts w:cs="Times New Roman"/>
          <w:bCs/>
          <w:noProof/>
        </w:rPr>
      </w:pPr>
      <w:r>
        <w:rPr>
          <w:noProof/>
        </w:rPr>
        <w:t>T. ÉLÉMENT 5.1: RÉFORMES REPowerEU</w:t>
      </w:r>
    </w:p>
    <w:p w14:paraId="2EC70FB7" w14:textId="77777777" w:rsidR="00A00259" w:rsidRDefault="00371282">
      <w:pPr>
        <w:pStyle w:val="P68B1DB1-Normal6"/>
        <w:spacing w:before="120" w:after="120" w:line="240" w:lineRule="auto"/>
        <w:jc w:val="both"/>
        <w:rPr>
          <w:rFonts w:cs="Times New Roman"/>
          <w:bCs/>
          <w:noProof/>
        </w:rPr>
      </w:pPr>
      <w:r>
        <w:rPr>
          <w:noProof/>
        </w:rPr>
        <w:t>T.1. Description des réformes et des investissements pour le soutien financier non remboursable</w:t>
      </w:r>
    </w:p>
    <w:p w14:paraId="25B2AAA3" w14:textId="77777777" w:rsidR="00A00259" w:rsidRDefault="00371282">
      <w:pPr>
        <w:pStyle w:val="P68B1DB1-Normal5"/>
        <w:spacing w:before="120" w:after="120" w:line="240" w:lineRule="auto"/>
        <w:jc w:val="both"/>
        <w:rPr>
          <w:rFonts w:cs="Times New Roman"/>
          <w:noProof/>
          <w:szCs w:val="24"/>
        </w:rPr>
      </w:pPr>
      <w:r>
        <w:rPr>
          <w:noProof/>
        </w:rPr>
        <w:t>Ce chapitre contient un ensemble de réformes visant à favoriser la décarbonation, les énergies renouvelables et les gaz renouvelables, notamment: (1) une réforme concernant l’introduction d’un cadre législatif visant à permettre et à faciliter la production, le stockage, le transport et l’utilisation de l’hydrogène renouvelable et du biométhane, (2) une réforme concernant l’établissement du cadre réglementaire et opérationnel du marché pour les technologies de captage, d’utilisation et de stockage du carbone afin de favoriser la décarbonation de l’industrie en Grèce, (3) une réforme concernant l’optimisation de l’utilisation de l’espace terrestre et maritime pour le développement des énergies renouvelables, en plus de la poursuite des progrès du cadre législatif pour l’installation de parcs éoliens en mer, (4) une réforme visant à accroître les capacités de réseau et de stockage en s’attaquant à la stabilité et aux goulets d’étranglement des réseaux, (5) une réforme du cadre réglementaire pour les réseaux intelligents afin d’accélérer la mise en œuvre de technologies intelligentes et numériques dans le réseau de distribution et de favoriser la participation active de la demande pour le consommateur final, (6) une réforme visant à promouvoir le partage de l’énergie, encourageant ainsi l’utilisation des énergies renouvelables en permettant la production décentralisée et le partage entre plusieurs systèmes d’énergie renouvelable à petite échelle, et (7) une réforme introduisant une feuille de route pour des interventions innovantes en matière d’efficacité énergétique, y compris l’identification et le lancement de nouveaux instruments financiers non fondés sur les subventions.</w:t>
      </w:r>
    </w:p>
    <w:p w14:paraId="5248E9CF" w14:textId="77777777" w:rsidR="00A00259" w:rsidRDefault="00371282">
      <w:pPr>
        <w:pStyle w:val="P68B1DB1-Normal7"/>
        <w:spacing w:before="120" w:after="120" w:line="240" w:lineRule="auto"/>
        <w:jc w:val="both"/>
        <w:rPr>
          <w:rFonts w:cs="Times New Roman"/>
          <w:noProof/>
        </w:rPr>
      </w:pPr>
      <w:r>
        <w:rPr>
          <w:b/>
          <w:noProof/>
        </w:rPr>
        <w:t xml:space="preserve">Réforme: Cadre d’octroi </w:t>
      </w:r>
      <w:r>
        <w:rPr>
          <w:noProof/>
        </w:rPr>
        <w:t>de licences pour l’hydrogène renouvelable et le biométhane durable (mesure ID: 16987)</w:t>
      </w:r>
    </w:p>
    <w:p w14:paraId="523E85B0" w14:textId="77777777" w:rsidR="00A00259" w:rsidRDefault="00371282">
      <w:pPr>
        <w:pStyle w:val="P68B1DB1-Normal7"/>
        <w:spacing w:before="120" w:after="120" w:line="240" w:lineRule="auto"/>
        <w:jc w:val="both"/>
        <w:rPr>
          <w:rFonts w:cs="Times New Roman"/>
          <w:noProof/>
        </w:rPr>
      </w:pPr>
      <w:r>
        <w:rPr>
          <w:noProof/>
        </w:rPr>
        <w:t>L’objectif de la réforme est de mettre en place la législation requise pour un déploiement efficace de l’hydrogène renouvelable et du biométhane durable en Grèce en supprimant les obstacles potentiels et en établissant des processus pour le développement du secteur et des marchés des gaz renouvelables. La réforme prévoit l’adoption d’un cadre législatif visant à promouvoir la production et la consommation d’hydrogène renouvelable et de biométhane durable. Cela couvre la spécification des procédures d’octroi de licences et d’autorisation, y compris les dispositions relatives à l’aménagement du territoire, la définition des spécifications techniques pour le transport, le stockage et l’injection dans le réseau, la clarification des rôles des différentes parties prenantes, y compris les autorités publiques concernées, tout en garantissant un mécanisme permettant de certifier que l’hydrogène produit serait renouvelable et que le biométhane serait durable, conformément aux dispositions récentes des actes délégués de la directive RED II.</w:t>
      </w:r>
    </w:p>
    <w:p w14:paraId="439B8276" w14:textId="77777777" w:rsidR="00A00259" w:rsidRDefault="00371282">
      <w:pPr>
        <w:pStyle w:val="P68B1DB1-Normal7"/>
        <w:spacing w:before="120" w:after="120" w:line="240" w:lineRule="auto"/>
        <w:jc w:val="both"/>
        <w:rPr>
          <w:rFonts w:cs="Times New Roman"/>
          <w:noProof/>
        </w:rPr>
      </w:pPr>
      <w:r>
        <w:rPr>
          <w:noProof/>
        </w:rPr>
        <w:t>La mise en œuvre de la réforme est achevée au plus tard le 30 juin 2024.</w:t>
      </w:r>
    </w:p>
    <w:p w14:paraId="3FE8B452" w14:textId="77777777" w:rsidR="00A00259" w:rsidRDefault="00371282">
      <w:pPr>
        <w:pStyle w:val="P68B1DB1-Normal5"/>
        <w:spacing w:before="120" w:after="120" w:line="240" w:lineRule="auto"/>
        <w:jc w:val="both"/>
        <w:rPr>
          <w:rFonts w:cs="Times New Roman"/>
          <w:noProof/>
        </w:rPr>
      </w:pPr>
      <w:r>
        <w:rPr>
          <w:b/>
          <w:noProof/>
        </w:rPr>
        <w:t xml:space="preserve">Réforme: Cadre </w:t>
      </w:r>
      <w:r>
        <w:rPr>
          <w:noProof/>
        </w:rPr>
        <w:t>réglementaire et opérationnel du marché pour les technologies de captage, d’utilisation et de stockage du carbone afin de favoriser la décarbonation de l’industrie (mesure ID: 16988)</w:t>
      </w:r>
    </w:p>
    <w:p w14:paraId="5D5A8441" w14:textId="00C30DE2" w:rsidR="00A00259" w:rsidRDefault="00371282">
      <w:pPr>
        <w:pStyle w:val="P68B1DB1-Normal5"/>
        <w:spacing w:before="120" w:after="120" w:line="240" w:lineRule="auto"/>
        <w:jc w:val="both"/>
        <w:rPr>
          <w:rFonts w:cs="Times New Roman"/>
          <w:noProof/>
        </w:rPr>
      </w:pPr>
      <w:r>
        <w:rPr>
          <w:noProof/>
        </w:rPr>
        <w:t>L’objectif de cette réforme est de mettre en place le cadre juridique et réglementaire pour les technologies de captage, d’utilisation et de stockage du carbone. La réforme consiste en l'élaboration d'un cadre d'octroi de licences, la mise en place d'un processus de normalisation et de certification et la définition de l'accès des tiers.</w:t>
      </w:r>
    </w:p>
    <w:p w14:paraId="7490A2FA" w14:textId="77777777" w:rsidR="00A00259" w:rsidRDefault="00371282">
      <w:pPr>
        <w:pStyle w:val="P68B1DB1-Normal5"/>
        <w:spacing w:before="120" w:after="120" w:line="240" w:lineRule="auto"/>
        <w:jc w:val="both"/>
        <w:rPr>
          <w:rFonts w:cs="Times New Roman"/>
          <w:noProof/>
        </w:rPr>
      </w:pPr>
      <w:r>
        <w:rPr>
          <w:b/>
          <w:noProof/>
        </w:rPr>
        <w:t xml:space="preserve">Réforme: </w:t>
      </w:r>
      <w:r>
        <w:rPr>
          <w:noProof/>
        </w:rPr>
        <w:t>Optimisation de l’utilisation de l’espace terrestre et maritime pour le développement des énergies renouvelables et de l’énergie éolienne en mer (mesure ID: 16989)</w:t>
      </w:r>
    </w:p>
    <w:p w14:paraId="6BC94A34" w14:textId="77777777" w:rsidR="00A00259" w:rsidRDefault="00371282">
      <w:pPr>
        <w:pStyle w:val="P68B1DB1-Normal7"/>
        <w:spacing w:before="120" w:after="120" w:line="240" w:lineRule="auto"/>
        <w:jc w:val="both"/>
        <w:rPr>
          <w:noProof/>
        </w:rPr>
      </w:pPr>
      <w:r>
        <w:rPr>
          <w:noProof/>
        </w:rPr>
        <w:t>L'objectif de cette réforme est de renforcer le développement des sources d'énergie renouvelables (SER) en Grèce. La réforme consiste en un cadre juridique pour les parcs éoliens en mer et en une facilitation des sources d’énergie renouvelables sur terre.</w:t>
      </w:r>
    </w:p>
    <w:p w14:paraId="2430909F" w14:textId="77777777" w:rsidR="00A00259" w:rsidRDefault="00371282">
      <w:pPr>
        <w:pStyle w:val="P68B1DB1-Normal7"/>
        <w:spacing w:before="120" w:after="120" w:line="240" w:lineRule="auto"/>
        <w:jc w:val="both"/>
        <w:rPr>
          <w:rFonts w:cs="Times New Roman"/>
          <w:noProof/>
        </w:rPr>
      </w:pPr>
      <w:r>
        <w:rPr>
          <w:b/>
          <w:noProof/>
        </w:rPr>
        <w:t xml:space="preserve">Réforme: Réforme du </w:t>
      </w:r>
      <w:r>
        <w:rPr>
          <w:noProof/>
        </w:rPr>
        <w:t>réseau et de la capacité de stockage (mesure ID: 16990)</w:t>
      </w:r>
    </w:p>
    <w:p w14:paraId="35771C30" w14:textId="1F520E4D" w:rsidR="00A00259" w:rsidRDefault="00371282">
      <w:pPr>
        <w:pStyle w:val="P68B1DB1-Normal7"/>
        <w:spacing w:before="120" w:after="120" w:line="240" w:lineRule="auto"/>
        <w:jc w:val="both"/>
        <w:rPr>
          <w:rFonts w:cs="Times New Roman"/>
          <w:noProof/>
        </w:rPr>
      </w:pPr>
      <w:r>
        <w:rPr>
          <w:noProof/>
        </w:rPr>
        <w:t xml:space="preserve">L'objectif de cette réforme est l'adoption du cadre juridique pour la participation des unités de stockage au marché de l'électricité. La réforme consiste à adopter le cadre visant à soutenir les projets autonomes de stockage par batterie ainsi que les installations de stockage combinées à de nouvelles installations d’énergie renouvelable, et à adopter les décisions réglementaires permettant la participation des unités de stockage aux marchés de l’électricité. </w:t>
      </w:r>
    </w:p>
    <w:p w14:paraId="1C3CDE24" w14:textId="0B0199E9" w:rsidR="00A00259" w:rsidRDefault="00371282">
      <w:pPr>
        <w:pStyle w:val="P68B1DB1-Normal7"/>
        <w:spacing w:before="120" w:after="120" w:line="240" w:lineRule="auto"/>
        <w:jc w:val="both"/>
        <w:rPr>
          <w:rFonts w:cs="Times New Roman"/>
          <w:noProof/>
        </w:rPr>
      </w:pPr>
      <w:r>
        <w:rPr>
          <w:b/>
          <w:noProof/>
        </w:rPr>
        <w:t>Réforme:</w:t>
      </w:r>
      <w:r>
        <w:rPr>
          <w:noProof/>
        </w:rPr>
        <w:t xml:space="preserve"> Cadre réglementaire pour un réseau intelligent (mesure ID: 16991)</w:t>
      </w:r>
    </w:p>
    <w:p w14:paraId="6622BA0E" w14:textId="6127CE3A" w:rsidR="00A00259" w:rsidRDefault="00371282">
      <w:pPr>
        <w:pStyle w:val="NormalWeb"/>
        <w:spacing w:before="120" w:after="120" w:line="240" w:lineRule="auto"/>
        <w:jc w:val="both"/>
        <w:rPr>
          <w:noProof/>
        </w:rPr>
      </w:pPr>
      <w:r>
        <w:rPr>
          <w:noProof/>
        </w:rPr>
        <w:t xml:space="preserve">L’objectif de la mesure est d’investir dans des technologies et des pratiques de réseau intelligent sur le marché grec de l’électricité. Cette mesure consiste à adopter des réformes visant à encourager l’utilisation de compteurs intelligents et à établir un cadre de tarification dynamique pour les consommateurs finaux. </w:t>
      </w:r>
    </w:p>
    <w:p w14:paraId="5D48A704" w14:textId="77777777" w:rsidR="00A00259" w:rsidRDefault="00371282">
      <w:pPr>
        <w:pStyle w:val="P68B1DB1-Normal5"/>
        <w:spacing w:before="120" w:after="120" w:line="240" w:lineRule="auto"/>
        <w:jc w:val="both"/>
        <w:rPr>
          <w:rFonts w:cs="Times New Roman"/>
          <w:noProof/>
          <w:szCs w:val="24"/>
        </w:rPr>
      </w:pPr>
      <w:r>
        <w:rPr>
          <w:b/>
          <w:noProof/>
        </w:rPr>
        <w:t xml:space="preserve">Réforme: </w:t>
      </w:r>
      <w:r>
        <w:rPr>
          <w:noProof/>
        </w:rPr>
        <w:t>Ensemble d’outils pour promouvoir le partage d’énergie, l’autoconsommation et les communautés d’énergie renouvelable (mesure ID: 16992)</w:t>
      </w:r>
    </w:p>
    <w:p w14:paraId="473C2EED" w14:textId="77777777" w:rsidR="00A00259" w:rsidRDefault="00371282">
      <w:pPr>
        <w:pStyle w:val="P68B1DB1-Normal5"/>
        <w:spacing w:before="120" w:after="120" w:line="240" w:lineRule="auto"/>
        <w:jc w:val="both"/>
        <w:rPr>
          <w:rFonts w:cs="Times New Roman"/>
          <w:noProof/>
        </w:rPr>
      </w:pPr>
      <w:r>
        <w:rPr>
          <w:noProof/>
          <w:szCs w:val="24"/>
        </w:rPr>
        <w:t xml:space="preserve">L’objectif de cette réforme est d’encourager le partage de l’énergie. La réforme consiste notamment à faciliter l’installation de stations SER dans les bâtiments, à mettre en place un cadre </w:t>
      </w:r>
      <w:r>
        <w:rPr>
          <w:noProof/>
        </w:rPr>
        <w:t>réglementaire pour l’autoconsommation d’énergie et à soutenir les communautés d’énergie renouvelable.</w:t>
      </w:r>
    </w:p>
    <w:p w14:paraId="6AE11835" w14:textId="77777777" w:rsidR="00A00259" w:rsidRDefault="00371282">
      <w:pPr>
        <w:pStyle w:val="P68B1DB1-Normal5"/>
        <w:spacing w:before="120" w:after="120" w:line="240" w:lineRule="auto"/>
        <w:jc w:val="both"/>
        <w:rPr>
          <w:rFonts w:cs="Times New Roman"/>
          <w:noProof/>
        </w:rPr>
      </w:pPr>
      <w:r>
        <w:rPr>
          <w:b/>
          <w:noProof/>
        </w:rPr>
        <w:t xml:space="preserve">Réforme: </w:t>
      </w:r>
      <w:r>
        <w:rPr>
          <w:noProof/>
        </w:rPr>
        <w:t>Feuille de route pour des interventions innovantes en matière d’efficacité énergétique et identification de nouveaux instruments financiers (mesure ID: 16993)</w:t>
      </w:r>
    </w:p>
    <w:p w14:paraId="586A887D" w14:textId="77777777" w:rsidR="00A00259" w:rsidRDefault="00371282">
      <w:pPr>
        <w:pStyle w:val="P68B1DB1-Normal7"/>
        <w:spacing w:before="120" w:after="120" w:line="240" w:lineRule="auto"/>
        <w:jc w:val="both"/>
        <w:rPr>
          <w:noProof/>
        </w:rPr>
      </w:pPr>
      <w:r>
        <w:rPr>
          <w:noProof/>
        </w:rPr>
        <w:t xml:space="preserve">L’objectif de cette réforme est d’établir une feuille de route pour des interventions innovantes en matière d’efficacité énergétique afin de stimuler la rénovation en profondeur des logements et des bâtiments industriels. </w:t>
      </w:r>
    </w:p>
    <w:p w14:paraId="0A02F828" w14:textId="77777777" w:rsidR="00A00259" w:rsidRDefault="00371282">
      <w:pPr>
        <w:pStyle w:val="P68B1DB1-Normal7"/>
        <w:spacing w:before="120" w:after="120" w:line="240" w:lineRule="auto"/>
        <w:jc w:val="both"/>
        <w:rPr>
          <w:rFonts w:cs="Times New Roman"/>
          <w:noProof/>
        </w:rPr>
      </w:pPr>
      <w:r>
        <w:rPr>
          <w:noProof/>
        </w:rPr>
        <w:t xml:space="preserve">La réforme consiste en i) une feuille de route définissant des interventions innovantes en matière d’efficacité énergétique; et ii) le lancement d’un instrument financier pour l’efficacité énergétique fondé sur des sources financières autres que les subventions. </w:t>
      </w:r>
    </w:p>
    <w:p w14:paraId="2EF6DAB8" w14:textId="77777777" w:rsidR="00A00259" w:rsidRDefault="00A00259">
      <w:pPr>
        <w:spacing w:before="120" w:after="120" w:line="240" w:lineRule="auto"/>
        <w:jc w:val="both"/>
        <w:rPr>
          <w:rFonts w:ascii="Times New Roman" w:hAnsi="Times New Roman" w:cs="Times New Roman"/>
          <w:noProof/>
          <w:sz w:val="24"/>
        </w:rPr>
      </w:pPr>
    </w:p>
    <w:p w14:paraId="4F31838F" w14:textId="77777777" w:rsidR="00A00259" w:rsidRDefault="00A00259">
      <w:pPr>
        <w:spacing w:before="120" w:after="120" w:line="240" w:lineRule="auto"/>
        <w:jc w:val="both"/>
        <w:rPr>
          <w:rFonts w:ascii="Times New Roman" w:hAnsi="Times New Roman" w:cs="Times New Roman"/>
          <w:noProof/>
          <w:sz w:val="24"/>
        </w:rPr>
        <w:sectPr w:rsidR="00A00259">
          <w:headerReference w:type="even" r:id="rId384"/>
          <w:headerReference w:type="default" r:id="rId385"/>
          <w:footerReference w:type="even" r:id="rId386"/>
          <w:footerReference w:type="default" r:id="rId387"/>
          <w:headerReference w:type="first" r:id="rId388"/>
          <w:footerReference w:type="first" r:id="rId389"/>
          <w:pgSz w:w="11907" w:h="16839"/>
          <w:pgMar w:top="1134" w:right="1134" w:bottom="1134" w:left="1134" w:header="567" w:footer="567" w:gutter="0"/>
          <w:cols w:space="720"/>
          <w:docGrid w:linePitch="360"/>
        </w:sectPr>
      </w:pPr>
    </w:p>
    <w:p w14:paraId="3990E010" w14:textId="77777777" w:rsidR="00A00259" w:rsidRDefault="00371282">
      <w:pPr>
        <w:pStyle w:val="P68B1DB1-Normal6"/>
        <w:keepNext/>
        <w:keepLines/>
        <w:spacing w:before="240" w:after="0" w:line="240" w:lineRule="auto"/>
        <w:jc w:val="both"/>
        <w:outlineLvl w:val="4"/>
        <w:rPr>
          <w:rFonts w:ascii="Cambria" w:eastAsia="Times New Roman" w:hAnsi="Cambria"/>
          <w:noProof/>
          <w:color w:val="365F91"/>
        </w:rPr>
      </w:pPr>
      <w:r>
        <w:rPr>
          <w:noProof/>
        </w:rPr>
        <w:t>T.2. Étapes, cibles, indicateurs et calendrier pour le suivi et la mise en œuvre du soutien financier non remboursable</w:t>
      </w:r>
    </w:p>
    <w:p w14:paraId="05F09ADC" w14:textId="7F14AB72" w:rsidR="00A00259" w:rsidRDefault="00371282">
      <w:pPr>
        <w:pStyle w:val="P68B1DB1-Normal9"/>
        <w:keepNext/>
        <w:keepLines/>
        <w:spacing w:before="240" w:after="240" w:line="240" w:lineRule="auto"/>
        <w:jc w:val="both"/>
        <w:outlineLvl w:val="4"/>
        <w:rPr>
          <w:rFonts w:eastAsia="Times New Roman"/>
          <w:noProof/>
          <w:szCs w:val="24"/>
        </w:rPr>
      </w:pPr>
      <w:r>
        <w:rPr>
          <w:noProof/>
        </w:rPr>
        <w:t xml:space="preserve">Réforme 1: Cadre d’octroi de licences pour l’hydrogène renouvelable et le biométhane durable (mesure ID: 16987) </w:t>
      </w:r>
    </w:p>
    <w:tbl>
      <w:tblPr>
        <w:tblW w:w="14312" w:type="dxa"/>
        <w:tblLook w:val="04A0" w:firstRow="1" w:lastRow="0" w:firstColumn="1" w:lastColumn="0" w:noHBand="0" w:noVBand="1"/>
      </w:tblPr>
      <w:tblGrid>
        <w:gridCol w:w="675"/>
        <w:gridCol w:w="2014"/>
        <w:gridCol w:w="1134"/>
        <w:gridCol w:w="1275"/>
        <w:gridCol w:w="1134"/>
        <w:gridCol w:w="993"/>
        <w:gridCol w:w="1134"/>
        <w:gridCol w:w="850"/>
        <w:gridCol w:w="986"/>
        <w:gridCol w:w="850"/>
        <w:gridCol w:w="3402"/>
      </w:tblGrid>
      <w:tr w:rsidR="00A00259" w14:paraId="35E62BAC" w14:textId="77777777">
        <w:trPr>
          <w:trHeight w:val="540"/>
          <w:tblHeader/>
        </w:trPr>
        <w:tc>
          <w:tcPr>
            <w:tcW w:w="675"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7A71A39D" w14:textId="77777777" w:rsidR="00A00259" w:rsidRDefault="00371282">
            <w:pPr>
              <w:pStyle w:val="P68B1DB1-Normal15"/>
              <w:spacing w:before="120" w:after="120" w:line="240" w:lineRule="auto"/>
              <w:jc w:val="center"/>
              <w:rPr>
                <w:rFonts w:eastAsia="Times New Roman"/>
                <w:bCs/>
                <w:noProof/>
              </w:rPr>
            </w:pPr>
            <w:r>
              <w:rPr>
                <w:noProof/>
              </w:rPr>
              <w:t xml:space="preserve">Seq. </w:t>
            </w:r>
            <w:r>
              <w:rPr>
                <w:noProof/>
              </w:rPr>
              <w:br/>
              <w:t>Non.</w:t>
            </w:r>
          </w:p>
        </w:tc>
        <w:tc>
          <w:tcPr>
            <w:tcW w:w="2014"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749EB8FD" w14:textId="77777777" w:rsidR="00A00259" w:rsidRDefault="00371282">
            <w:pPr>
              <w:pStyle w:val="P68B1DB1-Normal10"/>
              <w:spacing w:before="120" w:after="120" w:line="240" w:lineRule="auto"/>
              <w:jc w:val="center"/>
              <w:rPr>
                <w:rFonts w:eastAsia="Times New Roman" w:cs="Times New Roman"/>
                <w:bCs/>
                <w:noProof/>
                <w:szCs w:val="18"/>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082BC4F7" w14:textId="77777777" w:rsidR="00A00259" w:rsidRDefault="00371282">
            <w:pPr>
              <w:pStyle w:val="P68B1DB1-Normal10"/>
              <w:spacing w:before="120" w:after="120" w:line="240" w:lineRule="auto"/>
              <w:jc w:val="center"/>
              <w:rPr>
                <w:rFonts w:eastAsia="Times New Roman" w:cs="Times New Roman"/>
                <w:bCs/>
                <w:noProof/>
                <w:szCs w:val="18"/>
              </w:rPr>
            </w:pPr>
            <w:r>
              <w:rPr>
                <w:noProof/>
              </w:rPr>
              <w:t>Étape/cible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122FDF5F" w14:textId="77777777" w:rsidR="00A00259" w:rsidRDefault="00371282">
            <w:pPr>
              <w:pStyle w:val="P68B1DB1-Normal10"/>
              <w:spacing w:before="120" w:after="120" w:line="240" w:lineRule="auto"/>
              <w:jc w:val="center"/>
              <w:rPr>
                <w:rFonts w:eastAsia="Times New Roman" w:cs="Times New Roman"/>
                <w:bCs/>
                <w:noProof/>
                <w:szCs w:val="18"/>
              </w:rPr>
            </w:pPr>
            <w:r>
              <w:rPr>
                <w:noProof/>
              </w:rPr>
              <w:t>Nom</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5198F65C" w14:textId="77777777" w:rsidR="00A00259" w:rsidRDefault="00371282">
            <w:pPr>
              <w:pStyle w:val="P68B1DB1-Normal10"/>
              <w:spacing w:before="120" w:after="120" w:line="240" w:lineRule="auto"/>
              <w:jc w:val="center"/>
              <w:rPr>
                <w:rFonts w:eastAsia="Times New Roman" w:cs="Times New Roman"/>
                <w:bCs/>
                <w:noProof/>
                <w:szCs w:val="18"/>
              </w:rPr>
            </w:pPr>
            <w:r>
              <w:rPr>
                <w:noProof/>
              </w:rPr>
              <w:t>Indicateurs qualitatifs (pour les jalons)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noWrap/>
            <w:vAlign w:val="center"/>
          </w:tcPr>
          <w:p w14:paraId="742FFFC2" w14:textId="77777777" w:rsidR="00A00259" w:rsidRDefault="00371282">
            <w:pPr>
              <w:pStyle w:val="P68B1DB1-Normal10"/>
              <w:spacing w:before="120" w:after="120" w:line="240" w:lineRule="auto"/>
              <w:jc w:val="center"/>
              <w:rPr>
                <w:rFonts w:eastAsia="Times New Roman" w:cs="Times New Roman"/>
                <w:bCs/>
                <w:noProof/>
                <w:szCs w:val="18"/>
              </w:rPr>
            </w:pPr>
            <w:r>
              <w:rPr>
                <w:noProof/>
              </w:rPr>
              <w:t>Indicateurs quantitatifs (pour les objectifs)</w:t>
            </w:r>
          </w:p>
        </w:tc>
        <w:tc>
          <w:tcPr>
            <w:tcW w:w="1701" w:type="dxa"/>
            <w:gridSpan w:val="2"/>
            <w:tcBorders>
              <w:top w:val="single" w:sz="4" w:space="0" w:color="auto"/>
              <w:left w:val="nil"/>
              <w:bottom w:val="single" w:sz="4" w:space="0" w:color="auto"/>
              <w:right w:val="single" w:sz="4" w:space="0" w:color="auto"/>
            </w:tcBorders>
            <w:shd w:val="clear" w:color="auto" w:fill="BDD7EE"/>
            <w:noWrap/>
          </w:tcPr>
          <w:p w14:paraId="7073BB98" w14:textId="77777777" w:rsidR="00A00259" w:rsidRDefault="00371282">
            <w:pPr>
              <w:pStyle w:val="P68B1DB1-Normal10"/>
              <w:spacing w:before="120" w:after="120" w:line="240" w:lineRule="auto"/>
              <w:jc w:val="center"/>
              <w:rPr>
                <w:rFonts w:eastAsia="Times New Roman" w:cs="Times New Roman"/>
                <w:bCs/>
                <w:noProof/>
                <w:szCs w:val="18"/>
              </w:rPr>
            </w:pPr>
            <w:r>
              <w:rPr>
                <w:noProof/>
              </w:rPr>
              <w:t>Calendrier indicatif d'achèvement</w:t>
            </w:r>
          </w:p>
        </w:tc>
        <w:tc>
          <w:tcPr>
            <w:tcW w:w="3402" w:type="dxa"/>
            <w:vMerge w:val="restart"/>
            <w:tcBorders>
              <w:top w:val="single" w:sz="4" w:space="0" w:color="auto"/>
              <w:left w:val="nil"/>
              <w:bottom w:val="single" w:sz="4" w:space="0" w:color="auto"/>
              <w:right w:val="single" w:sz="4" w:space="0" w:color="auto"/>
            </w:tcBorders>
            <w:shd w:val="clear" w:color="auto" w:fill="BDD7EE"/>
            <w:noWrap/>
          </w:tcPr>
          <w:p w14:paraId="22F0BBD1"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p w14:paraId="086215AC" w14:textId="77777777" w:rsidR="00A00259" w:rsidRDefault="00371282">
            <w:pPr>
              <w:pStyle w:val="P68B1DB1-Normal10"/>
              <w:spacing w:before="120" w:after="120" w:line="240" w:lineRule="auto"/>
              <w:jc w:val="center"/>
              <w:rPr>
                <w:rFonts w:eastAsia="Times New Roman" w:cs="Times New Roman"/>
                <w:bCs/>
                <w:noProof/>
                <w:szCs w:val="18"/>
              </w:rPr>
            </w:pPr>
            <w:r>
              <w:rPr>
                <w:noProof/>
              </w:rPr>
              <w:t>Description de chaque jalon et cible</w:t>
            </w:r>
          </w:p>
        </w:tc>
      </w:tr>
      <w:tr w:rsidR="00A00259" w14:paraId="42268D80" w14:textId="77777777">
        <w:trPr>
          <w:trHeight w:val="557"/>
        </w:trPr>
        <w:tc>
          <w:tcPr>
            <w:tcW w:w="675" w:type="dxa"/>
            <w:vMerge/>
            <w:tcBorders>
              <w:top w:val="single" w:sz="4" w:space="0" w:color="auto"/>
              <w:left w:val="single" w:sz="4" w:space="0" w:color="auto"/>
              <w:bottom w:val="single" w:sz="4" w:space="0" w:color="auto"/>
              <w:right w:val="single" w:sz="4" w:space="0" w:color="auto"/>
            </w:tcBorders>
            <w:noWrap/>
            <w:vAlign w:val="center"/>
          </w:tcPr>
          <w:p w14:paraId="5A262433" w14:textId="77777777" w:rsidR="00A00259" w:rsidRDefault="00A00259">
            <w:pPr>
              <w:spacing w:after="0" w:line="240" w:lineRule="auto"/>
              <w:rPr>
                <w:rFonts w:ascii="Times New Roman" w:eastAsia="Times New Roman" w:hAnsi="Times New Roman" w:cs="Times New Roman"/>
                <w:b/>
                <w:bCs/>
                <w:noProof/>
                <w:sz w:val="18"/>
                <w:szCs w:val="18"/>
              </w:rPr>
            </w:pPr>
          </w:p>
        </w:tc>
        <w:tc>
          <w:tcPr>
            <w:tcW w:w="2014" w:type="dxa"/>
            <w:vMerge/>
            <w:tcBorders>
              <w:top w:val="single" w:sz="4" w:space="0" w:color="auto"/>
              <w:left w:val="single" w:sz="4" w:space="0" w:color="auto"/>
              <w:bottom w:val="single" w:sz="4" w:space="0" w:color="auto"/>
              <w:right w:val="single" w:sz="4" w:space="0" w:color="auto"/>
            </w:tcBorders>
            <w:noWrap/>
            <w:vAlign w:val="center"/>
          </w:tcPr>
          <w:p w14:paraId="044793A5" w14:textId="77777777" w:rsidR="00A00259" w:rsidRDefault="00A00259">
            <w:pPr>
              <w:spacing w:after="0" w:line="240" w:lineRule="auto"/>
              <w:rPr>
                <w:rFonts w:ascii="Times New Roman" w:eastAsia="Times New Roman" w:hAnsi="Times New Roman" w:cs="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noWrap/>
            <w:vAlign w:val="center"/>
          </w:tcPr>
          <w:p w14:paraId="48F7CF9F" w14:textId="77777777" w:rsidR="00A00259" w:rsidRDefault="00A00259">
            <w:pPr>
              <w:spacing w:after="0" w:line="240" w:lineRule="auto"/>
              <w:rPr>
                <w:rFonts w:ascii="Times New Roman" w:eastAsia="Times New Roman" w:hAnsi="Times New Roman" w:cs="Times New Roman"/>
                <w:b/>
                <w:bCs/>
                <w:noProof/>
                <w:sz w:val="18"/>
                <w:szCs w:val="18"/>
              </w:rPr>
            </w:pPr>
          </w:p>
        </w:tc>
        <w:tc>
          <w:tcPr>
            <w:tcW w:w="1275" w:type="dxa"/>
            <w:vMerge/>
            <w:tcBorders>
              <w:top w:val="single" w:sz="4" w:space="0" w:color="auto"/>
              <w:left w:val="single" w:sz="4" w:space="0" w:color="auto"/>
              <w:bottom w:val="single" w:sz="4" w:space="0" w:color="auto"/>
              <w:right w:val="single" w:sz="4" w:space="0" w:color="auto"/>
            </w:tcBorders>
            <w:noWrap/>
            <w:vAlign w:val="center"/>
          </w:tcPr>
          <w:p w14:paraId="65E4E6D1" w14:textId="77777777" w:rsidR="00A00259" w:rsidRDefault="00A00259">
            <w:pPr>
              <w:spacing w:after="0" w:line="240" w:lineRule="auto"/>
              <w:rPr>
                <w:rFonts w:ascii="Times New Roman" w:eastAsia="Times New Roman" w:hAnsi="Times New Roman" w:cs="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noWrap/>
            <w:vAlign w:val="center"/>
          </w:tcPr>
          <w:p w14:paraId="1977DAE3" w14:textId="77777777" w:rsidR="00A00259" w:rsidRDefault="00A00259">
            <w:pPr>
              <w:spacing w:after="0" w:line="240" w:lineRule="auto"/>
              <w:rPr>
                <w:rFonts w:ascii="Times New Roman" w:eastAsia="Times New Roman" w:hAnsi="Times New Roman" w:cs="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2614ECB7" w14:textId="77777777" w:rsidR="00A00259" w:rsidRDefault="00371282">
            <w:pPr>
              <w:pStyle w:val="P68B1DB1-Normal10"/>
              <w:spacing w:before="120" w:after="120" w:line="240" w:lineRule="auto"/>
              <w:jc w:val="center"/>
              <w:rPr>
                <w:rFonts w:eastAsia="Times New Roman" w:cs="Times New Roman"/>
                <w:bCs/>
                <w:noProof/>
                <w:szCs w:val="18"/>
              </w:rPr>
            </w:pPr>
            <w:r>
              <w:rPr>
                <w:noProof/>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tcPr>
          <w:p w14:paraId="0BC9EF71" w14:textId="77777777" w:rsidR="00A00259" w:rsidRDefault="00371282">
            <w:pPr>
              <w:pStyle w:val="P68B1DB1-Normal10"/>
              <w:spacing w:before="120" w:after="120" w:line="240" w:lineRule="auto"/>
              <w:jc w:val="center"/>
              <w:rPr>
                <w:rFonts w:eastAsia="Times New Roman" w:cs="Times New Roman"/>
                <w:bCs/>
                <w:noProof/>
                <w:szCs w:val="18"/>
              </w:rPr>
            </w:pPr>
            <w:r>
              <w:rPr>
                <w:noProof/>
              </w:rPr>
              <w:t>Données de référence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tcPr>
          <w:p w14:paraId="5CF3760D" w14:textId="77777777" w:rsidR="00A00259" w:rsidRDefault="00371282">
            <w:pPr>
              <w:pStyle w:val="P68B1DB1-Normal10"/>
              <w:spacing w:before="120" w:after="120" w:line="240" w:lineRule="auto"/>
              <w:jc w:val="center"/>
              <w:rPr>
                <w:rFonts w:eastAsia="Times New Roman" w:cs="Times New Roman"/>
                <w:bCs/>
                <w:noProof/>
                <w:szCs w:val="18"/>
              </w:rPr>
            </w:pPr>
            <w:r>
              <w:rPr>
                <w:noProof/>
              </w:rPr>
              <w:t>Objectif</w:t>
            </w:r>
          </w:p>
        </w:tc>
        <w:tc>
          <w:tcPr>
            <w:tcW w:w="851" w:type="dxa"/>
            <w:tcBorders>
              <w:top w:val="single" w:sz="4" w:space="0" w:color="auto"/>
              <w:left w:val="single" w:sz="4" w:space="0" w:color="auto"/>
              <w:bottom w:val="single" w:sz="4" w:space="0" w:color="auto"/>
              <w:right w:val="single" w:sz="4" w:space="0" w:color="auto"/>
            </w:tcBorders>
            <w:shd w:val="clear" w:color="auto" w:fill="BDD7EE"/>
            <w:noWrap/>
          </w:tcPr>
          <w:p w14:paraId="0304ACD0" w14:textId="77777777" w:rsidR="00A00259" w:rsidRDefault="00371282">
            <w:pPr>
              <w:pStyle w:val="P68B1DB1-Normal10"/>
              <w:spacing w:before="120" w:after="120" w:line="240" w:lineRule="auto"/>
              <w:jc w:val="center"/>
              <w:rPr>
                <w:rFonts w:eastAsia="Times New Roman" w:cs="Times New Roman"/>
                <w:bCs/>
                <w:noProof/>
                <w:szCs w:val="18"/>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DD7EE"/>
          </w:tcPr>
          <w:p w14:paraId="6566641A" w14:textId="77777777" w:rsidR="00A00259" w:rsidRDefault="00371282">
            <w:pPr>
              <w:pStyle w:val="P68B1DB1-Normal10"/>
              <w:spacing w:before="120" w:after="120" w:line="240" w:lineRule="auto"/>
              <w:jc w:val="center"/>
              <w:rPr>
                <w:rFonts w:eastAsia="Times New Roman" w:cs="Times New Roman"/>
                <w:bCs/>
                <w:noProof/>
                <w:szCs w:val="18"/>
              </w:rPr>
            </w:pPr>
            <w:r>
              <w:rPr>
                <w:noProof/>
              </w:rPr>
              <w:t>Année</w:t>
            </w:r>
          </w:p>
        </w:tc>
        <w:tc>
          <w:tcPr>
            <w:tcW w:w="3402" w:type="dxa"/>
            <w:vMerge/>
            <w:tcBorders>
              <w:top w:val="single" w:sz="4" w:space="0" w:color="auto"/>
              <w:left w:val="single" w:sz="4" w:space="0" w:color="auto"/>
              <w:bottom w:val="single" w:sz="4" w:space="0" w:color="auto"/>
              <w:right w:val="single" w:sz="4" w:space="0" w:color="auto"/>
            </w:tcBorders>
            <w:noWrap/>
          </w:tcPr>
          <w:p w14:paraId="241B30A9"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57B6B4AF" w14:textId="77777777">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5C0F33A0" w14:textId="77777777" w:rsidR="00A00259" w:rsidRDefault="00371282">
            <w:pPr>
              <w:pStyle w:val="P68B1DB1-Normal12"/>
              <w:spacing w:after="0" w:line="240" w:lineRule="auto"/>
              <w:rPr>
                <w:rFonts w:eastAsia="Times New Roman"/>
                <w:noProof/>
              </w:rPr>
            </w:pPr>
            <w:r>
              <w:rPr>
                <w:noProof/>
              </w:rPr>
              <w:t>351</w:t>
            </w:r>
          </w:p>
        </w:tc>
        <w:tc>
          <w:tcPr>
            <w:tcW w:w="2014" w:type="dxa"/>
            <w:tcBorders>
              <w:top w:val="single" w:sz="4" w:space="0" w:color="auto"/>
              <w:left w:val="nil"/>
              <w:bottom w:val="single" w:sz="4" w:space="0" w:color="auto"/>
              <w:right w:val="single" w:sz="4" w:space="0" w:color="auto"/>
            </w:tcBorders>
            <w:shd w:val="clear" w:color="auto" w:fill="C6EFCE"/>
            <w:noWrap/>
          </w:tcPr>
          <w:p w14:paraId="4E3C6FF2" w14:textId="77777777" w:rsidR="00A00259" w:rsidRDefault="00371282">
            <w:pPr>
              <w:pStyle w:val="P68B1DB1-Normal12"/>
              <w:spacing w:after="0" w:line="240" w:lineRule="auto"/>
              <w:rPr>
                <w:rFonts w:eastAsia="Times New Roman"/>
                <w:noProof/>
              </w:rPr>
            </w:pPr>
            <w:r>
              <w:rPr>
                <w:noProof/>
              </w:rPr>
              <w:t>20 - 5.1. Réformes REPowerEU - 16987_Cadre d’octroi de licences pour l’hydrogène renouvelable et le biométhane durable</w:t>
            </w:r>
          </w:p>
        </w:tc>
        <w:tc>
          <w:tcPr>
            <w:tcW w:w="1134" w:type="dxa"/>
            <w:tcBorders>
              <w:top w:val="single" w:sz="4" w:space="0" w:color="auto"/>
              <w:left w:val="nil"/>
              <w:bottom w:val="single" w:sz="4" w:space="0" w:color="auto"/>
              <w:right w:val="single" w:sz="4" w:space="0" w:color="auto"/>
            </w:tcBorders>
            <w:shd w:val="clear" w:color="auto" w:fill="C6EFCE"/>
            <w:noWrap/>
          </w:tcPr>
          <w:p w14:paraId="7F9F6330" w14:textId="77777777" w:rsidR="00A00259" w:rsidRDefault="00371282">
            <w:pPr>
              <w:pStyle w:val="P68B1DB1-Normal12"/>
              <w:spacing w:after="0" w:line="240" w:lineRule="auto"/>
              <w:rPr>
                <w:rFonts w:eastAsia="Times New Roman"/>
                <w:noProof/>
              </w:rPr>
            </w:pPr>
            <w:r>
              <w:rPr>
                <w:noProof/>
              </w:rPr>
              <w:t>Étape</w:t>
            </w:r>
          </w:p>
        </w:tc>
        <w:tc>
          <w:tcPr>
            <w:tcW w:w="1275" w:type="dxa"/>
            <w:tcBorders>
              <w:top w:val="single" w:sz="4" w:space="0" w:color="auto"/>
              <w:left w:val="nil"/>
              <w:bottom w:val="single" w:sz="4" w:space="0" w:color="auto"/>
              <w:right w:val="single" w:sz="4" w:space="0" w:color="auto"/>
            </w:tcBorders>
            <w:shd w:val="clear" w:color="auto" w:fill="C6EFCE"/>
            <w:noWrap/>
          </w:tcPr>
          <w:p w14:paraId="20AD2532" w14:textId="77777777" w:rsidR="00A00259" w:rsidRDefault="00371282">
            <w:pPr>
              <w:pStyle w:val="P68B1DB1-Normal12"/>
              <w:spacing w:after="0" w:line="240" w:lineRule="auto"/>
              <w:rPr>
                <w:rFonts w:eastAsia="Times New Roman"/>
                <w:noProof/>
              </w:rPr>
            </w:pPr>
            <w:r>
              <w:rPr>
                <w:noProof/>
              </w:rPr>
              <w:t>Cadre législatif pour l’hydrogène renouvelable et le biométhane durable</w:t>
            </w:r>
          </w:p>
        </w:tc>
        <w:tc>
          <w:tcPr>
            <w:tcW w:w="1134" w:type="dxa"/>
            <w:tcBorders>
              <w:top w:val="single" w:sz="4" w:space="0" w:color="auto"/>
              <w:left w:val="nil"/>
              <w:bottom w:val="single" w:sz="4" w:space="0" w:color="auto"/>
              <w:right w:val="single" w:sz="4" w:space="0" w:color="auto"/>
            </w:tcBorders>
            <w:shd w:val="clear" w:color="auto" w:fill="C6EFCE"/>
            <w:noWrap/>
          </w:tcPr>
          <w:p w14:paraId="2D78B346" w14:textId="77777777" w:rsidR="00A00259" w:rsidRDefault="00371282">
            <w:pPr>
              <w:pStyle w:val="P68B1DB1-Normal12"/>
              <w:spacing w:after="0" w:line="240" w:lineRule="auto"/>
              <w:rPr>
                <w:rFonts w:eastAsia="Times New Roman"/>
                <w:noProof/>
              </w:rPr>
            </w:pPr>
            <w:r>
              <w:rPr>
                <w:noProof/>
              </w:rPr>
              <w:t xml:space="preserve">Entrée en vigueur de la législation </w:t>
            </w:r>
          </w:p>
        </w:tc>
        <w:tc>
          <w:tcPr>
            <w:tcW w:w="993" w:type="dxa"/>
            <w:tcBorders>
              <w:top w:val="single" w:sz="4" w:space="0" w:color="auto"/>
              <w:left w:val="nil"/>
              <w:bottom w:val="single" w:sz="4" w:space="0" w:color="auto"/>
              <w:right w:val="single" w:sz="4" w:space="0" w:color="auto"/>
            </w:tcBorders>
            <w:shd w:val="clear" w:color="auto" w:fill="C6EFCE"/>
            <w:noWrap/>
          </w:tcPr>
          <w:p w14:paraId="0A82628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470B275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0" w:type="dxa"/>
            <w:tcBorders>
              <w:top w:val="single" w:sz="4" w:space="0" w:color="auto"/>
              <w:left w:val="nil"/>
              <w:bottom w:val="single" w:sz="4" w:space="0" w:color="auto"/>
              <w:right w:val="single" w:sz="4" w:space="0" w:color="auto"/>
            </w:tcBorders>
            <w:shd w:val="clear" w:color="auto" w:fill="C6EFCE"/>
            <w:noWrap/>
          </w:tcPr>
          <w:p w14:paraId="11F215D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tcBorders>
              <w:top w:val="single" w:sz="4" w:space="0" w:color="auto"/>
              <w:left w:val="nil"/>
              <w:bottom w:val="single" w:sz="4" w:space="0" w:color="auto"/>
              <w:right w:val="single" w:sz="4" w:space="0" w:color="auto"/>
            </w:tcBorders>
            <w:shd w:val="clear" w:color="auto" w:fill="C6EFCE"/>
            <w:noWrap/>
          </w:tcPr>
          <w:p w14:paraId="0F3BD682" w14:textId="77777777" w:rsidR="00A00259" w:rsidRDefault="00371282">
            <w:pPr>
              <w:pStyle w:val="P68B1DB1-Normal12"/>
              <w:spacing w:after="0" w:line="240" w:lineRule="auto"/>
              <w:rPr>
                <w:rFonts w:eastAsia="Times New Roman"/>
                <w:noProof/>
              </w:rPr>
            </w:pPr>
            <w:r>
              <w:rPr>
                <w:noProof/>
              </w:rPr>
              <w:t>T2</w:t>
            </w:r>
          </w:p>
        </w:tc>
        <w:tc>
          <w:tcPr>
            <w:tcW w:w="850" w:type="dxa"/>
            <w:tcBorders>
              <w:top w:val="single" w:sz="4" w:space="0" w:color="auto"/>
              <w:left w:val="nil"/>
              <w:bottom w:val="single" w:sz="4" w:space="0" w:color="auto"/>
              <w:right w:val="single" w:sz="4" w:space="0" w:color="auto"/>
            </w:tcBorders>
            <w:shd w:val="clear" w:color="auto" w:fill="C6EFCE"/>
            <w:noWrap/>
          </w:tcPr>
          <w:p w14:paraId="05A0FC11" w14:textId="77777777" w:rsidR="00A00259" w:rsidRDefault="00371282">
            <w:pPr>
              <w:pStyle w:val="P68B1DB1-Normal12"/>
              <w:spacing w:after="0" w:line="240" w:lineRule="auto"/>
              <w:rPr>
                <w:rFonts w:eastAsia="Times New Roman"/>
                <w:noProof/>
              </w:rPr>
            </w:pPr>
            <w:r>
              <w:rPr>
                <w:noProof/>
              </w:rPr>
              <w:t>2024</w:t>
            </w:r>
          </w:p>
        </w:tc>
        <w:tc>
          <w:tcPr>
            <w:tcW w:w="3402" w:type="dxa"/>
            <w:tcBorders>
              <w:top w:val="single" w:sz="4" w:space="0" w:color="auto"/>
              <w:left w:val="nil"/>
              <w:bottom w:val="single" w:sz="4" w:space="0" w:color="auto"/>
              <w:right w:val="single" w:sz="4" w:space="0" w:color="auto"/>
            </w:tcBorders>
            <w:shd w:val="clear" w:color="auto" w:fill="C6EFCE"/>
            <w:noWrap/>
          </w:tcPr>
          <w:p w14:paraId="0BF2CC8E" w14:textId="77777777" w:rsidR="00A00259" w:rsidRDefault="00371282">
            <w:pPr>
              <w:pStyle w:val="P68B1DB1-Normal12"/>
              <w:spacing w:after="0" w:line="240" w:lineRule="auto"/>
              <w:rPr>
                <w:noProof/>
              </w:rPr>
            </w:pPr>
            <w:r>
              <w:rPr>
                <w:noProof/>
              </w:rPr>
              <w:t xml:space="preserve">Entrée en vigueur de la législation (primaire et secondaire) relative au soutien à l’hydrogène renouvelable et au biométhane durable. </w:t>
            </w:r>
          </w:p>
          <w:p w14:paraId="7C9E15C9" w14:textId="77777777" w:rsidR="00A00259" w:rsidRDefault="00371282">
            <w:pPr>
              <w:pStyle w:val="P68B1DB1-Normal12"/>
              <w:spacing w:after="0" w:line="240" w:lineRule="auto"/>
              <w:rPr>
                <w:rFonts w:eastAsia="Times New Roman"/>
                <w:noProof/>
              </w:rPr>
            </w:pPr>
            <w:r>
              <w:rPr>
                <w:noProof/>
              </w:rPr>
              <w:t>La législation comprend: la promotion de la production et de la consommation d’hydrogène renouvelable et de biométhane durable, y compris la spécification des procédures d’octroi de licences et d’autorisation, les dispositions relatives à l’aménagement du territoire, la définition des spécifications techniques pour le transport, le stockage et l’injection dans le réseau, la clarification des rôles des différentes parties prenantes, ainsi que des autorités publiques concernées, tout en garantissant un mécanisme permettant de certifier que l’hydrogène produit serait renouvelable et le biométhane durable, conformément aux récentes dispositions des actes délégués RED II.</w:t>
            </w:r>
          </w:p>
        </w:tc>
      </w:tr>
    </w:tbl>
    <w:p w14:paraId="173E705F" w14:textId="77777777" w:rsidR="00A00259" w:rsidRDefault="00A00259">
      <w:pPr>
        <w:rPr>
          <w:noProof/>
        </w:rPr>
      </w:pPr>
    </w:p>
    <w:p w14:paraId="5169BB56" w14:textId="77777777" w:rsidR="00A00259" w:rsidRDefault="00371282">
      <w:pPr>
        <w:pStyle w:val="P68B1DB1-Normal9"/>
        <w:spacing w:after="0" w:line="240" w:lineRule="auto"/>
        <w:rPr>
          <w:noProof/>
          <w:color w:val="365F91" w:themeColor="accent1" w:themeShade="BF"/>
        </w:rPr>
      </w:pPr>
      <w:r>
        <w:rPr>
          <w:noProof/>
        </w:rPr>
        <w:br w:type="page"/>
      </w:r>
    </w:p>
    <w:p w14:paraId="6044AF60" w14:textId="77777777" w:rsidR="00A00259" w:rsidRDefault="00371282">
      <w:pPr>
        <w:pStyle w:val="P68B1DB1-Normal9"/>
        <w:keepNext/>
        <w:keepLines/>
        <w:spacing w:before="240" w:after="0" w:line="240" w:lineRule="auto"/>
        <w:jc w:val="both"/>
        <w:outlineLvl w:val="4"/>
        <w:rPr>
          <w:noProof/>
          <w:color w:val="365F91" w:themeColor="accent1" w:themeShade="BF"/>
        </w:rPr>
      </w:pPr>
      <w:r>
        <w:rPr>
          <w:noProof/>
        </w:rPr>
        <w:t>Réforme 2: Optimisation de l’utilisation de l’espace terrestre et maritime pour le développement des énergies renouvelables et de l’énergie éolienne en mer (mesure ID: 16989)</w:t>
      </w:r>
    </w:p>
    <w:tbl>
      <w:tblPr>
        <w:tblW w:w="14454"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93"/>
        <w:gridCol w:w="2126"/>
        <w:gridCol w:w="1134"/>
        <w:gridCol w:w="1559"/>
        <w:gridCol w:w="1418"/>
        <w:gridCol w:w="992"/>
        <w:gridCol w:w="992"/>
        <w:gridCol w:w="851"/>
        <w:gridCol w:w="992"/>
        <w:gridCol w:w="709"/>
        <w:gridCol w:w="2888"/>
      </w:tblGrid>
      <w:tr w:rsidR="00A00259" w14:paraId="7FB1F447" w14:textId="77777777" w:rsidTr="00096954">
        <w:trPr>
          <w:trHeight w:val="844"/>
          <w:tblHeader/>
          <w:jc w:val="center"/>
        </w:trPr>
        <w:tc>
          <w:tcPr>
            <w:tcW w:w="793" w:type="dxa"/>
            <w:vMerge w:val="restart"/>
            <w:shd w:val="clear" w:color="auto" w:fill="BDD7EE"/>
            <w:vAlign w:val="center"/>
            <w:hideMark/>
          </w:tcPr>
          <w:p w14:paraId="4608ED9C" w14:textId="77777777" w:rsidR="00A00259" w:rsidRDefault="00371282">
            <w:pPr>
              <w:pStyle w:val="P68B1DB1-Normal15"/>
              <w:spacing w:before="120" w:after="120" w:line="240" w:lineRule="auto"/>
              <w:jc w:val="center"/>
              <w:rPr>
                <w:noProof/>
              </w:rPr>
            </w:pPr>
            <w:r>
              <w:rPr>
                <w:noProof/>
              </w:rPr>
              <w:t xml:space="preserve">Seq. </w:t>
            </w:r>
            <w:r>
              <w:rPr>
                <w:noProof/>
              </w:rPr>
              <w:br/>
              <w:t>Non.</w:t>
            </w:r>
          </w:p>
        </w:tc>
        <w:tc>
          <w:tcPr>
            <w:tcW w:w="2126" w:type="dxa"/>
            <w:vMerge w:val="restart"/>
            <w:shd w:val="clear" w:color="auto" w:fill="BDD7EE"/>
            <w:vAlign w:val="center"/>
            <w:hideMark/>
          </w:tcPr>
          <w:p w14:paraId="5F905D8D" w14:textId="77777777" w:rsidR="00A00259" w:rsidRDefault="00371282">
            <w:pPr>
              <w:pStyle w:val="P68B1DB1-Normal10"/>
              <w:spacing w:before="120" w:after="120" w:line="240" w:lineRule="auto"/>
              <w:jc w:val="center"/>
              <w:rPr>
                <w:rFonts w:cs="Times New Roman"/>
                <w:noProof/>
                <w:szCs w:val="18"/>
              </w:rPr>
            </w:pPr>
            <w:r>
              <w:rPr>
                <w:noProof/>
              </w:rPr>
              <w:t>Mesure connexe (réforme ou investissement)</w:t>
            </w:r>
          </w:p>
        </w:tc>
        <w:tc>
          <w:tcPr>
            <w:tcW w:w="1134" w:type="dxa"/>
            <w:vMerge w:val="restart"/>
            <w:shd w:val="clear" w:color="auto" w:fill="BDD7EE"/>
            <w:vAlign w:val="center"/>
            <w:hideMark/>
          </w:tcPr>
          <w:p w14:paraId="4061C8EF" w14:textId="77777777" w:rsidR="00A00259" w:rsidRDefault="00371282">
            <w:pPr>
              <w:pStyle w:val="P68B1DB1-Normal10"/>
              <w:spacing w:before="120" w:after="120" w:line="240" w:lineRule="auto"/>
              <w:jc w:val="center"/>
              <w:rPr>
                <w:rFonts w:cs="Times New Roman"/>
                <w:noProof/>
                <w:szCs w:val="18"/>
              </w:rPr>
            </w:pPr>
            <w:r>
              <w:rPr>
                <w:noProof/>
              </w:rPr>
              <w:t>Étape/cible</w:t>
            </w:r>
          </w:p>
        </w:tc>
        <w:tc>
          <w:tcPr>
            <w:tcW w:w="1559" w:type="dxa"/>
            <w:vMerge w:val="restart"/>
            <w:shd w:val="clear" w:color="auto" w:fill="BDD7EE"/>
            <w:vAlign w:val="center"/>
            <w:hideMark/>
          </w:tcPr>
          <w:p w14:paraId="02664315" w14:textId="77777777" w:rsidR="00A00259" w:rsidRDefault="00371282">
            <w:pPr>
              <w:pStyle w:val="P68B1DB1-Normal10"/>
              <w:spacing w:before="120" w:after="120" w:line="240" w:lineRule="auto"/>
              <w:jc w:val="center"/>
              <w:rPr>
                <w:rFonts w:cs="Times New Roman"/>
                <w:noProof/>
                <w:szCs w:val="18"/>
              </w:rPr>
            </w:pPr>
            <w:r>
              <w:rPr>
                <w:noProof/>
              </w:rPr>
              <w:t>Nom</w:t>
            </w:r>
          </w:p>
        </w:tc>
        <w:tc>
          <w:tcPr>
            <w:tcW w:w="1418" w:type="dxa"/>
            <w:vMerge w:val="restart"/>
            <w:shd w:val="clear" w:color="auto" w:fill="BDD7EE"/>
            <w:vAlign w:val="center"/>
            <w:hideMark/>
          </w:tcPr>
          <w:p w14:paraId="28283055" w14:textId="77777777" w:rsidR="00A00259" w:rsidRDefault="00371282">
            <w:pPr>
              <w:pStyle w:val="P68B1DB1-Normal10"/>
              <w:spacing w:before="120" w:after="120" w:line="240" w:lineRule="auto"/>
              <w:jc w:val="center"/>
              <w:rPr>
                <w:rFonts w:cs="Times New Roman"/>
                <w:noProof/>
                <w:szCs w:val="18"/>
              </w:rPr>
            </w:pPr>
            <w:r>
              <w:rPr>
                <w:noProof/>
              </w:rPr>
              <w:t>Indicateurs qualitatifs (pour les jalons)</w:t>
            </w:r>
          </w:p>
        </w:tc>
        <w:tc>
          <w:tcPr>
            <w:tcW w:w="2835" w:type="dxa"/>
            <w:gridSpan w:val="3"/>
            <w:shd w:val="clear" w:color="auto" w:fill="BDD7EE"/>
            <w:vAlign w:val="center"/>
            <w:hideMark/>
          </w:tcPr>
          <w:p w14:paraId="28D2ED19" w14:textId="77777777" w:rsidR="00A00259" w:rsidRDefault="00371282">
            <w:pPr>
              <w:pStyle w:val="P68B1DB1-Normal10"/>
              <w:spacing w:before="120" w:after="120" w:line="240" w:lineRule="auto"/>
              <w:jc w:val="center"/>
              <w:rPr>
                <w:rFonts w:cs="Times New Roman"/>
                <w:noProof/>
                <w:szCs w:val="18"/>
              </w:rPr>
            </w:pPr>
            <w:r>
              <w:rPr>
                <w:noProof/>
              </w:rPr>
              <w:t>Indicateurs quantitatifs (pour les objectifs)</w:t>
            </w:r>
          </w:p>
        </w:tc>
        <w:tc>
          <w:tcPr>
            <w:tcW w:w="1701" w:type="dxa"/>
            <w:gridSpan w:val="2"/>
            <w:shd w:val="clear" w:color="auto" w:fill="BDD7EE"/>
            <w:vAlign w:val="center"/>
            <w:hideMark/>
          </w:tcPr>
          <w:p w14:paraId="3EDE95C0" w14:textId="77777777" w:rsidR="00A00259" w:rsidRDefault="00371282">
            <w:pPr>
              <w:pStyle w:val="P68B1DB1-Normal10"/>
              <w:spacing w:before="120" w:after="120" w:line="240" w:lineRule="auto"/>
              <w:jc w:val="center"/>
              <w:rPr>
                <w:rFonts w:cs="Times New Roman"/>
                <w:noProof/>
                <w:szCs w:val="18"/>
              </w:rPr>
            </w:pPr>
            <w:r>
              <w:rPr>
                <w:noProof/>
              </w:rPr>
              <w:t>Calendrier indicatif d'achèvement</w:t>
            </w:r>
          </w:p>
        </w:tc>
        <w:tc>
          <w:tcPr>
            <w:tcW w:w="2888" w:type="dxa"/>
            <w:vMerge w:val="restart"/>
            <w:shd w:val="clear" w:color="auto" w:fill="BDD7EE"/>
            <w:vAlign w:val="center"/>
            <w:hideMark/>
          </w:tcPr>
          <w:p w14:paraId="7C23AD08" w14:textId="77777777" w:rsidR="00A00259" w:rsidRDefault="00371282">
            <w:pPr>
              <w:pStyle w:val="P68B1DB1-Normal10"/>
              <w:spacing w:before="120" w:after="120" w:line="240" w:lineRule="auto"/>
              <w:jc w:val="center"/>
              <w:rPr>
                <w:rFonts w:cs="Times New Roman"/>
                <w:noProof/>
                <w:szCs w:val="18"/>
              </w:rPr>
            </w:pPr>
            <w:r>
              <w:rPr>
                <w:noProof/>
              </w:rPr>
              <w:t>Description de chaque jalon et cible</w:t>
            </w:r>
          </w:p>
        </w:tc>
      </w:tr>
      <w:tr w:rsidR="00A00259" w14:paraId="6591E3D5" w14:textId="77777777" w:rsidTr="00096954">
        <w:trPr>
          <w:trHeight w:val="277"/>
          <w:tblHeader/>
          <w:jc w:val="center"/>
        </w:trPr>
        <w:tc>
          <w:tcPr>
            <w:tcW w:w="793" w:type="dxa"/>
            <w:vMerge/>
            <w:vAlign w:val="center"/>
          </w:tcPr>
          <w:p w14:paraId="68F5490B"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2126" w:type="dxa"/>
            <w:vMerge/>
            <w:vAlign w:val="center"/>
          </w:tcPr>
          <w:p w14:paraId="25001193"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134" w:type="dxa"/>
            <w:vMerge/>
            <w:vAlign w:val="center"/>
          </w:tcPr>
          <w:p w14:paraId="0EAF016F"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559" w:type="dxa"/>
            <w:vMerge/>
            <w:vAlign w:val="center"/>
          </w:tcPr>
          <w:p w14:paraId="6AD6A84F"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418" w:type="dxa"/>
            <w:vMerge/>
            <w:vAlign w:val="center"/>
          </w:tcPr>
          <w:p w14:paraId="4803C640"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992" w:type="dxa"/>
            <w:shd w:val="clear" w:color="auto" w:fill="BDD7EE"/>
            <w:vAlign w:val="center"/>
          </w:tcPr>
          <w:p w14:paraId="53D96049" w14:textId="77777777" w:rsidR="00A00259" w:rsidRDefault="00371282">
            <w:pPr>
              <w:pStyle w:val="P68B1DB1-Normal10"/>
              <w:spacing w:before="120" w:after="120" w:line="240" w:lineRule="auto"/>
              <w:jc w:val="center"/>
              <w:rPr>
                <w:rFonts w:eastAsia="Times New Roman" w:cs="Times New Roman"/>
                <w:bCs/>
                <w:noProof/>
                <w:szCs w:val="18"/>
              </w:rPr>
            </w:pPr>
            <w:r>
              <w:rPr>
                <w:noProof/>
              </w:rPr>
              <w:t>Unité de mesure</w:t>
            </w:r>
          </w:p>
        </w:tc>
        <w:tc>
          <w:tcPr>
            <w:tcW w:w="992" w:type="dxa"/>
            <w:shd w:val="clear" w:color="auto" w:fill="BDD7EE"/>
            <w:vAlign w:val="center"/>
          </w:tcPr>
          <w:p w14:paraId="554FC4F5" w14:textId="77777777" w:rsidR="00A00259" w:rsidRDefault="00371282">
            <w:pPr>
              <w:pStyle w:val="P68B1DB1-Normal10"/>
              <w:spacing w:before="120" w:after="120" w:line="240" w:lineRule="auto"/>
              <w:jc w:val="center"/>
              <w:rPr>
                <w:rFonts w:eastAsia="Times New Roman" w:cs="Times New Roman"/>
                <w:bCs/>
                <w:noProof/>
                <w:szCs w:val="18"/>
              </w:rPr>
            </w:pPr>
            <w:r>
              <w:rPr>
                <w:noProof/>
              </w:rPr>
              <w:t>Données de référence</w:t>
            </w:r>
          </w:p>
        </w:tc>
        <w:tc>
          <w:tcPr>
            <w:tcW w:w="851" w:type="dxa"/>
            <w:shd w:val="clear" w:color="auto" w:fill="BDD7EE"/>
            <w:vAlign w:val="center"/>
          </w:tcPr>
          <w:p w14:paraId="7043CF2E" w14:textId="77777777" w:rsidR="00A00259" w:rsidRDefault="00371282">
            <w:pPr>
              <w:pStyle w:val="P68B1DB1-Normal10"/>
              <w:spacing w:before="120" w:after="120" w:line="240" w:lineRule="auto"/>
              <w:jc w:val="center"/>
              <w:rPr>
                <w:rFonts w:eastAsia="Times New Roman" w:cs="Times New Roman"/>
                <w:bCs/>
                <w:noProof/>
                <w:szCs w:val="18"/>
              </w:rPr>
            </w:pPr>
            <w:r>
              <w:rPr>
                <w:noProof/>
              </w:rPr>
              <w:t>Objectif</w:t>
            </w:r>
          </w:p>
        </w:tc>
        <w:tc>
          <w:tcPr>
            <w:tcW w:w="992" w:type="dxa"/>
            <w:shd w:val="clear" w:color="auto" w:fill="BDD7EE"/>
            <w:vAlign w:val="center"/>
          </w:tcPr>
          <w:p w14:paraId="7470124A" w14:textId="77777777" w:rsidR="00A00259" w:rsidRDefault="00371282">
            <w:pPr>
              <w:pStyle w:val="P68B1DB1-Normal10"/>
              <w:spacing w:before="120" w:after="120" w:line="240" w:lineRule="auto"/>
              <w:jc w:val="center"/>
              <w:rPr>
                <w:rFonts w:eastAsia="Times New Roman" w:cs="Times New Roman"/>
                <w:bCs/>
                <w:noProof/>
                <w:szCs w:val="18"/>
              </w:rPr>
            </w:pPr>
            <w:r>
              <w:rPr>
                <w:noProof/>
              </w:rPr>
              <w:t>Trimestre</w:t>
            </w:r>
          </w:p>
        </w:tc>
        <w:tc>
          <w:tcPr>
            <w:tcW w:w="709" w:type="dxa"/>
            <w:shd w:val="clear" w:color="auto" w:fill="BDD7EE"/>
            <w:vAlign w:val="center"/>
          </w:tcPr>
          <w:p w14:paraId="0A7AA762" w14:textId="77777777" w:rsidR="00A00259" w:rsidRDefault="00371282">
            <w:pPr>
              <w:pStyle w:val="P68B1DB1-Normal10"/>
              <w:spacing w:before="120" w:after="120" w:line="240" w:lineRule="auto"/>
              <w:jc w:val="center"/>
              <w:rPr>
                <w:rFonts w:eastAsia="Times New Roman" w:cs="Times New Roman"/>
                <w:bCs/>
                <w:noProof/>
                <w:szCs w:val="18"/>
              </w:rPr>
            </w:pPr>
            <w:r>
              <w:rPr>
                <w:noProof/>
              </w:rPr>
              <w:t>Année</w:t>
            </w:r>
          </w:p>
        </w:tc>
        <w:tc>
          <w:tcPr>
            <w:tcW w:w="2888" w:type="dxa"/>
            <w:vMerge/>
            <w:vAlign w:val="center"/>
          </w:tcPr>
          <w:p w14:paraId="1E740FE1"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r>
      <w:tr w:rsidR="00A00259" w14:paraId="05F72930" w14:textId="77777777" w:rsidTr="00096954">
        <w:trPr>
          <w:jc w:val="center"/>
        </w:trPr>
        <w:tc>
          <w:tcPr>
            <w:tcW w:w="793" w:type="dxa"/>
            <w:shd w:val="clear" w:color="auto" w:fill="C6EFCE"/>
            <w:noWrap/>
          </w:tcPr>
          <w:p w14:paraId="28DE4BF4" w14:textId="77777777" w:rsidR="00A00259" w:rsidRDefault="00371282">
            <w:pPr>
              <w:pStyle w:val="P68B1DB1-Normal12"/>
              <w:spacing w:after="0" w:line="240" w:lineRule="auto"/>
              <w:rPr>
                <w:rFonts w:eastAsia="Times New Roman"/>
                <w:noProof/>
              </w:rPr>
            </w:pPr>
            <w:r>
              <w:rPr>
                <w:noProof/>
              </w:rPr>
              <w:t>353</w:t>
            </w:r>
          </w:p>
        </w:tc>
        <w:tc>
          <w:tcPr>
            <w:tcW w:w="2126" w:type="dxa"/>
            <w:shd w:val="clear" w:color="auto" w:fill="C6EFCE"/>
            <w:noWrap/>
          </w:tcPr>
          <w:p w14:paraId="7314A6DB" w14:textId="77777777" w:rsidR="00A00259" w:rsidRDefault="00371282">
            <w:pPr>
              <w:pStyle w:val="P68B1DB1-Normal12"/>
              <w:spacing w:after="120" w:line="240" w:lineRule="auto"/>
              <w:rPr>
                <w:noProof/>
              </w:rPr>
            </w:pPr>
            <w:r>
              <w:rPr>
                <w:noProof/>
              </w:rPr>
              <w:t>20 - 5.1. REPowerEU reforms - 16989_Optimisation de l'utilisation de l'espace terrestre et maritime pour le développement des énergies renouvelables et de l'énergie éolienne en mer</w:t>
            </w:r>
          </w:p>
        </w:tc>
        <w:tc>
          <w:tcPr>
            <w:tcW w:w="1134" w:type="dxa"/>
            <w:shd w:val="clear" w:color="auto" w:fill="C6EFCE"/>
            <w:noWrap/>
          </w:tcPr>
          <w:p w14:paraId="7A5209E1" w14:textId="77777777" w:rsidR="00A00259" w:rsidRDefault="00371282">
            <w:pPr>
              <w:pStyle w:val="P68B1DB1-Normal12"/>
              <w:spacing w:after="120" w:line="240" w:lineRule="auto"/>
              <w:rPr>
                <w:noProof/>
              </w:rPr>
            </w:pPr>
            <w:r>
              <w:rPr>
                <w:noProof/>
              </w:rPr>
              <w:t>Étape</w:t>
            </w:r>
          </w:p>
        </w:tc>
        <w:tc>
          <w:tcPr>
            <w:tcW w:w="1559" w:type="dxa"/>
            <w:shd w:val="clear" w:color="auto" w:fill="C6EFCE"/>
            <w:noWrap/>
          </w:tcPr>
          <w:p w14:paraId="3851F35A" w14:textId="77777777" w:rsidR="00A00259" w:rsidRDefault="00371282">
            <w:pPr>
              <w:pStyle w:val="P68B1DB1-Normal12"/>
              <w:spacing w:after="0" w:line="240" w:lineRule="auto"/>
              <w:rPr>
                <w:noProof/>
              </w:rPr>
            </w:pPr>
            <w:r>
              <w:rPr>
                <w:noProof/>
              </w:rPr>
              <w:t>Identification des zones pour les sources d'énergie renouvelables et cadre pour le double usage des terres pour l'agriculture et le photovoltaïque</w:t>
            </w:r>
          </w:p>
        </w:tc>
        <w:tc>
          <w:tcPr>
            <w:tcW w:w="1418" w:type="dxa"/>
            <w:shd w:val="clear" w:color="auto" w:fill="C6EFCE"/>
            <w:noWrap/>
          </w:tcPr>
          <w:p w14:paraId="3AF18BDA" w14:textId="523443A2" w:rsidR="00A00259" w:rsidRDefault="00371282">
            <w:pPr>
              <w:pStyle w:val="P68B1DB1-Normal12"/>
              <w:spacing w:after="120" w:line="240" w:lineRule="auto"/>
              <w:rPr>
                <w:rFonts w:eastAsia="Times New Roman"/>
                <w:noProof/>
                <w:highlight w:val="yellow"/>
              </w:rPr>
            </w:pPr>
            <w:r>
              <w:rPr>
                <w:noProof/>
              </w:rPr>
              <w:t>Acte(s) juridique(s)</w:t>
            </w:r>
          </w:p>
        </w:tc>
        <w:tc>
          <w:tcPr>
            <w:tcW w:w="992" w:type="dxa"/>
            <w:shd w:val="clear" w:color="auto" w:fill="C6EFCE"/>
            <w:noWrap/>
          </w:tcPr>
          <w:p w14:paraId="5F8F00F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0C24C43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7989676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27517F77" w14:textId="77777777" w:rsidR="00A00259" w:rsidRDefault="00371282">
            <w:pPr>
              <w:pStyle w:val="P68B1DB1-Normal12"/>
              <w:spacing w:after="120" w:line="240" w:lineRule="auto"/>
              <w:rPr>
                <w:rFonts w:eastAsia="Times New Roman"/>
                <w:noProof/>
              </w:rPr>
            </w:pPr>
            <w:r>
              <w:rPr>
                <w:noProof/>
              </w:rPr>
              <w:t>T4</w:t>
            </w:r>
          </w:p>
        </w:tc>
        <w:tc>
          <w:tcPr>
            <w:tcW w:w="709" w:type="dxa"/>
            <w:shd w:val="clear" w:color="auto" w:fill="C6EFCE"/>
            <w:noWrap/>
          </w:tcPr>
          <w:p w14:paraId="7C93BAFD" w14:textId="77777777" w:rsidR="00A00259" w:rsidRDefault="00371282">
            <w:pPr>
              <w:pStyle w:val="P68B1DB1-Normal12"/>
              <w:spacing w:after="120" w:line="240" w:lineRule="auto"/>
              <w:rPr>
                <w:rFonts w:eastAsia="Times New Roman"/>
                <w:noProof/>
              </w:rPr>
            </w:pPr>
            <w:r>
              <w:rPr>
                <w:noProof/>
              </w:rPr>
              <w:t>2024</w:t>
            </w:r>
          </w:p>
        </w:tc>
        <w:tc>
          <w:tcPr>
            <w:tcW w:w="2888" w:type="dxa"/>
            <w:shd w:val="clear" w:color="auto" w:fill="C6EFCE"/>
            <w:noWrap/>
          </w:tcPr>
          <w:p w14:paraId="4A79760B" w14:textId="77777777" w:rsidR="00A00259" w:rsidRDefault="00371282">
            <w:pPr>
              <w:pStyle w:val="P68B1DB1-Normal12"/>
              <w:spacing w:after="0" w:line="240" w:lineRule="auto"/>
              <w:rPr>
                <w:rFonts w:eastAsia="Times New Roman"/>
                <w:noProof/>
              </w:rPr>
            </w:pPr>
            <w:r>
              <w:rPr>
                <w:noProof/>
              </w:rPr>
              <w:t>Entrée en vigueur de l'acte juridique, identifiant:</w:t>
            </w:r>
          </w:p>
          <w:p w14:paraId="30B260D5" w14:textId="77777777" w:rsidR="00A00259" w:rsidRDefault="00371282">
            <w:pPr>
              <w:pStyle w:val="P68B1DB1-ListParagraph34"/>
              <w:numPr>
                <w:ilvl w:val="0"/>
                <w:numId w:val="87"/>
              </w:numPr>
              <w:spacing w:after="0" w:line="240" w:lineRule="auto"/>
              <w:rPr>
                <w:noProof/>
              </w:rPr>
            </w:pPr>
            <w:r>
              <w:rPr>
                <w:noProof/>
              </w:rPr>
              <w:t>Potentiel des sources d'énergie renouvelables;</w:t>
            </w:r>
          </w:p>
          <w:p w14:paraId="4639A73E" w14:textId="77777777" w:rsidR="00A00259" w:rsidRDefault="00371282">
            <w:pPr>
              <w:pStyle w:val="P68B1DB1-ListParagraph34"/>
              <w:numPr>
                <w:ilvl w:val="0"/>
                <w:numId w:val="87"/>
              </w:numPr>
              <w:spacing w:after="0" w:line="240" w:lineRule="auto"/>
              <w:rPr>
                <w:noProof/>
              </w:rPr>
            </w:pPr>
            <w:r>
              <w:rPr>
                <w:noProof/>
              </w:rPr>
              <w:t>la répartition géographique des unités existantes de sources d’énergie renouvelables;</w:t>
            </w:r>
          </w:p>
          <w:p w14:paraId="2CD1C386" w14:textId="77777777" w:rsidR="00A00259" w:rsidRDefault="00371282">
            <w:pPr>
              <w:pStyle w:val="P68B1DB1-ListParagraph34"/>
              <w:numPr>
                <w:ilvl w:val="0"/>
                <w:numId w:val="87"/>
              </w:numPr>
              <w:spacing w:after="0" w:line="240" w:lineRule="auto"/>
              <w:rPr>
                <w:noProof/>
              </w:rPr>
            </w:pPr>
            <w:r>
              <w:rPr>
                <w:noProof/>
              </w:rPr>
              <w:t xml:space="preserve">permis pour les futures unités de sources d'énergie renouvelables. </w:t>
            </w:r>
          </w:p>
          <w:p w14:paraId="0646C8E5" w14:textId="77777777" w:rsidR="00A00259" w:rsidRDefault="00371282">
            <w:pPr>
              <w:pStyle w:val="P68B1DB1-Normal12"/>
              <w:spacing w:after="0" w:line="240" w:lineRule="auto"/>
              <w:rPr>
                <w:noProof/>
              </w:rPr>
            </w:pPr>
            <w:r>
              <w:rPr>
                <w:noProof/>
              </w:rPr>
              <w:t xml:space="preserve"> </w:t>
            </w:r>
          </w:p>
          <w:p w14:paraId="6495AB2B" w14:textId="77777777" w:rsidR="00A00259" w:rsidRDefault="00371282">
            <w:pPr>
              <w:pStyle w:val="P68B1DB1-Normal12"/>
              <w:spacing w:after="0" w:line="240" w:lineRule="auto"/>
              <w:rPr>
                <w:noProof/>
              </w:rPr>
            </w:pPr>
            <w:r>
              <w:rPr>
                <w:noProof/>
              </w:rPr>
              <w:t xml:space="preserve">Entrée en vigueur de l'acte juridique, identifiant: </w:t>
            </w:r>
          </w:p>
          <w:p w14:paraId="5CD47061" w14:textId="77777777" w:rsidR="00A00259" w:rsidRDefault="00371282">
            <w:pPr>
              <w:pStyle w:val="P68B1DB1-ListParagraph34"/>
              <w:numPr>
                <w:ilvl w:val="0"/>
                <w:numId w:val="88"/>
              </w:numPr>
              <w:spacing w:after="0" w:line="240" w:lineRule="auto"/>
              <w:rPr>
                <w:noProof/>
              </w:rPr>
            </w:pPr>
            <w:r>
              <w:rPr>
                <w:noProof/>
              </w:rPr>
              <w:t>des sites appropriés pour la mise en œuvre de l'agro-photovoltaïque;</w:t>
            </w:r>
          </w:p>
          <w:p w14:paraId="5CE81852" w14:textId="77777777" w:rsidR="00A00259" w:rsidRDefault="00371282">
            <w:pPr>
              <w:pStyle w:val="P68B1DB1-ListParagraph34"/>
              <w:numPr>
                <w:ilvl w:val="0"/>
                <w:numId w:val="88"/>
              </w:numPr>
              <w:spacing w:after="0" w:line="240" w:lineRule="auto"/>
              <w:rPr>
                <w:noProof/>
              </w:rPr>
            </w:pPr>
            <w:r>
              <w:rPr>
                <w:noProof/>
              </w:rPr>
              <w:t xml:space="preserve">actions de promotion de l'agro-photovoltaïque; </w:t>
            </w:r>
          </w:p>
          <w:p w14:paraId="654E3FEC" w14:textId="7D79F01C" w:rsidR="00A00259" w:rsidRDefault="00371282">
            <w:pPr>
              <w:pStyle w:val="P68B1DB1-ListParagraph34"/>
              <w:numPr>
                <w:ilvl w:val="0"/>
                <w:numId w:val="88"/>
              </w:numPr>
              <w:spacing w:after="0" w:line="240" w:lineRule="auto"/>
              <w:rPr>
                <w:rFonts w:eastAsia="Times New Roman"/>
                <w:noProof/>
              </w:rPr>
            </w:pPr>
            <w:r>
              <w:rPr>
                <w:noProof/>
              </w:rPr>
              <w:t>les règles relatives au double usage des terres et aux projets agro-photovoltaïques.</w:t>
            </w:r>
          </w:p>
        </w:tc>
      </w:tr>
      <w:tr w:rsidR="00A00259" w14:paraId="6805238C" w14:textId="77777777" w:rsidTr="00096954">
        <w:trPr>
          <w:jc w:val="center"/>
        </w:trPr>
        <w:tc>
          <w:tcPr>
            <w:tcW w:w="793" w:type="dxa"/>
            <w:shd w:val="clear" w:color="auto" w:fill="C6EFCE"/>
            <w:noWrap/>
          </w:tcPr>
          <w:p w14:paraId="75F3D1DA" w14:textId="77777777" w:rsidR="00A00259" w:rsidRDefault="00371282">
            <w:pPr>
              <w:pStyle w:val="P68B1DB1-Normal12"/>
              <w:spacing w:after="0" w:line="240" w:lineRule="auto"/>
              <w:rPr>
                <w:noProof/>
              </w:rPr>
            </w:pPr>
            <w:r>
              <w:rPr>
                <w:noProof/>
              </w:rPr>
              <w:t>354</w:t>
            </w:r>
          </w:p>
        </w:tc>
        <w:tc>
          <w:tcPr>
            <w:tcW w:w="2126" w:type="dxa"/>
            <w:shd w:val="clear" w:color="auto" w:fill="C6EFCE"/>
            <w:noWrap/>
          </w:tcPr>
          <w:p w14:paraId="25C699F9" w14:textId="77777777" w:rsidR="00A00259" w:rsidRDefault="00371282">
            <w:pPr>
              <w:pStyle w:val="P68B1DB1-Normal12"/>
              <w:spacing w:after="120" w:line="240" w:lineRule="auto"/>
              <w:rPr>
                <w:noProof/>
              </w:rPr>
            </w:pPr>
            <w:r>
              <w:rPr>
                <w:noProof/>
              </w:rPr>
              <w:t>20 - 5.1. REPowerEU reforms - 16989_Optimisation de l'utilisation de l'espace terrestre et maritime pour le développement des énergies renouvelables et de l'énergie éolienne en mer</w:t>
            </w:r>
          </w:p>
        </w:tc>
        <w:tc>
          <w:tcPr>
            <w:tcW w:w="1134" w:type="dxa"/>
            <w:shd w:val="clear" w:color="auto" w:fill="C6EFCE"/>
            <w:noWrap/>
          </w:tcPr>
          <w:p w14:paraId="4F0DB003" w14:textId="77777777" w:rsidR="00A00259" w:rsidRDefault="00371282">
            <w:pPr>
              <w:pStyle w:val="P68B1DB1-Normal12"/>
              <w:spacing w:after="120" w:line="240" w:lineRule="auto"/>
              <w:rPr>
                <w:noProof/>
              </w:rPr>
            </w:pPr>
            <w:r>
              <w:rPr>
                <w:noProof/>
              </w:rPr>
              <w:t>Étape</w:t>
            </w:r>
          </w:p>
        </w:tc>
        <w:tc>
          <w:tcPr>
            <w:tcW w:w="1559" w:type="dxa"/>
            <w:shd w:val="clear" w:color="auto" w:fill="C6EFCE"/>
            <w:noWrap/>
          </w:tcPr>
          <w:p w14:paraId="5B2632AA" w14:textId="46334023" w:rsidR="00A00259" w:rsidRDefault="00371282">
            <w:pPr>
              <w:pStyle w:val="P68B1DB1-Normal12"/>
              <w:spacing w:after="120" w:line="240" w:lineRule="auto"/>
              <w:rPr>
                <w:rFonts w:eastAsia="Times New Roman"/>
                <w:noProof/>
              </w:rPr>
            </w:pPr>
            <w:r>
              <w:rPr>
                <w:noProof/>
              </w:rPr>
              <w:t>Acte(s) juridique(s) relatif(s) aux parcs éoliens en mer et aux sources d’énergie renouvelables</w:t>
            </w:r>
          </w:p>
        </w:tc>
        <w:tc>
          <w:tcPr>
            <w:tcW w:w="1418" w:type="dxa"/>
            <w:shd w:val="clear" w:color="auto" w:fill="C6EFCE"/>
            <w:noWrap/>
          </w:tcPr>
          <w:p w14:paraId="637279D9" w14:textId="5B90CFF3" w:rsidR="00A00259" w:rsidRDefault="00371282">
            <w:pPr>
              <w:pStyle w:val="P68B1DB1-Normal12"/>
              <w:spacing w:after="120" w:line="240" w:lineRule="auto"/>
              <w:rPr>
                <w:noProof/>
              </w:rPr>
            </w:pPr>
            <w:r>
              <w:rPr>
                <w:noProof/>
              </w:rPr>
              <w:t>Entrée en vigueur du ou des actes juridiques</w:t>
            </w:r>
          </w:p>
        </w:tc>
        <w:tc>
          <w:tcPr>
            <w:tcW w:w="992" w:type="dxa"/>
            <w:shd w:val="clear" w:color="auto" w:fill="C6EFCE"/>
            <w:noWrap/>
          </w:tcPr>
          <w:p w14:paraId="39B96EB9" w14:textId="77777777" w:rsidR="00A00259" w:rsidRDefault="00A00259">
            <w:pPr>
              <w:spacing w:after="120" w:line="240" w:lineRule="auto"/>
              <w:rPr>
                <w:rFonts w:ascii="Times New Roman" w:hAnsi="Times New Roman" w:cs="Times New Roman"/>
                <w:noProof/>
                <w:sz w:val="18"/>
                <w:szCs w:val="18"/>
              </w:rPr>
            </w:pPr>
          </w:p>
        </w:tc>
        <w:tc>
          <w:tcPr>
            <w:tcW w:w="992" w:type="dxa"/>
            <w:shd w:val="clear" w:color="auto" w:fill="C6EFCE"/>
            <w:noWrap/>
          </w:tcPr>
          <w:p w14:paraId="19D97079" w14:textId="77777777" w:rsidR="00A00259" w:rsidRDefault="00A00259">
            <w:pPr>
              <w:spacing w:after="120" w:line="240" w:lineRule="auto"/>
              <w:rPr>
                <w:rFonts w:ascii="Times New Roman" w:hAnsi="Times New Roman" w:cs="Times New Roman"/>
                <w:noProof/>
                <w:sz w:val="18"/>
                <w:szCs w:val="18"/>
              </w:rPr>
            </w:pPr>
          </w:p>
        </w:tc>
        <w:tc>
          <w:tcPr>
            <w:tcW w:w="851" w:type="dxa"/>
            <w:shd w:val="clear" w:color="auto" w:fill="C6EFCE"/>
            <w:noWrap/>
          </w:tcPr>
          <w:p w14:paraId="45BC8D73" w14:textId="77777777" w:rsidR="00A00259" w:rsidRDefault="00A00259">
            <w:pPr>
              <w:spacing w:after="120" w:line="240" w:lineRule="auto"/>
              <w:rPr>
                <w:rFonts w:ascii="Times New Roman" w:hAnsi="Times New Roman" w:cs="Times New Roman"/>
                <w:noProof/>
                <w:sz w:val="18"/>
                <w:szCs w:val="18"/>
              </w:rPr>
            </w:pPr>
          </w:p>
        </w:tc>
        <w:tc>
          <w:tcPr>
            <w:tcW w:w="992" w:type="dxa"/>
            <w:shd w:val="clear" w:color="auto" w:fill="C6EFCE"/>
            <w:noWrap/>
          </w:tcPr>
          <w:p w14:paraId="6D8B5728" w14:textId="77777777" w:rsidR="00A00259" w:rsidRDefault="00371282">
            <w:pPr>
              <w:pStyle w:val="P68B1DB1-Normal12"/>
              <w:spacing w:after="120" w:line="240" w:lineRule="auto"/>
              <w:rPr>
                <w:rFonts w:eastAsia="Times New Roman"/>
                <w:noProof/>
              </w:rPr>
            </w:pPr>
            <w:r>
              <w:rPr>
                <w:noProof/>
              </w:rPr>
              <w:t>T4</w:t>
            </w:r>
          </w:p>
        </w:tc>
        <w:tc>
          <w:tcPr>
            <w:tcW w:w="709" w:type="dxa"/>
            <w:shd w:val="clear" w:color="auto" w:fill="C6EFCE"/>
            <w:noWrap/>
          </w:tcPr>
          <w:p w14:paraId="159B8654" w14:textId="77777777" w:rsidR="00A00259" w:rsidRDefault="00371282">
            <w:pPr>
              <w:pStyle w:val="P68B1DB1-Normal12"/>
              <w:spacing w:after="120" w:line="240" w:lineRule="auto"/>
              <w:rPr>
                <w:rFonts w:eastAsia="Times New Roman"/>
                <w:noProof/>
              </w:rPr>
            </w:pPr>
            <w:r>
              <w:rPr>
                <w:noProof/>
              </w:rPr>
              <w:t>2025</w:t>
            </w:r>
          </w:p>
        </w:tc>
        <w:tc>
          <w:tcPr>
            <w:tcW w:w="2888" w:type="dxa"/>
            <w:shd w:val="clear" w:color="auto" w:fill="C6EFCE"/>
            <w:noWrap/>
          </w:tcPr>
          <w:p w14:paraId="0A7D1478" w14:textId="5D86723F" w:rsidR="00A00259" w:rsidRDefault="00371282">
            <w:pPr>
              <w:pStyle w:val="P68B1DB1-Normal23"/>
              <w:spacing w:after="0" w:line="240" w:lineRule="auto"/>
              <w:rPr>
                <w:noProof/>
              </w:rPr>
            </w:pPr>
            <w:r>
              <w:rPr>
                <w:noProof/>
              </w:rPr>
              <w:t>En ce qui concerne le développement de l’éolien en mer:</w:t>
            </w:r>
          </w:p>
          <w:p w14:paraId="7B86EBCC" w14:textId="77777777" w:rsidR="00A00259" w:rsidRDefault="00A00259">
            <w:pPr>
              <w:spacing w:after="0" w:line="240" w:lineRule="auto"/>
              <w:rPr>
                <w:rFonts w:ascii="Times New Roman" w:eastAsia="Times New Roman" w:hAnsi="Times New Roman" w:cs="Times New Roman"/>
                <w:noProof/>
                <w:color w:val="006100"/>
                <w:sz w:val="18"/>
                <w:szCs w:val="18"/>
              </w:rPr>
            </w:pPr>
          </w:p>
          <w:p w14:paraId="0210F7C2" w14:textId="64C226CE" w:rsidR="00A00259" w:rsidRDefault="00371282">
            <w:pPr>
              <w:pStyle w:val="P68B1DB1-Normal23"/>
              <w:spacing w:after="0" w:line="240" w:lineRule="auto"/>
              <w:rPr>
                <w:noProof/>
              </w:rPr>
            </w:pPr>
            <w:r>
              <w:rPr>
                <w:noProof/>
              </w:rPr>
              <w:t xml:space="preserve">i) Création d’un véhicule à usage spécial (SPV) chargé de coordonner la collecte de données pour les parcs éoliens en mer: a) l ' inscription du SPV au registre des sociétés; b) la décision administrative définit le mandat, le champ d’activité et la structure de gouvernance de l’entité ad hoc; c) l’acte juridique alloue un financement à l’entité ad hoc. </w:t>
            </w:r>
          </w:p>
          <w:p w14:paraId="5FFD90B0" w14:textId="77777777" w:rsidR="00A00259" w:rsidRDefault="00A00259">
            <w:pPr>
              <w:spacing w:after="120" w:line="240" w:lineRule="auto"/>
              <w:rPr>
                <w:rFonts w:ascii="Times New Roman" w:eastAsia="Times New Roman" w:hAnsi="Times New Roman" w:cs="Times New Roman"/>
                <w:noProof/>
                <w:color w:val="006100"/>
                <w:sz w:val="18"/>
                <w:szCs w:val="18"/>
              </w:rPr>
            </w:pPr>
          </w:p>
          <w:p w14:paraId="1DA48729" w14:textId="77777777" w:rsidR="00A00259" w:rsidRDefault="00371282">
            <w:pPr>
              <w:pStyle w:val="P68B1DB1-Normal23"/>
              <w:spacing w:after="120" w:line="240" w:lineRule="auto"/>
              <w:rPr>
                <w:noProof/>
              </w:rPr>
            </w:pPr>
            <w:r>
              <w:rPr>
                <w:noProof/>
              </w:rPr>
              <w:t xml:space="preserve">ii) L’acte juridique prévoit la réservation d’espaces électriques pour des projets de parcs éoliens en mer d’une capacité totale estimée à 1,9 GW. </w:t>
            </w:r>
          </w:p>
          <w:p w14:paraId="7A529612" w14:textId="77777777" w:rsidR="00A00259" w:rsidRDefault="00A00259">
            <w:pPr>
              <w:spacing w:after="120" w:line="240" w:lineRule="auto"/>
              <w:rPr>
                <w:rFonts w:ascii="Times New Roman" w:hAnsi="Times New Roman" w:cs="Times New Roman"/>
                <w:noProof/>
                <w:sz w:val="18"/>
                <w:szCs w:val="18"/>
              </w:rPr>
            </w:pPr>
          </w:p>
          <w:p w14:paraId="4BE1E47E" w14:textId="77777777" w:rsidR="00A00259" w:rsidRDefault="00371282">
            <w:pPr>
              <w:pStyle w:val="P68B1DB1-Normal23"/>
              <w:spacing w:after="120" w:line="240" w:lineRule="auto"/>
              <w:rPr>
                <w:noProof/>
              </w:rPr>
            </w:pPr>
            <w:r>
              <w:rPr>
                <w:noProof/>
              </w:rPr>
              <w:t>iii) L’acte juridique définit le cadre des appels d’offres pour les parcs éoliens en mer.</w:t>
            </w:r>
          </w:p>
          <w:p w14:paraId="3407A33F" w14:textId="075789E7" w:rsidR="00A00259" w:rsidRDefault="00371282">
            <w:pPr>
              <w:pStyle w:val="P68B1DB1-Normal23"/>
              <w:spacing w:after="0" w:line="240" w:lineRule="auto"/>
              <w:rPr>
                <w:noProof/>
              </w:rPr>
            </w:pPr>
            <w:r>
              <w:rPr>
                <w:noProof/>
              </w:rPr>
              <w:t>En ce qui concerne le développement des sources d’énergie renouvelables d’origine terrestre:</w:t>
            </w:r>
          </w:p>
          <w:p w14:paraId="240E69D3" w14:textId="77777777" w:rsidR="00A00259" w:rsidRDefault="00A00259">
            <w:pPr>
              <w:spacing w:after="0" w:line="240" w:lineRule="auto"/>
              <w:rPr>
                <w:rFonts w:ascii="Times New Roman" w:eastAsia="Times New Roman" w:hAnsi="Times New Roman" w:cs="Times New Roman"/>
                <w:noProof/>
                <w:color w:val="006100"/>
                <w:sz w:val="18"/>
                <w:szCs w:val="18"/>
              </w:rPr>
            </w:pPr>
          </w:p>
          <w:p w14:paraId="57FE977F" w14:textId="47D7D7D9" w:rsidR="00A00259" w:rsidRDefault="00371282">
            <w:pPr>
              <w:pStyle w:val="P68B1DB1-Normal23"/>
              <w:spacing w:after="120" w:line="240" w:lineRule="auto"/>
              <w:rPr>
                <w:noProof/>
              </w:rPr>
            </w:pPr>
            <w:r>
              <w:rPr>
                <w:noProof/>
              </w:rPr>
              <w:t>i) L'acte juridique définit a) les domaines de développement des sources d'énergie renouvelables; et b) les zones d’accélération des sources d’énergie renouvelables en Grèce. Des évaluations environnementales stratégiques des zones d’accélération des sources d’énergie renouvelables sont réalisées.</w:t>
            </w:r>
          </w:p>
          <w:p w14:paraId="5D06C6CA" w14:textId="42780888" w:rsidR="00A00259" w:rsidRDefault="00371282">
            <w:pPr>
              <w:pStyle w:val="P68B1DB1-Normal23"/>
              <w:spacing w:after="120" w:line="240" w:lineRule="auto"/>
              <w:rPr>
                <w:noProof/>
              </w:rPr>
            </w:pPr>
            <w:r>
              <w:rPr>
                <w:noProof/>
              </w:rPr>
              <w:t>ii) Acte juridique qui encourage les projets de sources d’énergie renouvelables dans les zones d’accélération, permettant le déploiement des sources d’énergie renouvelables au-delà de 2030. Cela comprend l’établissement d’un cadre pour les zones d’accélération, y compris a) des durées limitées des procédures d’octroi de permis, ne dépassant pas 12 mois; et b) l’évaluation accélérée des incidences sur l’environnement dans les domaines liés à l’accélération.</w:t>
            </w:r>
          </w:p>
        </w:tc>
      </w:tr>
    </w:tbl>
    <w:p w14:paraId="2831AED7" w14:textId="77777777" w:rsidR="00A00259" w:rsidRDefault="00A00259">
      <w:pPr>
        <w:keepNext/>
        <w:keepLines/>
        <w:spacing w:before="240" w:after="0" w:line="240" w:lineRule="auto"/>
        <w:jc w:val="both"/>
        <w:outlineLvl w:val="4"/>
        <w:rPr>
          <w:rFonts w:ascii="Cambria" w:hAnsi="Cambria"/>
          <w:noProof/>
          <w:color w:val="365F91" w:themeColor="accent1" w:themeShade="BF"/>
          <w:sz w:val="24"/>
        </w:rPr>
        <w:sectPr w:rsidR="00A00259">
          <w:headerReference w:type="even" r:id="rId390"/>
          <w:headerReference w:type="default" r:id="rId391"/>
          <w:footerReference w:type="even" r:id="rId392"/>
          <w:footerReference w:type="default" r:id="rId393"/>
          <w:headerReference w:type="first" r:id="rId394"/>
          <w:footerReference w:type="first" r:id="rId395"/>
          <w:pgSz w:w="16839" w:h="11907" w:orient="landscape"/>
          <w:pgMar w:top="1134" w:right="1134" w:bottom="1134" w:left="1134" w:header="567" w:footer="567" w:gutter="0"/>
          <w:cols w:space="720"/>
          <w:docGrid w:linePitch="360"/>
        </w:sectPr>
      </w:pPr>
    </w:p>
    <w:p w14:paraId="150D470C" w14:textId="77777777" w:rsidR="00A00259" w:rsidRDefault="00371282">
      <w:pPr>
        <w:pStyle w:val="P68B1DB1-Normal9"/>
        <w:keepNext/>
        <w:keepLines/>
        <w:spacing w:before="240" w:after="0" w:line="240" w:lineRule="auto"/>
        <w:jc w:val="both"/>
        <w:outlineLvl w:val="4"/>
        <w:rPr>
          <w:rFonts w:eastAsia="Times New Roman"/>
          <w:noProof/>
          <w:color w:val="4F81BD" w:themeColor="accent1"/>
          <w:szCs w:val="24"/>
        </w:rPr>
      </w:pPr>
      <w:r>
        <w:rPr>
          <w:noProof/>
        </w:rPr>
        <w:t>Réforme 3: Cadre réglementaire et opérationnel du marché pour les technologies de captage, d’utilisation et de stockage du carbone afin de favoriser la décarbonation de l’industrie (mesure ID: 16988)</w:t>
      </w:r>
    </w:p>
    <w:tbl>
      <w:tblPr>
        <w:tblW w:w="15417" w:type="dxa"/>
        <w:tblLayout w:type="fixed"/>
        <w:tblLook w:val="04A0" w:firstRow="1" w:lastRow="0" w:firstColumn="1" w:lastColumn="0" w:noHBand="0" w:noVBand="1"/>
      </w:tblPr>
      <w:tblGrid>
        <w:gridCol w:w="588"/>
        <w:gridCol w:w="2781"/>
        <w:gridCol w:w="1134"/>
        <w:gridCol w:w="1275"/>
        <w:gridCol w:w="1701"/>
        <w:gridCol w:w="856"/>
        <w:gridCol w:w="24"/>
        <w:gridCol w:w="963"/>
        <w:gridCol w:w="992"/>
        <w:gridCol w:w="993"/>
        <w:gridCol w:w="850"/>
        <w:gridCol w:w="3260"/>
      </w:tblGrid>
      <w:tr w:rsidR="00A00259" w14:paraId="1F88F049" w14:textId="77777777" w:rsidTr="00096954">
        <w:trPr>
          <w:trHeight w:val="694"/>
          <w:tblHeader/>
        </w:trPr>
        <w:tc>
          <w:tcPr>
            <w:tcW w:w="5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6B6223" w14:textId="77777777" w:rsidR="00A00259" w:rsidRDefault="00371282">
            <w:pPr>
              <w:pStyle w:val="P68B1DB1-Normal15"/>
              <w:spacing w:before="120" w:after="120" w:line="240" w:lineRule="auto"/>
              <w:jc w:val="center"/>
              <w:rPr>
                <w:noProof/>
              </w:rPr>
            </w:pPr>
            <w:r>
              <w:rPr>
                <w:noProof/>
              </w:rPr>
              <w:t xml:space="preserve">Seq. </w:t>
            </w:r>
            <w:r>
              <w:rPr>
                <w:noProof/>
              </w:rPr>
              <w:br/>
              <w:t>Non.</w:t>
            </w:r>
          </w:p>
        </w:tc>
        <w:tc>
          <w:tcPr>
            <w:tcW w:w="278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7A0BD31" w14:textId="77777777" w:rsidR="00A00259" w:rsidRDefault="00371282">
            <w:pPr>
              <w:pStyle w:val="P68B1DB1-Normal10"/>
              <w:spacing w:before="120" w:after="120" w:line="240" w:lineRule="auto"/>
              <w:jc w:val="center"/>
              <w:rPr>
                <w:rFonts w:cs="Times New Roman"/>
                <w:noProof/>
                <w:sz w:val="24"/>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86F0E5" w14:textId="77777777" w:rsidR="00A00259" w:rsidRDefault="00371282">
            <w:pPr>
              <w:pStyle w:val="P68B1DB1-Normal10"/>
              <w:spacing w:before="120" w:after="120" w:line="240" w:lineRule="auto"/>
              <w:jc w:val="center"/>
              <w:rPr>
                <w:rFonts w:cs="Times New Roman"/>
                <w:noProof/>
                <w:sz w:val="24"/>
              </w:rPr>
            </w:pPr>
            <w:r>
              <w:rPr>
                <w:noProof/>
              </w:rPr>
              <w:t>Étape/cible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FD450D6" w14:textId="77777777" w:rsidR="00A00259" w:rsidRDefault="00371282">
            <w:pPr>
              <w:pStyle w:val="P68B1DB1-Normal10"/>
              <w:spacing w:before="120" w:after="120" w:line="240" w:lineRule="auto"/>
              <w:jc w:val="center"/>
              <w:rPr>
                <w:rFonts w:cs="Times New Roman"/>
                <w:noProof/>
                <w:sz w:val="24"/>
              </w:rPr>
            </w:pPr>
            <w:r>
              <w:rPr>
                <w:noProof/>
              </w:rPr>
              <w:t>Nom</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F2E252B" w14:textId="77777777" w:rsidR="00A00259" w:rsidRDefault="00371282">
            <w:pPr>
              <w:pStyle w:val="P68B1DB1-Normal10"/>
              <w:spacing w:before="120" w:after="120" w:line="240" w:lineRule="auto"/>
              <w:jc w:val="center"/>
              <w:rPr>
                <w:rFonts w:cs="Times New Roman"/>
                <w:noProof/>
                <w:sz w:val="24"/>
              </w:rPr>
            </w:pPr>
            <w:r>
              <w:rPr>
                <w:noProof/>
              </w:rPr>
              <w:t>Indicateurs qualitatifs (pour les jalons)</w:t>
            </w:r>
          </w:p>
        </w:tc>
        <w:tc>
          <w:tcPr>
            <w:tcW w:w="2835" w:type="dxa"/>
            <w:gridSpan w:val="4"/>
            <w:tcBorders>
              <w:top w:val="single" w:sz="4" w:space="0" w:color="auto"/>
              <w:left w:val="single" w:sz="4" w:space="0" w:color="auto"/>
              <w:bottom w:val="single" w:sz="4" w:space="0" w:color="auto"/>
              <w:right w:val="single" w:sz="4" w:space="0" w:color="auto"/>
            </w:tcBorders>
            <w:shd w:val="clear" w:color="auto" w:fill="BDD7EE"/>
            <w:vAlign w:val="center"/>
            <w:hideMark/>
          </w:tcPr>
          <w:p w14:paraId="7854AD2C" w14:textId="77777777" w:rsidR="00A00259" w:rsidRDefault="00371282">
            <w:pPr>
              <w:pStyle w:val="P68B1DB1-Normal10"/>
              <w:spacing w:before="120" w:after="120" w:line="240" w:lineRule="auto"/>
              <w:jc w:val="center"/>
              <w:rPr>
                <w:rFonts w:cs="Times New Roman"/>
                <w:noProof/>
                <w:sz w:val="24"/>
              </w:rPr>
            </w:pPr>
            <w:r>
              <w:rPr>
                <w:noProof/>
              </w:rPr>
              <w:t>Indicateurs quantitatifs (pour les objectifs)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38466EB" w14:textId="77777777" w:rsidR="00A00259" w:rsidRDefault="00371282">
            <w:pPr>
              <w:pStyle w:val="P68B1DB1-Normal10"/>
              <w:spacing w:before="120" w:after="120" w:line="240" w:lineRule="auto"/>
              <w:jc w:val="center"/>
              <w:rPr>
                <w:rFonts w:cs="Times New Roman"/>
                <w:noProof/>
                <w:sz w:val="24"/>
              </w:rPr>
            </w:pPr>
            <w:r>
              <w:rPr>
                <w:noProof/>
              </w:rPr>
              <w:t>Calendrier indicatif d'achèvement</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96D41FA" w14:textId="77777777" w:rsidR="00A00259" w:rsidRDefault="00371282">
            <w:pPr>
              <w:pStyle w:val="P68B1DB1-Normal10"/>
              <w:spacing w:before="120" w:after="120" w:line="240" w:lineRule="auto"/>
              <w:jc w:val="center"/>
              <w:rPr>
                <w:rFonts w:cs="Times New Roman"/>
                <w:noProof/>
                <w:sz w:val="24"/>
              </w:rPr>
            </w:pPr>
            <w:r>
              <w:rPr>
                <w:noProof/>
              </w:rPr>
              <w:t>Description de chaque jalon et cible</w:t>
            </w:r>
          </w:p>
        </w:tc>
      </w:tr>
      <w:tr w:rsidR="00A00259" w14:paraId="241E4D0E" w14:textId="77777777" w:rsidTr="00096954">
        <w:trPr>
          <w:trHeight w:val="413"/>
          <w:tblHeader/>
        </w:trPr>
        <w:tc>
          <w:tcPr>
            <w:tcW w:w="588" w:type="dxa"/>
            <w:vMerge/>
            <w:tcBorders>
              <w:top w:val="single" w:sz="4" w:space="0" w:color="auto"/>
              <w:left w:val="single" w:sz="4" w:space="0" w:color="auto"/>
              <w:bottom w:val="single" w:sz="4" w:space="0" w:color="auto"/>
              <w:right w:val="single" w:sz="4" w:space="0" w:color="auto"/>
            </w:tcBorders>
            <w:vAlign w:val="center"/>
          </w:tcPr>
          <w:p w14:paraId="6376D98A"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2781" w:type="dxa"/>
            <w:vMerge/>
            <w:tcBorders>
              <w:top w:val="single" w:sz="4" w:space="0" w:color="auto"/>
              <w:left w:val="single" w:sz="4" w:space="0" w:color="auto"/>
              <w:bottom w:val="single" w:sz="4" w:space="0" w:color="auto"/>
              <w:right w:val="single" w:sz="4" w:space="0" w:color="auto"/>
            </w:tcBorders>
            <w:vAlign w:val="center"/>
          </w:tcPr>
          <w:p w14:paraId="618465BD"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F3FDF00"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405AC696"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75813C2F"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880"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79EED327" w14:textId="77777777" w:rsidR="00A00259" w:rsidRDefault="00371282">
            <w:pPr>
              <w:pStyle w:val="P68B1DB1-Normal10"/>
              <w:spacing w:before="120" w:after="120" w:line="240" w:lineRule="auto"/>
              <w:jc w:val="center"/>
              <w:rPr>
                <w:rFonts w:eastAsia="Times New Roman" w:cs="Times New Roman"/>
                <w:bCs/>
                <w:noProof/>
                <w:szCs w:val="18"/>
              </w:rPr>
            </w:pPr>
            <w:r>
              <w:rPr>
                <w:noProof/>
              </w:rPr>
              <w:t>Unité de mesure</w:t>
            </w:r>
          </w:p>
        </w:tc>
        <w:tc>
          <w:tcPr>
            <w:tcW w:w="963" w:type="dxa"/>
            <w:tcBorders>
              <w:top w:val="single" w:sz="4" w:space="0" w:color="auto"/>
              <w:left w:val="single" w:sz="4" w:space="0" w:color="auto"/>
              <w:bottom w:val="single" w:sz="4" w:space="0" w:color="auto"/>
              <w:right w:val="single" w:sz="4" w:space="0" w:color="auto"/>
            </w:tcBorders>
            <w:shd w:val="clear" w:color="auto" w:fill="BDD7EE"/>
            <w:vAlign w:val="center"/>
          </w:tcPr>
          <w:p w14:paraId="5A277794" w14:textId="77777777" w:rsidR="00A00259" w:rsidRDefault="00371282">
            <w:pPr>
              <w:pStyle w:val="P68B1DB1-Normal10"/>
              <w:spacing w:before="120" w:after="120" w:line="240" w:lineRule="auto"/>
              <w:jc w:val="center"/>
              <w:rPr>
                <w:rFonts w:eastAsia="Times New Roman" w:cs="Times New Roman"/>
                <w:bCs/>
                <w:noProof/>
                <w:szCs w:val="18"/>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37233EB6" w14:textId="77777777" w:rsidR="00A00259" w:rsidRDefault="00371282">
            <w:pPr>
              <w:pStyle w:val="P68B1DB1-Normal10"/>
              <w:spacing w:before="120" w:after="120" w:line="240" w:lineRule="auto"/>
              <w:jc w:val="center"/>
              <w:rPr>
                <w:rFonts w:eastAsia="Times New Roman" w:cs="Times New Roman"/>
                <w:bCs/>
                <w:noProof/>
                <w:szCs w:val="18"/>
              </w:rPr>
            </w:pPr>
            <w:r>
              <w:rPr>
                <w:noProof/>
              </w:rPr>
              <w:t>Objectif</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tcPr>
          <w:p w14:paraId="5E298CB4" w14:textId="77777777" w:rsidR="00A00259" w:rsidRDefault="00371282">
            <w:pPr>
              <w:pStyle w:val="P68B1DB1-Normal10"/>
              <w:spacing w:before="120" w:after="120" w:line="240" w:lineRule="auto"/>
              <w:jc w:val="center"/>
              <w:rPr>
                <w:rFonts w:eastAsia="Times New Roman" w:cs="Times New Roman"/>
                <w:bCs/>
                <w:noProof/>
                <w:szCs w:val="18"/>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tcPr>
          <w:p w14:paraId="7B07C541" w14:textId="77777777" w:rsidR="00A00259" w:rsidRDefault="00371282">
            <w:pPr>
              <w:pStyle w:val="P68B1DB1-Normal10"/>
              <w:spacing w:before="120" w:after="120" w:line="240" w:lineRule="auto"/>
              <w:jc w:val="center"/>
              <w:rPr>
                <w:rFonts w:eastAsia="Times New Roman" w:cs="Times New Roman"/>
                <w:bCs/>
                <w:noProof/>
                <w:szCs w:val="18"/>
              </w:rPr>
            </w:pPr>
            <w:r>
              <w:rPr>
                <w:noProof/>
              </w:rPr>
              <w:t>Année</w:t>
            </w:r>
          </w:p>
        </w:tc>
        <w:tc>
          <w:tcPr>
            <w:tcW w:w="3260" w:type="dxa"/>
            <w:vMerge/>
            <w:tcBorders>
              <w:top w:val="single" w:sz="4" w:space="0" w:color="auto"/>
              <w:bottom w:val="single" w:sz="4" w:space="0" w:color="auto"/>
              <w:right w:val="single" w:sz="4" w:space="0" w:color="auto"/>
            </w:tcBorders>
            <w:vAlign w:val="center"/>
          </w:tcPr>
          <w:p w14:paraId="74275615"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r>
      <w:tr w:rsidR="00A00259" w14:paraId="2C304CC8" w14:textId="77777777" w:rsidTr="00096954">
        <w:tc>
          <w:tcPr>
            <w:tcW w:w="588" w:type="dxa"/>
            <w:tcBorders>
              <w:top w:val="single" w:sz="4" w:space="0" w:color="auto"/>
              <w:left w:val="single" w:sz="4" w:space="0" w:color="auto"/>
              <w:bottom w:val="single" w:sz="4" w:space="0" w:color="auto"/>
              <w:right w:val="single" w:sz="4" w:space="0" w:color="auto"/>
            </w:tcBorders>
            <w:shd w:val="clear" w:color="auto" w:fill="C6EFCE"/>
            <w:noWrap/>
          </w:tcPr>
          <w:p w14:paraId="397EDB71" w14:textId="77777777" w:rsidR="00A00259" w:rsidRDefault="00371282">
            <w:pPr>
              <w:pStyle w:val="P68B1DB1-Normal12"/>
              <w:spacing w:after="0" w:line="240" w:lineRule="auto"/>
              <w:rPr>
                <w:rFonts w:eastAsia="Times New Roman"/>
                <w:noProof/>
              </w:rPr>
            </w:pPr>
            <w:r>
              <w:rPr>
                <w:noProof/>
              </w:rPr>
              <w:t>355</w:t>
            </w:r>
          </w:p>
        </w:tc>
        <w:tc>
          <w:tcPr>
            <w:tcW w:w="2781" w:type="dxa"/>
            <w:tcBorders>
              <w:top w:val="single" w:sz="4" w:space="0" w:color="auto"/>
              <w:left w:val="nil"/>
              <w:bottom w:val="single" w:sz="4" w:space="0" w:color="auto"/>
              <w:right w:val="single" w:sz="4" w:space="0" w:color="auto"/>
            </w:tcBorders>
            <w:shd w:val="clear" w:color="auto" w:fill="C6EFCE"/>
            <w:noWrap/>
          </w:tcPr>
          <w:p w14:paraId="52B55138" w14:textId="77777777" w:rsidR="00A00259" w:rsidRDefault="00371282">
            <w:pPr>
              <w:pStyle w:val="P68B1DB1-Normal13"/>
              <w:spacing w:after="0" w:line="240" w:lineRule="auto"/>
              <w:rPr>
                <w:rFonts w:eastAsia="Times New Roman"/>
                <w:noProof/>
                <w:szCs w:val="18"/>
              </w:rPr>
            </w:pPr>
            <w:r>
              <w:rPr>
                <w:noProof/>
              </w:rPr>
              <w:t xml:space="preserve">20 - 5.1. REPowerEU reforms - 16988_Cadre réglementaire et opérationnel du marché pour les technologies de captage, d’utilisation et de stockage du carbone afin de favoriser la décarbonation de l’industrie </w:t>
            </w:r>
          </w:p>
        </w:tc>
        <w:tc>
          <w:tcPr>
            <w:tcW w:w="1134" w:type="dxa"/>
            <w:tcBorders>
              <w:top w:val="single" w:sz="4" w:space="0" w:color="auto"/>
              <w:left w:val="nil"/>
              <w:bottom w:val="single" w:sz="4" w:space="0" w:color="auto"/>
              <w:right w:val="single" w:sz="4" w:space="0" w:color="auto"/>
            </w:tcBorders>
            <w:shd w:val="clear" w:color="auto" w:fill="C6EFCE"/>
            <w:noWrap/>
          </w:tcPr>
          <w:p w14:paraId="10F9C303" w14:textId="77777777" w:rsidR="00A00259" w:rsidRDefault="00371282">
            <w:pPr>
              <w:pStyle w:val="P68B1DB1-Normal13"/>
              <w:spacing w:after="0" w:line="240" w:lineRule="auto"/>
              <w:rPr>
                <w:rFonts w:eastAsia="Times New Roman"/>
                <w:noProof/>
                <w:szCs w:val="18"/>
              </w:rPr>
            </w:pPr>
            <w:r>
              <w:rPr>
                <w:noProof/>
              </w:rPr>
              <w:t>Étape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58BB129F" w14:textId="77777777" w:rsidR="00A00259" w:rsidRDefault="00371282">
            <w:pPr>
              <w:pStyle w:val="P68B1DB1-Normal13"/>
              <w:spacing w:after="0" w:line="240" w:lineRule="auto"/>
              <w:rPr>
                <w:rFonts w:eastAsia="Times New Roman"/>
                <w:noProof/>
                <w:szCs w:val="18"/>
              </w:rPr>
            </w:pPr>
            <w:r>
              <w:rPr>
                <w:noProof/>
              </w:rPr>
              <w:t>Mise en place d'un cadre juridique pour le captage, l'utilisation et le stockage du carbone.</w:t>
            </w:r>
          </w:p>
        </w:tc>
        <w:tc>
          <w:tcPr>
            <w:tcW w:w="1701" w:type="dxa"/>
            <w:tcBorders>
              <w:top w:val="single" w:sz="4" w:space="0" w:color="auto"/>
              <w:left w:val="nil"/>
              <w:bottom w:val="single" w:sz="4" w:space="0" w:color="auto"/>
              <w:right w:val="single" w:sz="4" w:space="0" w:color="auto"/>
            </w:tcBorders>
            <w:shd w:val="clear" w:color="auto" w:fill="C6EFCE"/>
            <w:noWrap/>
          </w:tcPr>
          <w:p w14:paraId="1BC63102" w14:textId="77777777" w:rsidR="00A00259" w:rsidRDefault="00371282">
            <w:pPr>
              <w:pStyle w:val="P68B1DB1-Normal13"/>
              <w:spacing w:after="0" w:line="240" w:lineRule="auto"/>
              <w:rPr>
                <w:rFonts w:eastAsia="Times New Roman"/>
                <w:noProof/>
                <w:szCs w:val="18"/>
              </w:rPr>
            </w:pPr>
            <w:r>
              <w:rPr>
                <w:noProof/>
              </w:rPr>
              <w:t xml:space="preserve">Entrée en vigueur de la législation </w:t>
            </w:r>
          </w:p>
        </w:tc>
        <w:tc>
          <w:tcPr>
            <w:tcW w:w="856" w:type="dxa"/>
            <w:tcBorders>
              <w:top w:val="single" w:sz="4" w:space="0" w:color="auto"/>
              <w:left w:val="nil"/>
              <w:bottom w:val="single" w:sz="4" w:space="0" w:color="auto"/>
              <w:right w:val="single" w:sz="4" w:space="0" w:color="auto"/>
            </w:tcBorders>
            <w:shd w:val="clear" w:color="auto" w:fill="C6EFCE"/>
            <w:noWrap/>
          </w:tcPr>
          <w:p w14:paraId="1D52EC00" w14:textId="77777777" w:rsidR="00A00259" w:rsidRDefault="00A00259">
            <w:pPr>
              <w:spacing w:after="0" w:line="240" w:lineRule="auto"/>
              <w:rPr>
                <w:rFonts w:ascii="Times New Roman" w:eastAsia="Times New Roman" w:hAnsi="Times New Roman" w:cs="Times New Roman"/>
                <w:noProof/>
                <w:sz w:val="18"/>
                <w:szCs w:val="18"/>
              </w:rPr>
            </w:pPr>
          </w:p>
        </w:tc>
        <w:tc>
          <w:tcPr>
            <w:tcW w:w="987" w:type="dxa"/>
            <w:gridSpan w:val="2"/>
            <w:tcBorders>
              <w:top w:val="single" w:sz="4" w:space="0" w:color="auto"/>
              <w:left w:val="nil"/>
              <w:bottom w:val="single" w:sz="4" w:space="0" w:color="auto"/>
              <w:right w:val="single" w:sz="4" w:space="0" w:color="auto"/>
            </w:tcBorders>
            <w:shd w:val="clear" w:color="auto" w:fill="C6EFCE"/>
            <w:noWrap/>
          </w:tcPr>
          <w:p w14:paraId="1134806A" w14:textId="77777777" w:rsidR="00A00259" w:rsidRDefault="00A00259">
            <w:pPr>
              <w:spacing w:after="0" w:line="240" w:lineRule="auto"/>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262F0FC4" w14:textId="77777777" w:rsidR="00A00259" w:rsidRDefault="00A00259">
            <w:pPr>
              <w:spacing w:after="0" w:line="240" w:lineRule="auto"/>
              <w:rPr>
                <w:rFonts w:ascii="Times New Roman" w:eastAsia="Times New Roman"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767CA0F3" w14:textId="77777777" w:rsidR="00A00259" w:rsidRDefault="00371282">
            <w:pPr>
              <w:pStyle w:val="P68B1DB1-Normal13"/>
              <w:spacing w:after="120" w:line="240" w:lineRule="auto"/>
              <w:rPr>
                <w:rFonts w:eastAsia="Times New Roman"/>
                <w:noProof/>
                <w:szCs w:val="18"/>
              </w:rPr>
            </w:pPr>
            <w:r>
              <w:rPr>
                <w:noProof/>
              </w:rPr>
              <w:t>T3</w:t>
            </w:r>
          </w:p>
        </w:tc>
        <w:tc>
          <w:tcPr>
            <w:tcW w:w="850" w:type="dxa"/>
            <w:tcBorders>
              <w:top w:val="single" w:sz="4" w:space="0" w:color="auto"/>
              <w:left w:val="nil"/>
              <w:bottom w:val="single" w:sz="4" w:space="0" w:color="auto"/>
              <w:right w:val="single" w:sz="4" w:space="0" w:color="auto"/>
            </w:tcBorders>
            <w:shd w:val="clear" w:color="auto" w:fill="C6EFCE"/>
            <w:noWrap/>
          </w:tcPr>
          <w:p w14:paraId="263786CF" w14:textId="77777777" w:rsidR="00A00259" w:rsidRDefault="00371282">
            <w:pPr>
              <w:pStyle w:val="P68B1DB1-Normal13"/>
              <w:spacing w:after="120" w:line="240" w:lineRule="auto"/>
              <w:rPr>
                <w:rFonts w:eastAsia="Times New Roman"/>
                <w:noProof/>
                <w:szCs w:val="18"/>
              </w:rPr>
            </w:pPr>
            <w:r>
              <w:rPr>
                <w:noProof/>
              </w:rPr>
              <w:t>2024</w:t>
            </w:r>
          </w:p>
        </w:tc>
        <w:tc>
          <w:tcPr>
            <w:tcW w:w="3260" w:type="dxa"/>
            <w:tcBorders>
              <w:top w:val="single" w:sz="4" w:space="0" w:color="auto"/>
              <w:left w:val="nil"/>
              <w:bottom w:val="single" w:sz="4" w:space="0" w:color="auto"/>
              <w:right w:val="single" w:sz="4" w:space="0" w:color="auto"/>
            </w:tcBorders>
            <w:shd w:val="clear" w:color="auto" w:fill="C6EFCE"/>
            <w:noWrap/>
          </w:tcPr>
          <w:p w14:paraId="3B3B88D8" w14:textId="77777777" w:rsidR="00A00259" w:rsidRDefault="00371282">
            <w:pPr>
              <w:pStyle w:val="P68B1DB1-Normal13"/>
              <w:spacing w:after="0" w:line="240" w:lineRule="auto"/>
              <w:rPr>
                <w:rFonts w:eastAsia="Times New Roman"/>
                <w:noProof/>
                <w:szCs w:val="18"/>
              </w:rPr>
            </w:pPr>
            <w:r>
              <w:rPr>
                <w:noProof/>
              </w:rPr>
              <w:t>Entrée en vigueur du cadre juridique relatif au captage, à l’utilisation et au stockage du carbone, qui définit:</w:t>
            </w:r>
          </w:p>
          <w:p w14:paraId="75FD918B" w14:textId="77777777" w:rsidR="00A00259" w:rsidRDefault="00371282">
            <w:pPr>
              <w:pStyle w:val="P68B1DB1-ListParagraph53"/>
              <w:numPr>
                <w:ilvl w:val="0"/>
                <w:numId w:val="89"/>
              </w:numPr>
              <w:spacing w:after="0" w:line="240" w:lineRule="auto"/>
              <w:rPr>
                <w:rFonts w:eastAsia="Times New Roman"/>
                <w:noProof/>
                <w:szCs w:val="18"/>
              </w:rPr>
            </w:pPr>
            <w:r>
              <w:rPr>
                <w:noProof/>
              </w:rPr>
              <w:t>Élaboration du cadre d'autorisation pour l'installation et l'exploitation des technologies de captage, d'utilisation et de stockage du carbone, y compris la délivrance de l'approbation du permis environnemental.</w:t>
            </w:r>
          </w:p>
          <w:p w14:paraId="1BC581DA" w14:textId="77777777" w:rsidR="00A00259" w:rsidRDefault="00371282">
            <w:pPr>
              <w:pStyle w:val="P68B1DB1-ListParagraph53"/>
              <w:numPr>
                <w:ilvl w:val="0"/>
                <w:numId w:val="89"/>
              </w:numPr>
              <w:spacing w:after="0" w:line="240" w:lineRule="auto"/>
              <w:rPr>
                <w:rFonts w:eastAsia="Times New Roman"/>
                <w:noProof/>
                <w:szCs w:val="18"/>
              </w:rPr>
            </w:pPr>
            <w:r>
              <w:rPr>
                <w:noProof/>
              </w:rPr>
              <w:t>Mise en place d’un processus de normalisation et de certification pertinent pour l’origine des émissions de CO2 captées et stockées.</w:t>
            </w:r>
          </w:p>
          <w:p w14:paraId="03134185" w14:textId="77777777" w:rsidR="00A00259" w:rsidRDefault="00371282">
            <w:pPr>
              <w:pStyle w:val="P68B1DB1-ListParagraph53"/>
              <w:numPr>
                <w:ilvl w:val="0"/>
                <w:numId w:val="89"/>
              </w:numPr>
              <w:spacing w:after="0" w:line="240" w:lineRule="auto"/>
              <w:rPr>
                <w:rFonts w:eastAsia="Times New Roman"/>
                <w:noProof/>
                <w:szCs w:val="18"/>
              </w:rPr>
            </w:pPr>
            <w:r>
              <w:rPr>
                <w:noProof/>
              </w:rPr>
              <w:t>Élaboration du cadre réglementaire pour la chaîne de valeur du CSC en ce qui concerne les redevances de stockage et de transport. Le cadre comprend des dispositions habilitantes pour les contrats d’écart compensatoire, ainsi que des tarifs réglementés. Établissement du cadre pour l'utilisation/l'utilisation du CO2 capté</w:t>
            </w:r>
          </w:p>
          <w:p w14:paraId="14C53D12" w14:textId="77777777" w:rsidR="00A00259" w:rsidRDefault="00371282">
            <w:pPr>
              <w:pStyle w:val="P68B1DB1-ListParagraph53"/>
              <w:numPr>
                <w:ilvl w:val="0"/>
                <w:numId w:val="89"/>
              </w:numPr>
              <w:spacing w:after="0" w:line="240" w:lineRule="auto"/>
              <w:rPr>
                <w:rFonts w:eastAsia="Times New Roman"/>
                <w:noProof/>
                <w:szCs w:val="18"/>
              </w:rPr>
            </w:pPr>
            <w:r>
              <w:rPr>
                <w:noProof/>
              </w:rPr>
              <w:t>Adoption du cadre d’accès des tiers dans le réseau/l’infrastructure de transport et l’installation de stockage.</w:t>
            </w:r>
          </w:p>
          <w:p w14:paraId="6DC4A664" w14:textId="77777777" w:rsidR="00A00259" w:rsidRDefault="00371282">
            <w:pPr>
              <w:pStyle w:val="P68B1DB1-ListParagraph53"/>
              <w:numPr>
                <w:ilvl w:val="0"/>
                <w:numId w:val="89"/>
              </w:numPr>
              <w:spacing w:after="0" w:line="240" w:lineRule="auto"/>
              <w:rPr>
                <w:rFonts w:eastAsia="Times New Roman"/>
                <w:noProof/>
                <w:szCs w:val="18"/>
              </w:rPr>
            </w:pPr>
            <w:r>
              <w:rPr>
                <w:noProof/>
              </w:rPr>
              <w:t>Attribution de responsabilités distinctes aux différentes parties prenantes pour le fonctionnement des technologies de captage, d'utilisation et de stockage du carbone et la supervision du marché respectif.</w:t>
            </w:r>
          </w:p>
        </w:tc>
      </w:tr>
    </w:tbl>
    <w:p w14:paraId="157AD3AB" w14:textId="77777777" w:rsidR="00A00259" w:rsidRDefault="00A00259">
      <w:pPr>
        <w:keepNext/>
        <w:keepLines/>
        <w:spacing w:before="240" w:after="0" w:line="240" w:lineRule="auto"/>
        <w:jc w:val="both"/>
        <w:outlineLvl w:val="4"/>
        <w:rPr>
          <w:rFonts w:ascii="Cambria" w:hAnsi="Cambria"/>
          <w:noProof/>
          <w:color w:val="365F91"/>
          <w:sz w:val="24"/>
        </w:rPr>
      </w:pPr>
    </w:p>
    <w:p w14:paraId="53FE5146" w14:textId="2416F3A1" w:rsidR="00A00259" w:rsidRDefault="00371282">
      <w:pPr>
        <w:rPr>
          <w:rFonts w:eastAsia="Times New Roman"/>
          <w:noProof/>
        </w:rPr>
      </w:pPr>
      <w:r>
        <w:rPr>
          <w:noProof/>
        </w:rPr>
        <w:br w:type="page"/>
      </w:r>
      <w:r>
        <w:rPr>
          <w:rFonts w:ascii="Cambria" w:hAnsi="Cambria"/>
          <w:noProof/>
          <w:color w:val="365F91" w:themeColor="accent1" w:themeShade="BF"/>
          <w:sz w:val="24"/>
        </w:rPr>
        <w:t>Réforme 4: Augmentation de la capacité de réseau et de stockage – encouragement des investissements dans le stockage (mesure ID: 16990)</w:t>
      </w:r>
    </w:p>
    <w:tbl>
      <w:tblPr>
        <w:tblW w:w="14737" w:type="dxa"/>
        <w:tblLayout w:type="fixed"/>
        <w:tblLook w:val="04A0" w:firstRow="1" w:lastRow="0" w:firstColumn="1" w:lastColumn="0" w:noHBand="0" w:noVBand="1"/>
      </w:tblPr>
      <w:tblGrid>
        <w:gridCol w:w="675"/>
        <w:gridCol w:w="2537"/>
        <w:gridCol w:w="1149"/>
        <w:gridCol w:w="992"/>
        <w:gridCol w:w="1163"/>
        <w:gridCol w:w="992"/>
        <w:gridCol w:w="1192"/>
        <w:gridCol w:w="906"/>
        <w:gridCol w:w="1134"/>
        <w:gridCol w:w="992"/>
        <w:gridCol w:w="3005"/>
      </w:tblGrid>
      <w:tr w:rsidR="00A00259" w14:paraId="07D12F5B" w14:textId="77777777" w:rsidTr="00096954">
        <w:trPr>
          <w:trHeight w:val="1125"/>
          <w:tblHeader/>
        </w:trPr>
        <w:tc>
          <w:tcPr>
            <w:tcW w:w="6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E80C23E" w14:textId="77777777" w:rsidR="00A00259" w:rsidRDefault="00371282">
            <w:pPr>
              <w:pStyle w:val="P68B1DB1-Normal15"/>
              <w:spacing w:before="120" w:after="120" w:line="240" w:lineRule="auto"/>
              <w:jc w:val="center"/>
              <w:rPr>
                <w:noProof/>
              </w:rPr>
            </w:pPr>
            <w:r>
              <w:rPr>
                <w:noProof/>
              </w:rPr>
              <w:t xml:space="preserve">Seq. </w:t>
            </w:r>
            <w:r>
              <w:rPr>
                <w:noProof/>
              </w:rPr>
              <w:br/>
              <w:t>Non.</w:t>
            </w:r>
          </w:p>
        </w:tc>
        <w:tc>
          <w:tcPr>
            <w:tcW w:w="253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CA8C03C" w14:textId="77777777" w:rsidR="00A00259" w:rsidRDefault="00371282">
            <w:pPr>
              <w:pStyle w:val="P68B1DB1-Normal10"/>
              <w:spacing w:before="120" w:after="120" w:line="240" w:lineRule="auto"/>
              <w:jc w:val="center"/>
              <w:rPr>
                <w:rFonts w:cs="Times New Roman"/>
                <w:noProof/>
                <w:szCs w:val="18"/>
              </w:rPr>
            </w:pPr>
            <w:r>
              <w:rPr>
                <w:noProof/>
              </w:rPr>
              <w:t>Mesure connexe (réforme ou investissement)</w:t>
            </w:r>
          </w:p>
        </w:tc>
        <w:tc>
          <w:tcPr>
            <w:tcW w:w="114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0E36D01" w14:textId="77777777" w:rsidR="00A00259" w:rsidRDefault="00371282">
            <w:pPr>
              <w:pStyle w:val="P68B1DB1-Normal10"/>
              <w:spacing w:before="120" w:after="120" w:line="240" w:lineRule="auto"/>
              <w:jc w:val="center"/>
              <w:rPr>
                <w:rFonts w:cs="Times New Roman"/>
                <w:noProof/>
                <w:szCs w:val="18"/>
              </w:rPr>
            </w:pPr>
            <w:r>
              <w:rPr>
                <w:noProof/>
              </w:rPr>
              <w:t>Étape/cible</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FD98378" w14:textId="77777777" w:rsidR="00A00259" w:rsidRDefault="00371282">
            <w:pPr>
              <w:pStyle w:val="P68B1DB1-Normal10"/>
              <w:spacing w:before="120" w:after="120" w:line="240" w:lineRule="auto"/>
              <w:jc w:val="center"/>
              <w:rPr>
                <w:rFonts w:cs="Times New Roman"/>
                <w:noProof/>
                <w:szCs w:val="18"/>
              </w:rPr>
            </w:pPr>
            <w:r>
              <w:rPr>
                <w:noProof/>
              </w:rPr>
              <w:t>Nom</w:t>
            </w:r>
          </w:p>
        </w:tc>
        <w:tc>
          <w:tcPr>
            <w:tcW w:w="11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959712" w14:textId="77777777" w:rsidR="00A00259" w:rsidRDefault="00371282">
            <w:pPr>
              <w:pStyle w:val="P68B1DB1-Normal10"/>
              <w:spacing w:before="120" w:after="120" w:line="240" w:lineRule="auto"/>
              <w:jc w:val="center"/>
              <w:rPr>
                <w:rFonts w:cs="Times New Roman"/>
                <w:noProof/>
                <w:szCs w:val="18"/>
              </w:rPr>
            </w:pPr>
            <w:r>
              <w:rPr>
                <w:noProof/>
              </w:rPr>
              <w:t>Indicateurs qualitatifs (pour les jalons)</w:t>
            </w:r>
          </w:p>
        </w:tc>
        <w:tc>
          <w:tcPr>
            <w:tcW w:w="309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3D14669" w14:textId="77777777" w:rsidR="00A00259" w:rsidRDefault="00371282">
            <w:pPr>
              <w:pStyle w:val="P68B1DB1-Normal10"/>
              <w:spacing w:before="120" w:after="120" w:line="240" w:lineRule="auto"/>
              <w:jc w:val="center"/>
              <w:rPr>
                <w:rFonts w:cs="Times New Roman"/>
                <w:noProof/>
                <w:szCs w:val="18"/>
              </w:rPr>
            </w:pPr>
            <w:r>
              <w:rPr>
                <w:noProof/>
              </w:rPr>
              <w:t>Indicateurs quantitatifs (pour les objectifs)</w:t>
            </w:r>
          </w:p>
        </w:tc>
        <w:tc>
          <w:tcPr>
            <w:tcW w:w="2126"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E86FECF" w14:textId="77777777" w:rsidR="00A00259" w:rsidRDefault="00371282">
            <w:pPr>
              <w:pStyle w:val="P68B1DB1-Normal10"/>
              <w:spacing w:before="120" w:after="120" w:line="240" w:lineRule="auto"/>
              <w:jc w:val="center"/>
              <w:rPr>
                <w:rFonts w:cs="Times New Roman"/>
                <w:noProof/>
                <w:szCs w:val="18"/>
              </w:rPr>
            </w:pPr>
            <w:r>
              <w:rPr>
                <w:noProof/>
              </w:rPr>
              <w:t>Calendrier indicatif d'achèvement</w:t>
            </w:r>
          </w:p>
        </w:tc>
        <w:tc>
          <w:tcPr>
            <w:tcW w:w="300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EA5525" w14:textId="77777777" w:rsidR="00A00259" w:rsidRDefault="00371282">
            <w:pPr>
              <w:pStyle w:val="P68B1DB1-Normal10"/>
              <w:spacing w:before="120" w:after="120" w:line="240" w:lineRule="auto"/>
              <w:jc w:val="center"/>
              <w:rPr>
                <w:rFonts w:cs="Times New Roman"/>
                <w:noProof/>
                <w:szCs w:val="18"/>
              </w:rPr>
            </w:pPr>
            <w:r>
              <w:rPr>
                <w:noProof/>
              </w:rPr>
              <w:t>Description de chaque jalon et cible</w:t>
            </w:r>
          </w:p>
        </w:tc>
      </w:tr>
      <w:tr w:rsidR="00A00259" w14:paraId="1C333FB0" w14:textId="77777777" w:rsidTr="00096954">
        <w:trPr>
          <w:trHeight w:val="687"/>
          <w:tblHeader/>
        </w:trPr>
        <w:tc>
          <w:tcPr>
            <w:tcW w:w="675" w:type="dxa"/>
            <w:vMerge/>
            <w:tcBorders>
              <w:top w:val="single" w:sz="4" w:space="0" w:color="auto"/>
              <w:left w:val="single" w:sz="4" w:space="0" w:color="auto"/>
              <w:bottom w:val="single" w:sz="4" w:space="0" w:color="auto"/>
              <w:right w:val="single" w:sz="4" w:space="0" w:color="auto"/>
            </w:tcBorders>
            <w:vAlign w:val="center"/>
          </w:tcPr>
          <w:p w14:paraId="7F127166"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2537" w:type="dxa"/>
            <w:vMerge/>
            <w:tcBorders>
              <w:top w:val="single" w:sz="4" w:space="0" w:color="auto"/>
              <w:left w:val="single" w:sz="4" w:space="0" w:color="auto"/>
              <w:bottom w:val="single" w:sz="4" w:space="0" w:color="auto"/>
              <w:right w:val="single" w:sz="4" w:space="0" w:color="auto"/>
            </w:tcBorders>
            <w:vAlign w:val="center"/>
          </w:tcPr>
          <w:p w14:paraId="019550DE"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149" w:type="dxa"/>
            <w:vMerge/>
            <w:tcBorders>
              <w:top w:val="single" w:sz="4" w:space="0" w:color="auto"/>
              <w:left w:val="single" w:sz="4" w:space="0" w:color="auto"/>
              <w:bottom w:val="single" w:sz="4" w:space="0" w:color="auto"/>
              <w:right w:val="single" w:sz="4" w:space="0" w:color="auto"/>
            </w:tcBorders>
            <w:vAlign w:val="center"/>
          </w:tcPr>
          <w:p w14:paraId="584BFD09"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7637186F"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63" w:type="dxa"/>
            <w:vMerge/>
            <w:tcBorders>
              <w:top w:val="single" w:sz="4" w:space="0" w:color="auto"/>
              <w:left w:val="single" w:sz="4" w:space="0" w:color="auto"/>
              <w:bottom w:val="single" w:sz="4" w:space="0" w:color="auto"/>
              <w:right w:val="single" w:sz="4" w:space="0" w:color="auto"/>
            </w:tcBorders>
            <w:vAlign w:val="center"/>
          </w:tcPr>
          <w:p w14:paraId="3AB161A5"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41FBD294" w14:textId="77777777" w:rsidR="00A00259" w:rsidRDefault="00371282">
            <w:pPr>
              <w:pStyle w:val="P68B1DB1-Normal10"/>
              <w:spacing w:before="120" w:after="120" w:line="240" w:lineRule="auto"/>
              <w:jc w:val="center"/>
              <w:rPr>
                <w:rFonts w:eastAsia="Times New Roman" w:cs="Times New Roman"/>
                <w:bCs/>
                <w:noProof/>
                <w:szCs w:val="18"/>
              </w:rPr>
            </w:pPr>
            <w:r>
              <w:rPr>
                <w:noProof/>
              </w:rPr>
              <w:t>Unité de mesure</w:t>
            </w:r>
          </w:p>
        </w:tc>
        <w:tc>
          <w:tcPr>
            <w:tcW w:w="1192" w:type="dxa"/>
            <w:tcBorders>
              <w:top w:val="single" w:sz="4" w:space="0" w:color="auto"/>
              <w:left w:val="single" w:sz="4" w:space="0" w:color="auto"/>
              <w:bottom w:val="single" w:sz="4" w:space="0" w:color="auto"/>
              <w:right w:val="single" w:sz="4" w:space="0" w:color="auto"/>
            </w:tcBorders>
            <w:shd w:val="clear" w:color="auto" w:fill="BDD7EE"/>
            <w:vAlign w:val="center"/>
          </w:tcPr>
          <w:p w14:paraId="74CA5739" w14:textId="77777777" w:rsidR="00A00259" w:rsidRDefault="00371282">
            <w:pPr>
              <w:pStyle w:val="P68B1DB1-Normal10"/>
              <w:spacing w:before="120" w:after="120" w:line="240" w:lineRule="auto"/>
              <w:jc w:val="center"/>
              <w:rPr>
                <w:rFonts w:eastAsia="Times New Roman" w:cs="Times New Roman"/>
                <w:bCs/>
                <w:noProof/>
                <w:szCs w:val="18"/>
              </w:rPr>
            </w:pPr>
            <w:r>
              <w:rPr>
                <w:noProof/>
              </w:rPr>
              <w:t>Données de référence</w:t>
            </w:r>
          </w:p>
        </w:tc>
        <w:tc>
          <w:tcPr>
            <w:tcW w:w="906" w:type="dxa"/>
            <w:tcBorders>
              <w:top w:val="single" w:sz="4" w:space="0" w:color="auto"/>
              <w:left w:val="single" w:sz="4" w:space="0" w:color="auto"/>
              <w:bottom w:val="single" w:sz="4" w:space="0" w:color="auto"/>
              <w:right w:val="single" w:sz="4" w:space="0" w:color="auto"/>
            </w:tcBorders>
            <w:shd w:val="clear" w:color="auto" w:fill="BDD7EE"/>
            <w:vAlign w:val="center"/>
          </w:tcPr>
          <w:p w14:paraId="11810F49" w14:textId="77777777" w:rsidR="00A00259" w:rsidRDefault="00371282">
            <w:pPr>
              <w:pStyle w:val="P68B1DB1-Normal10"/>
              <w:spacing w:before="120" w:after="120" w:line="240" w:lineRule="auto"/>
              <w:jc w:val="center"/>
              <w:rPr>
                <w:rFonts w:eastAsia="Times New Roman" w:cs="Times New Roman"/>
                <w:bCs/>
                <w:noProof/>
                <w:szCs w:val="18"/>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tcPr>
          <w:p w14:paraId="1F341473" w14:textId="77777777" w:rsidR="00A00259" w:rsidRDefault="00371282">
            <w:pPr>
              <w:pStyle w:val="P68B1DB1-Normal10"/>
              <w:spacing w:before="120" w:after="120" w:line="240" w:lineRule="auto"/>
              <w:jc w:val="center"/>
              <w:rPr>
                <w:rFonts w:eastAsia="Times New Roman" w:cs="Times New Roman"/>
                <w:bCs/>
                <w:noProof/>
                <w:szCs w:val="18"/>
              </w:rPr>
            </w:pPr>
            <w:r>
              <w:rPr>
                <w:noProof/>
              </w:rPr>
              <w:t>Trimestre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2C014AB5" w14:textId="77777777" w:rsidR="00A00259" w:rsidRDefault="00371282">
            <w:pPr>
              <w:pStyle w:val="P68B1DB1-Normal10"/>
              <w:spacing w:before="120" w:after="120" w:line="240" w:lineRule="auto"/>
              <w:jc w:val="center"/>
              <w:rPr>
                <w:rFonts w:eastAsia="Times New Roman" w:cs="Times New Roman"/>
                <w:bCs/>
                <w:noProof/>
                <w:szCs w:val="18"/>
              </w:rPr>
            </w:pPr>
            <w:r>
              <w:rPr>
                <w:noProof/>
              </w:rPr>
              <w:t>Année</w:t>
            </w:r>
          </w:p>
        </w:tc>
        <w:tc>
          <w:tcPr>
            <w:tcW w:w="3005" w:type="dxa"/>
            <w:vMerge/>
            <w:tcBorders>
              <w:top w:val="single" w:sz="4" w:space="0" w:color="auto"/>
              <w:left w:val="single" w:sz="4" w:space="0" w:color="auto"/>
              <w:bottom w:val="single" w:sz="4" w:space="0" w:color="auto"/>
              <w:right w:val="single" w:sz="4" w:space="0" w:color="auto"/>
            </w:tcBorders>
            <w:vAlign w:val="center"/>
          </w:tcPr>
          <w:p w14:paraId="489BCDCE"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r>
      <w:tr w:rsidR="00A00259" w14:paraId="709DD65A" w14:textId="77777777" w:rsidTr="00096954">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751F1355" w14:textId="77777777" w:rsidR="00A00259" w:rsidRDefault="00371282">
            <w:pPr>
              <w:pStyle w:val="P68B1DB1-Normal12"/>
              <w:spacing w:after="0" w:line="240" w:lineRule="auto"/>
              <w:rPr>
                <w:rFonts w:eastAsia="Times New Roman"/>
                <w:noProof/>
                <w:highlight w:val="cyan"/>
              </w:rPr>
            </w:pPr>
            <w:r>
              <w:rPr>
                <w:noProof/>
              </w:rPr>
              <w:t>356</w:t>
            </w:r>
          </w:p>
        </w:tc>
        <w:tc>
          <w:tcPr>
            <w:tcW w:w="2537" w:type="dxa"/>
            <w:tcBorders>
              <w:top w:val="single" w:sz="4" w:space="0" w:color="auto"/>
              <w:left w:val="nil"/>
              <w:bottom w:val="single" w:sz="4" w:space="0" w:color="auto"/>
              <w:right w:val="single" w:sz="4" w:space="0" w:color="auto"/>
            </w:tcBorders>
            <w:shd w:val="clear" w:color="auto" w:fill="C6EFCE"/>
            <w:noWrap/>
          </w:tcPr>
          <w:p w14:paraId="4435A043" w14:textId="77777777" w:rsidR="00A00259" w:rsidRDefault="00371282">
            <w:pPr>
              <w:pStyle w:val="P68B1DB1-Normal12"/>
              <w:spacing w:after="0" w:line="240" w:lineRule="auto"/>
              <w:rPr>
                <w:rFonts w:eastAsia="Times New Roman"/>
                <w:noProof/>
              </w:rPr>
            </w:pPr>
            <w:r>
              <w:rPr>
                <w:noProof/>
              </w:rPr>
              <w:t>20 - 5.1. Réformes REPowerEU – 16990_Augmentation de la capacité de réseau et de stockage – encouragement des investissements dans le stockage </w:t>
            </w:r>
          </w:p>
        </w:tc>
        <w:tc>
          <w:tcPr>
            <w:tcW w:w="1149" w:type="dxa"/>
            <w:tcBorders>
              <w:top w:val="single" w:sz="4" w:space="0" w:color="auto"/>
              <w:left w:val="nil"/>
              <w:bottom w:val="single" w:sz="4" w:space="0" w:color="auto"/>
              <w:right w:val="single" w:sz="4" w:space="0" w:color="auto"/>
            </w:tcBorders>
            <w:shd w:val="clear" w:color="auto" w:fill="C6EFCE"/>
            <w:noWrap/>
          </w:tcPr>
          <w:p w14:paraId="5851F1E5" w14:textId="77777777" w:rsidR="00A00259" w:rsidRDefault="00371282">
            <w:pPr>
              <w:pStyle w:val="P68B1DB1-Normal12"/>
              <w:spacing w:after="0" w:line="240" w:lineRule="auto"/>
              <w:rPr>
                <w:rFonts w:eastAsia="Times New Roman"/>
                <w:noProof/>
              </w:rPr>
            </w:pPr>
            <w:r>
              <w:rPr>
                <w:noProof/>
              </w:rPr>
              <w:t>Étape</w:t>
            </w:r>
          </w:p>
        </w:tc>
        <w:tc>
          <w:tcPr>
            <w:tcW w:w="992" w:type="dxa"/>
            <w:tcBorders>
              <w:top w:val="single" w:sz="4" w:space="0" w:color="auto"/>
              <w:left w:val="nil"/>
              <w:bottom w:val="single" w:sz="4" w:space="0" w:color="auto"/>
              <w:right w:val="single" w:sz="4" w:space="0" w:color="auto"/>
            </w:tcBorders>
            <w:shd w:val="clear" w:color="auto" w:fill="C6EFCE"/>
            <w:noWrap/>
          </w:tcPr>
          <w:p w14:paraId="5AB9C9F0" w14:textId="77777777" w:rsidR="00A00259" w:rsidRDefault="00371282">
            <w:pPr>
              <w:pStyle w:val="P68B1DB1-Normal12"/>
              <w:spacing w:after="0" w:line="240" w:lineRule="auto"/>
              <w:rPr>
                <w:rFonts w:eastAsia="Times New Roman"/>
                <w:noProof/>
              </w:rPr>
            </w:pPr>
            <w:r>
              <w:rPr>
                <w:noProof/>
              </w:rPr>
              <w:t>Entrée en vigueur du cadre législatif.</w:t>
            </w:r>
          </w:p>
        </w:tc>
        <w:tc>
          <w:tcPr>
            <w:tcW w:w="1163" w:type="dxa"/>
            <w:tcBorders>
              <w:top w:val="single" w:sz="4" w:space="0" w:color="auto"/>
              <w:left w:val="nil"/>
              <w:bottom w:val="single" w:sz="4" w:space="0" w:color="auto"/>
              <w:right w:val="single" w:sz="4" w:space="0" w:color="auto"/>
            </w:tcBorders>
            <w:shd w:val="clear" w:color="auto" w:fill="C6EFCE"/>
            <w:noWrap/>
          </w:tcPr>
          <w:p w14:paraId="2484DDAC" w14:textId="09A3CED8" w:rsidR="00A00259" w:rsidRDefault="00371282">
            <w:pPr>
              <w:pStyle w:val="P68B1DB1-Normal12"/>
              <w:spacing w:after="0" w:line="240" w:lineRule="auto"/>
              <w:rPr>
                <w:rFonts w:eastAsia="Times New Roman"/>
                <w:noProof/>
              </w:rPr>
            </w:pPr>
            <w:r>
              <w:rPr>
                <w:noProof/>
              </w:rPr>
              <w:t xml:space="preserve">Droit primaire et droit dérivé </w:t>
            </w:r>
          </w:p>
        </w:tc>
        <w:tc>
          <w:tcPr>
            <w:tcW w:w="992" w:type="dxa"/>
            <w:tcBorders>
              <w:top w:val="single" w:sz="4" w:space="0" w:color="auto"/>
              <w:left w:val="nil"/>
              <w:bottom w:val="single" w:sz="4" w:space="0" w:color="auto"/>
              <w:right w:val="single" w:sz="4" w:space="0" w:color="auto"/>
            </w:tcBorders>
            <w:shd w:val="clear" w:color="auto" w:fill="C6EFCE"/>
            <w:noWrap/>
          </w:tcPr>
          <w:p w14:paraId="1838CF07" w14:textId="77777777" w:rsidR="00A00259" w:rsidRDefault="00A00259">
            <w:pPr>
              <w:spacing w:after="0" w:line="240" w:lineRule="auto"/>
              <w:rPr>
                <w:rFonts w:ascii="Times New Roman" w:eastAsia="Times New Roman" w:hAnsi="Times New Roman" w:cs="Times New Roman"/>
                <w:noProof/>
                <w:sz w:val="18"/>
                <w:szCs w:val="18"/>
              </w:rPr>
            </w:pPr>
          </w:p>
        </w:tc>
        <w:tc>
          <w:tcPr>
            <w:tcW w:w="1192" w:type="dxa"/>
            <w:tcBorders>
              <w:top w:val="single" w:sz="4" w:space="0" w:color="auto"/>
              <w:left w:val="nil"/>
              <w:bottom w:val="single" w:sz="4" w:space="0" w:color="auto"/>
              <w:right w:val="single" w:sz="4" w:space="0" w:color="auto"/>
            </w:tcBorders>
            <w:shd w:val="clear" w:color="auto" w:fill="C6EFCE"/>
            <w:noWrap/>
          </w:tcPr>
          <w:p w14:paraId="566AF437" w14:textId="77777777" w:rsidR="00A00259" w:rsidRDefault="00A00259">
            <w:pPr>
              <w:spacing w:after="0" w:line="240" w:lineRule="auto"/>
              <w:rPr>
                <w:rFonts w:ascii="Times New Roman" w:eastAsia="Times New Roman" w:hAnsi="Times New Roman" w:cs="Times New Roman"/>
                <w:noProof/>
                <w:sz w:val="18"/>
                <w:szCs w:val="18"/>
              </w:rPr>
            </w:pPr>
          </w:p>
        </w:tc>
        <w:tc>
          <w:tcPr>
            <w:tcW w:w="906" w:type="dxa"/>
            <w:tcBorders>
              <w:top w:val="single" w:sz="4" w:space="0" w:color="auto"/>
              <w:left w:val="nil"/>
              <w:bottom w:val="single" w:sz="4" w:space="0" w:color="auto"/>
              <w:right w:val="single" w:sz="4" w:space="0" w:color="auto"/>
            </w:tcBorders>
            <w:shd w:val="clear" w:color="auto" w:fill="C6EFCE"/>
            <w:noWrap/>
          </w:tcPr>
          <w:p w14:paraId="6027D66B" w14:textId="77777777" w:rsidR="00A00259" w:rsidRDefault="00A00259">
            <w:pPr>
              <w:spacing w:after="0" w:line="240" w:lineRule="auto"/>
              <w:rPr>
                <w:rFonts w:ascii="Times New Roman" w:eastAsia="Times New Roman" w:hAnsi="Times New Roman" w:cs="Times New Roman"/>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7359AB0C" w14:textId="77777777" w:rsidR="00A00259" w:rsidRDefault="00371282">
            <w:pPr>
              <w:pStyle w:val="P68B1DB1-Normal12"/>
              <w:spacing w:after="120" w:line="240" w:lineRule="auto"/>
              <w:rPr>
                <w:rFonts w:eastAsia="Times New Roman"/>
                <w:noProof/>
              </w:rPr>
            </w:pPr>
            <w:r>
              <w:rPr>
                <w:noProof/>
              </w:rPr>
              <w:t>T2</w:t>
            </w:r>
          </w:p>
        </w:tc>
        <w:tc>
          <w:tcPr>
            <w:tcW w:w="992" w:type="dxa"/>
            <w:tcBorders>
              <w:top w:val="single" w:sz="4" w:space="0" w:color="auto"/>
              <w:left w:val="nil"/>
              <w:bottom w:val="single" w:sz="4" w:space="0" w:color="auto"/>
              <w:right w:val="single" w:sz="4" w:space="0" w:color="auto"/>
            </w:tcBorders>
            <w:shd w:val="clear" w:color="auto" w:fill="C6EFCE"/>
            <w:noWrap/>
          </w:tcPr>
          <w:p w14:paraId="5203E5F1" w14:textId="77777777" w:rsidR="00A00259" w:rsidRDefault="00371282">
            <w:pPr>
              <w:pStyle w:val="P68B1DB1-Normal12"/>
              <w:spacing w:after="120" w:line="240" w:lineRule="auto"/>
              <w:rPr>
                <w:rFonts w:eastAsia="Times New Roman"/>
                <w:noProof/>
              </w:rPr>
            </w:pPr>
            <w:r>
              <w:rPr>
                <w:noProof/>
              </w:rPr>
              <w:t>2024</w:t>
            </w:r>
          </w:p>
        </w:tc>
        <w:tc>
          <w:tcPr>
            <w:tcW w:w="3005" w:type="dxa"/>
            <w:tcBorders>
              <w:top w:val="single" w:sz="4" w:space="0" w:color="auto"/>
              <w:left w:val="nil"/>
              <w:bottom w:val="single" w:sz="4" w:space="0" w:color="auto"/>
              <w:right w:val="single" w:sz="4" w:space="0" w:color="auto"/>
            </w:tcBorders>
            <w:shd w:val="clear" w:color="auto" w:fill="C6EFCE"/>
            <w:noWrap/>
          </w:tcPr>
          <w:p w14:paraId="7A992EAE" w14:textId="77777777" w:rsidR="00A00259" w:rsidRDefault="00371282">
            <w:pPr>
              <w:pStyle w:val="P68B1DB1-Normal12"/>
              <w:spacing w:after="0" w:line="240" w:lineRule="auto"/>
              <w:rPr>
                <w:noProof/>
              </w:rPr>
            </w:pPr>
            <w:r>
              <w:rPr>
                <w:noProof/>
              </w:rPr>
              <w:t xml:space="preserve">Entrée en vigueur du droit primaire et du droit dérivé établissant le cadre propice à l’installation d’unités de stockage dans les centrales électriques SER existantes ou nouvelles, qui accorde la priorité aux procédures d’autorisation et à l’accès au réseau de ces centrales. </w:t>
            </w:r>
          </w:p>
          <w:p w14:paraId="61A0CB23" w14:textId="77777777" w:rsidR="00A00259" w:rsidRDefault="00A00259">
            <w:pPr>
              <w:spacing w:after="0" w:line="240" w:lineRule="auto"/>
              <w:rPr>
                <w:rFonts w:ascii="Times New Roman" w:eastAsia="Times New Roman" w:hAnsi="Times New Roman" w:cs="Times New Roman"/>
                <w:noProof/>
                <w:sz w:val="18"/>
                <w:szCs w:val="18"/>
              </w:rPr>
            </w:pPr>
          </w:p>
        </w:tc>
      </w:tr>
      <w:tr w:rsidR="00A00259" w14:paraId="235233C5" w14:textId="77777777" w:rsidTr="00096954">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72353653" w14:textId="77777777" w:rsidR="00A00259" w:rsidRDefault="00371282">
            <w:pPr>
              <w:pStyle w:val="P68B1DB1-Normal12"/>
              <w:spacing w:after="0" w:line="240" w:lineRule="auto"/>
              <w:rPr>
                <w:rFonts w:eastAsia="Times New Roman"/>
                <w:noProof/>
              </w:rPr>
            </w:pPr>
            <w:r>
              <w:rPr>
                <w:noProof/>
              </w:rPr>
              <w:t>357</w:t>
            </w:r>
          </w:p>
        </w:tc>
        <w:tc>
          <w:tcPr>
            <w:tcW w:w="2537" w:type="dxa"/>
            <w:tcBorders>
              <w:top w:val="single" w:sz="4" w:space="0" w:color="auto"/>
              <w:left w:val="nil"/>
              <w:bottom w:val="single" w:sz="4" w:space="0" w:color="auto"/>
              <w:right w:val="single" w:sz="4" w:space="0" w:color="auto"/>
            </w:tcBorders>
            <w:shd w:val="clear" w:color="auto" w:fill="C6EFCE"/>
            <w:noWrap/>
          </w:tcPr>
          <w:p w14:paraId="7E720343" w14:textId="77777777" w:rsidR="00A00259" w:rsidRDefault="00371282">
            <w:pPr>
              <w:pStyle w:val="P68B1DB1-Normal12"/>
              <w:spacing w:after="0" w:line="240" w:lineRule="auto"/>
              <w:rPr>
                <w:noProof/>
              </w:rPr>
            </w:pPr>
            <w:r>
              <w:rPr>
                <w:noProof/>
              </w:rPr>
              <w:t>20 - 5.1. Réformes REPowerEU – 16990_Réforme du réseau et de la capacité de stockage</w:t>
            </w:r>
          </w:p>
        </w:tc>
        <w:tc>
          <w:tcPr>
            <w:tcW w:w="1149" w:type="dxa"/>
            <w:tcBorders>
              <w:top w:val="single" w:sz="4" w:space="0" w:color="auto"/>
              <w:left w:val="nil"/>
              <w:bottom w:val="single" w:sz="4" w:space="0" w:color="auto"/>
              <w:right w:val="single" w:sz="4" w:space="0" w:color="auto"/>
            </w:tcBorders>
            <w:shd w:val="clear" w:color="auto" w:fill="C6EFCE"/>
            <w:noWrap/>
          </w:tcPr>
          <w:p w14:paraId="76F41DF1" w14:textId="77777777" w:rsidR="00A00259" w:rsidRDefault="00371282">
            <w:pPr>
              <w:pStyle w:val="P68B1DB1-Normal12"/>
              <w:spacing w:after="0" w:line="240" w:lineRule="auto"/>
              <w:rPr>
                <w:rFonts w:eastAsia="Times New Roman"/>
                <w:noProof/>
              </w:rPr>
            </w:pPr>
            <w:r>
              <w:rPr>
                <w:noProof/>
              </w:rPr>
              <w:t xml:space="preserve">Étape </w:t>
            </w:r>
          </w:p>
        </w:tc>
        <w:tc>
          <w:tcPr>
            <w:tcW w:w="992" w:type="dxa"/>
            <w:tcBorders>
              <w:top w:val="single" w:sz="4" w:space="0" w:color="auto"/>
              <w:left w:val="nil"/>
              <w:bottom w:val="single" w:sz="4" w:space="0" w:color="auto"/>
              <w:right w:val="single" w:sz="4" w:space="0" w:color="auto"/>
            </w:tcBorders>
            <w:shd w:val="clear" w:color="auto" w:fill="C6EFCE"/>
            <w:noWrap/>
          </w:tcPr>
          <w:p w14:paraId="0E2DA974" w14:textId="77777777" w:rsidR="00A00259" w:rsidRDefault="00371282">
            <w:pPr>
              <w:pStyle w:val="P68B1DB1-Normal12"/>
              <w:spacing w:after="0" w:line="240" w:lineRule="auto"/>
              <w:rPr>
                <w:rFonts w:eastAsia="Times New Roman"/>
                <w:noProof/>
              </w:rPr>
            </w:pPr>
            <w:r>
              <w:rPr>
                <w:noProof/>
              </w:rPr>
              <w:t xml:space="preserve">Entrée en vigueur des actes juridiques. </w:t>
            </w:r>
          </w:p>
        </w:tc>
        <w:tc>
          <w:tcPr>
            <w:tcW w:w="1163" w:type="dxa"/>
            <w:tcBorders>
              <w:top w:val="single" w:sz="4" w:space="0" w:color="auto"/>
              <w:left w:val="nil"/>
              <w:bottom w:val="single" w:sz="4" w:space="0" w:color="auto"/>
              <w:right w:val="single" w:sz="4" w:space="0" w:color="auto"/>
            </w:tcBorders>
            <w:shd w:val="clear" w:color="auto" w:fill="C6EFCE"/>
            <w:noWrap/>
          </w:tcPr>
          <w:p w14:paraId="08CA8735" w14:textId="0CE7FBC5" w:rsidR="00A00259" w:rsidRDefault="00371282">
            <w:pPr>
              <w:pStyle w:val="P68B1DB1-Normal12"/>
              <w:spacing w:after="0" w:line="240" w:lineRule="auto"/>
              <w:rPr>
                <w:noProof/>
              </w:rPr>
            </w:pPr>
            <w:r>
              <w:rPr>
                <w:noProof/>
              </w:rPr>
              <w:t xml:space="preserve">Actes juridiques </w:t>
            </w:r>
          </w:p>
        </w:tc>
        <w:tc>
          <w:tcPr>
            <w:tcW w:w="992" w:type="dxa"/>
            <w:tcBorders>
              <w:top w:val="single" w:sz="4" w:space="0" w:color="auto"/>
              <w:left w:val="nil"/>
              <w:bottom w:val="single" w:sz="4" w:space="0" w:color="auto"/>
              <w:right w:val="single" w:sz="4" w:space="0" w:color="auto"/>
            </w:tcBorders>
            <w:shd w:val="clear" w:color="auto" w:fill="C6EFCE"/>
            <w:noWrap/>
          </w:tcPr>
          <w:p w14:paraId="5CB1BB58" w14:textId="77777777" w:rsidR="00A00259" w:rsidRDefault="00A00259">
            <w:pPr>
              <w:spacing w:after="0" w:line="240" w:lineRule="auto"/>
              <w:rPr>
                <w:rFonts w:ascii="Times New Roman" w:eastAsia="Times New Roman" w:hAnsi="Times New Roman" w:cs="Times New Roman"/>
                <w:noProof/>
                <w:sz w:val="18"/>
                <w:szCs w:val="18"/>
              </w:rPr>
            </w:pPr>
          </w:p>
        </w:tc>
        <w:tc>
          <w:tcPr>
            <w:tcW w:w="1192" w:type="dxa"/>
            <w:tcBorders>
              <w:top w:val="single" w:sz="4" w:space="0" w:color="auto"/>
              <w:left w:val="nil"/>
              <w:bottom w:val="single" w:sz="4" w:space="0" w:color="auto"/>
              <w:right w:val="single" w:sz="4" w:space="0" w:color="auto"/>
            </w:tcBorders>
            <w:shd w:val="clear" w:color="auto" w:fill="C6EFCE"/>
            <w:noWrap/>
          </w:tcPr>
          <w:p w14:paraId="296CF690" w14:textId="77777777" w:rsidR="00A00259" w:rsidRDefault="00A00259">
            <w:pPr>
              <w:spacing w:after="0" w:line="240" w:lineRule="auto"/>
              <w:rPr>
                <w:rFonts w:ascii="Times New Roman" w:eastAsia="Times New Roman" w:hAnsi="Times New Roman" w:cs="Times New Roman"/>
                <w:noProof/>
                <w:sz w:val="18"/>
                <w:szCs w:val="18"/>
              </w:rPr>
            </w:pPr>
          </w:p>
        </w:tc>
        <w:tc>
          <w:tcPr>
            <w:tcW w:w="906" w:type="dxa"/>
            <w:tcBorders>
              <w:top w:val="single" w:sz="4" w:space="0" w:color="auto"/>
              <w:left w:val="nil"/>
              <w:bottom w:val="single" w:sz="4" w:space="0" w:color="auto"/>
              <w:right w:val="single" w:sz="4" w:space="0" w:color="auto"/>
            </w:tcBorders>
            <w:shd w:val="clear" w:color="auto" w:fill="C6EFCE"/>
            <w:noWrap/>
          </w:tcPr>
          <w:p w14:paraId="543BB2C0" w14:textId="77777777" w:rsidR="00A00259" w:rsidRDefault="00A00259">
            <w:pPr>
              <w:spacing w:after="0" w:line="240" w:lineRule="auto"/>
              <w:rPr>
                <w:rFonts w:ascii="Times New Roman" w:eastAsia="Times New Roman" w:hAnsi="Times New Roman" w:cs="Times New Roman"/>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114551AF" w14:textId="77777777" w:rsidR="00A00259" w:rsidRDefault="00371282">
            <w:pPr>
              <w:pStyle w:val="P68B1DB1-Normal12"/>
              <w:spacing w:after="120" w:line="240" w:lineRule="auto"/>
              <w:rPr>
                <w:rFonts w:eastAsia="Times New Roman"/>
                <w:noProof/>
              </w:rPr>
            </w:pPr>
            <w:r>
              <w:rPr>
                <w:noProof/>
              </w:rPr>
              <w:t>T2</w:t>
            </w:r>
          </w:p>
        </w:tc>
        <w:tc>
          <w:tcPr>
            <w:tcW w:w="992" w:type="dxa"/>
            <w:tcBorders>
              <w:top w:val="single" w:sz="4" w:space="0" w:color="auto"/>
              <w:left w:val="nil"/>
              <w:bottom w:val="single" w:sz="4" w:space="0" w:color="auto"/>
              <w:right w:val="single" w:sz="4" w:space="0" w:color="auto"/>
            </w:tcBorders>
            <w:shd w:val="clear" w:color="auto" w:fill="C6EFCE"/>
            <w:noWrap/>
          </w:tcPr>
          <w:p w14:paraId="2B5B6990" w14:textId="77777777" w:rsidR="00A00259" w:rsidRDefault="00371282">
            <w:pPr>
              <w:pStyle w:val="P68B1DB1-Normal12"/>
              <w:spacing w:after="120" w:line="240" w:lineRule="auto"/>
              <w:rPr>
                <w:rFonts w:eastAsia="Times New Roman"/>
                <w:noProof/>
              </w:rPr>
            </w:pPr>
            <w:r>
              <w:rPr>
                <w:noProof/>
              </w:rPr>
              <w:t>2025</w:t>
            </w:r>
          </w:p>
        </w:tc>
        <w:tc>
          <w:tcPr>
            <w:tcW w:w="3005" w:type="dxa"/>
            <w:tcBorders>
              <w:top w:val="single" w:sz="4" w:space="0" w:color="auto"/>
              <w:left w:val="nil"/>
              <w:bottom w:val="single" w:sz="4" w:space="0" w:color="auto"/>
              <w:right w:val="single" w:sz="4" w:space="0" w:color="auto"/>
            </w:tcBorders>
            <w:shd w:val="clear" w:color="auto" w:fill="C6EFCE"/>
            <w:noWrap/>
          </w:tcPr>
          <w:p w14:paraId="6CED7B9F" w14:textId="77777777" w:rsidR="00A00259" w:rsidRDefault="00371282">
            <w:pPr>
              <w:pStyle w:val="P68B1DB1-Normal12"/>
              <w:spacing w:after="0" w:line="240" w:lineRule="auto"/>
              <w:rPr>
                <w:noProof/>
              </w:rPr>
            </w:pPr>
            <w:r>
              <w:rPr>
                <w:noProof/>
              </w:rPr>
              <w:t xml:space="preserve">Entrée en vigueur des actes juridiques adoptant le cadre d’octroi de licences pour le soutien de projets de batteries autonomes. </w:t>
            </w:r>
          </w:p>
          <w:p w14:paraId="0CBBFFD5" w14:textId="066A678E" w:rsidR="00A00259" w:rsidRDefault="00371282">
            <w:pPr>
              <w:pStyle w:val="P68B1DB1-Normal12"/>
              <w:spacing w:after="0" w:line="240" w:lineRule="auto"/>
              <w:rPr>
                <w:noProof/>
              </w:rPr>
            </w:pPr>
            <w:r>
              <w:rPr>
                <w:noProof/>
              </w:rPr>
              <w:t xml:space="preserve">Adoption des décisions réglementaires permettant la participation des unités de stockage aux marchés de l'électricité. </w:t>
            </w:r>
          </w:p>
        </w:tc>
      </w:tr>
    </w:tbl>
    <w:p w14:paraId="2398D88C" w14:textId="77777777" w:rsidR="00A00259" w:rsidRDefault="00371282">
      <w:pPr>
        <w:pStyle w:val="P68B1DB1-Normal9"/>
        <w:keepNext/>
        <w:keepLines/>
        <w:spacing w:before="240" w:after="0" w:line="240" w:lineRule="auto"/>
        <w:jc w:val="both"/>
        <w:outlineLvl w:val="4"/>
        <w:rPr>
          <w:rFonts w:eastAsia="Times New Roman"/>
          <w:noProof/>
          <w:szCs w:val="24"/>
        </w:rPr>
      </w:pPr>
      <w:r>
        <w:rPr>
          <w:noProof/>
        </w:rPr>
        <w:t>Réforme n° 5: Cadre réglementaire pour un réseau intelligent (mesure ID: 16991)</w:t>
      </w:r>
    </w:p>
    <w:tbl>
      <w:tblPr>
        <w:tblW w:w="14596" w:type="dxa"/>
        <w:tblLayout w:type="fixed"/>
        <w:tblLook w:val="04A0" w:firstRow="1" w:lastRow="0" w:firstColumn="1" w:lastColumn="0" w:noHBand="0" w:noVBand="1"/>
      </w:tblPr>
      <w:tblGrid>
        <w:gridCol w:w="675"/>
        <w:gridCol w:w="1843"/>
        <w:gridCol w:w="1134"/>
        <w:gridCol w:w="1701"/>
        <w:gridCol w:w="1556"/>
        <w:gridCol w:w="954"/>
        <w:gridCol w:w="996"/>
        <w:gridCol w:w="888"/>
        <w:gridCol w:w="993"/>
        <w:gridCol w:w="850"/>
        <w:gridCol w:w="3006"/>
      </w:tblGrid>
      <w:tr w:rsidR="00A00259" w14:paraId="4B35E882" w14:textId="77777777" w:rsidTr="00096954">
        <w:trPr>
          <w:trHeight w:val="1125"/>
          <w:tblHeader/>
        </w:trPr>
        <w:tc>
          <w:tcPr>
            <w:tcW w:w="6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B82D61" w14:textId="77777777" w:rsidR="00A00259" w:rsidRDefault="00371282">
            <w:pPr>
              <w:pStyle w:val="P68B1DB1-Normal15"/>
              <w:spacing w:before="120" w:after="120" w:line="240" w:lineRule="auto"/>
              <w:jc w:val="center"/>
              <w:rPr>
                <w:noProof/>
              </w:rPr>
            </w:pPr>
            <w:r>
              <w:rPr>
                <w:noProof/>
              </w:rPr>
              <w:t xml:space="preserve">Seq. </w:t>
            </w:r>
            <w:r>
              <w:rPr>
                <w:noProof/>
              </w:rPr>
              <w:br/>
              <w:t>Non.</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9B1B6C1" w14:textId="77777777" w:rsidR="00A00259" w:rsidRDefault="00371282">
            <w:pPr>
              <w:pStyle w:val="P68B1DB1-Normal10"/>
              <w:spacing w:before="120" w:after="120" w:line="240" w:lineRule="auto"/>
              <w:jc w:val="center"/>
              <w:rPr>
                <w:rFonts w:cs="Times New Roman"/>
                <w:noProof/>
                <w:szCs w:val="18"/>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BD061E" w14:textId="77777777" w:rsidR="00A00259" w:rsidRDefault="00371282">
            <w:pPr>
              <w:pStyle w:val="P68B1DB1-Normal10"/>
              <w:spacing w:before="120" w:after="120" w:line="240" w:lineRule="auto"/>
              <w:jc w:val="center"/>
              <w:rPr>
                <w:rFonts w:cs="Times New Roman"/>
                <w:noProof/>
                <w:szCs w:val="18"/>
              </w:rPr>
            </w:pPr>
            <w:r>
              <w:rPr>
                <w:noProof/>
              </w:rPr>
              <w:t>Étape/cible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A09E57" w14:textId="77777777" w:rsidR="00A00259" w:rsidRDefault="00371282">
            <w:pPr>
              <w:pStyle w:val="P68B1DB1-Normal10"/>
              <w:spacing w:before="120" w:after="120" w:line="240" w:lineRule="auto"/>
              <w:jc w:val="center"/>
              <w:rPr>
                <w:rFonts w:cs="Times New Roman"/>
                <w:noProof/>
                <w:szCs w:val="18"/>
              </w:rPr>
            </w:pPr>
            <w:r>
              <w:rPr>
                <w:noProof/>
              </w:rPr>
              <w:t>Nom</w:t>
            </w:r>
          </w:p>
        </w:tc>
        <w:tc>
          <w:tcPr>
            <w:tcW w:w="15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E74998" w14:textId="77777777" w:rsidR="00A00259" w:rsidRDefault="00371282">
            <w:pPr>
              <w:pStyle w:val="P68B1DB1-Normal10"/>
              <w:spacing w:before="120" w:after="120" w:line="240" w:lineRule="auto"/>
              <w:jc w:val="center"/>
              <w:rPr>
                <w:rFonts w:cs="Times New Roman"/>
                <w:noProof/>
                <w:szCs w:val="18"/>
              </w:rPr>
            </w:pPr>
            <w:r>
              <w:rPr>
                <w:noProof/>
              </w:rPr>
              <w:t>Indicateurs qualitatifs (pour les jalons)</w:t>
            </w:r>
          </w:p>
        </w:tc>
        <w:tc>
          <w:tcPr>
            <w:tcW w:w="283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2FF2BD5" w14:textId="77777777" w:rsidR="00A00259" w:rsidRDefault="00371282">
            <w:pPr>
              <w:pStyle w:val="P68B1DB1-Normal10"/>
              <w:spacing w:before="120" w:after="120" w:line="240" w:lineRule="auto"/>
              <w:jc w:val="center"/>
              <w:rPr>
                <w:rFonts w:cs="Times New Roman"/>
                <w:noProof/>
                <w:szCs w:val="18"/>
              </w:rPr>
            </w:pPr>
            <w:r>
              <w:rPr>
                <w:noProof/>
              </w:rPr>
              <w:t>Indicateurs quantitatifs (pour les objectifs)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241352B" w14:textId="77777777" w:rsidR="00A00259" w:rsidRDefault="00371282">
            <w:pPr>
              <w:pStyle w:val="P68B1DB1-Normal10"/>
              <w:spacing w:before="120" w:after="120" w:line="240" w:lineRule="auto"/>
              <w:jc w:val="center"/>
              <w:rPr>
                <w:rFonts w:cs="Times New Roman"/>
                <w:noProof/>
                <w:szCs w:val="18"/>
              </w:rPr>
            </w:pPr>
            <w:r>
              <w:rPr>
                <w:noProof/>
              </w:rPr>
              <w:t>Calendrier indicatif d'achèvement</w:t>
            </w:r>
          </w:p>
        </w:tc>
        <w:tc>
          <w:tcPr>
            <w:tcW w:w="300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A15B3B" w14:textId="77777777" w:rsidR="00A00259" w:rsidRDefault="00371282">
            <w:pPr>
              <w:pStyle w:val="P68B1DB1-Normal10"/>
              <w:spacing w:before="120" w:after="120" w:line="240" w:lineRule="auto"/>
              <w:jc w:val="center"/>
              <w:rPr>
                <w:rFonts w:cs="Times New Roman"/>
                <w:noProof/>
                <w:szCs w:val="18"/>
              </w:rPr>
            </w:pPr>
            <w:r>
              <w:rPr>
                <w:noProof/>
              </w:rPr>
              <w:t>Description de chaque jalon et cible</w:t>
            </w:r>
          </w:p>
        </w:tc>
      </w:tr>
      <w:tr w:rsidR="00A00259" w14:paraId="26D209E8" w14:textId="77777777" w:rsidTr="00096954">
        <w:trPr>
          <w:trHeight w:val="611"/>
          <w:tblHeader/>
        </w:trPr>
        <w:tc>
          <w:tcPr>
            <w:tcW w:w="675" w:type="dxa"/>
            <w:vMerge/>
            <w:tcBorders>
              <w:top w:val="single" w:sz="4" w:space="0" w:color="auto"/>
              <w:left w:val="single" w:sz="4" w:space="0" w:color="auto"/>
              <w:bottom w:val="single" w:sz="4" w:space="0" w:color="auto"/>
              <w:right w:val="single" w:sz="4" w:space="0" w:color="auto"/>
            </w:tcBorders>
            <w:vAlign w:val="center"/>
          </w:tcPr>
          <w:p w14:paraId="6E25A9A7"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35EA511F"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936EA00"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4ABBF6B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556" w:type="dxa"/>
            <w:vMerge/>
            <w:tcBorders>
              <w:top w:val="single" w:sz="4" w:space="0" w:color="auto"/>
              <w:left w:val="single" w:sz="4" w:space="0" w:color="auto"/>
              <w:bottom w:val="single" w:sz="4" w:space="0" w:color="auto"/>
              <w:right w:val="single" w:sz="4" w:space="0" w:color="auto"/>
            </w:tcBorders>
            <w:vAlign w:val="center"/>
          </w:tcPr>
          <w:p w14:paraId="27F58A80"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954" w:type="dxa"/>
            <w:tcBorders>
              <w:top w:val="single" w:sz="4" w:space="0" w:color="auto"/>
              <w:left w:val="single" w:sz="4" w:space="0" w:color="auto"/>
              <w:bottom w:val="single" w:sz="4" w:space="0" w:color="auto"/>
              <w:right w:val="single" w:sz="4" w:space="0" w:color="auto"/>
            </w:tcBorders>
            <w:shd w:val="clear" w:color="auto" w:fill="BDD7EE"/>
            <w:vAlign w:val="center"/>
          </w:tcPr>
          <w:p w14:paraId="11CF222D" w14:textId="77777777" w:rsidR="00A00259" w:rsidRDefault="00371282">
            <w:pPr>
              <w:pStyle w:val="P68B1DB1-Normal10"/>
              <w:spacing w:before="120" w:after="120" w:line="240" w:lineRule="auto"/>
              <w:jc w:val="center"/>
              <w:rPr>
                <w:rFonts w:eastAsia="Times New Roman" w:cs="Times New Roman"/>
                <w:bCs/>
                <w:noProof/>
                <w:szCs w:val="18"/>
              </w:rPr>
            </w:pPr>
            <w:r>
              <w:rPr>
                <w:noProof/>
              </w:rPr>
              <w:t>Unité de mesure</w:t>
            </w:r>
          </w:p>
        </w:tc>
        <w:tc>
          <w:tcPr>
            <w:tcW w:w="996" w:type="dxa"/>
            <w:tcBorders>
              <w:top w:val="single" w:sz="4" w:space="0" w:color="auto"/>
              <w:left w:val="nil"/>
              <w:bottom w:val="single" w:sz="4" w:space="0" w:color="auto"/>
              <w:right w:val="single" w:sz="4" w:space="0" w:color="auto"/>
            </w:tcBorders>
            <w:shd w:val="clear" w:color="auto" w:fill="BDD7EE"/>
            <w:vAlign w:val="center"/>
          </w:tcPr>
          <w:p w14:paraId="525ECB5F" w14:textId="77777777" w:rsidR="00A00259" w:rsidRDefault="00371282">
            <w:pPr>
              <w:pStyle w:val="P68B1DB1-Normal10"/>
              <w:spacing w:before="120" w:after="120" w:line="240" w:lineRule="auto"/>
              <w:jc w:val="center"/>
              <w:rPr>
                <w:rFonts w:eastAsia="Times New Roman" w:cs="Times New Roman"/>
                <w:bCs/>
                <w:noProof/>
                <w:szCs w:val="18"/>
              </w:rPr>
            </w:pPr>
            <w:r>
              <w:rPr>
                <w:noProof/>
              </w:rPr>
              <w:t>Données de référence</w:t>
            </w:r>
          </w:p>
        </w:tc>
        <w:tc>
          <w:tcPr>
            <w:tcW w:w="888" w:type="dxa"/>
            <w:tcBorders>
              <w:top w:val="single" w:sz="4" w:space="0" w:color="auto"/>
              <w:left w:val="nil"/>
              <w:bottom w:val="single" w:sz="4" w:space="0" w:color="auto"/>
              <w:right w:val="single" w:sz="4" w:space="0" w:color="auto"/>
            </w:tcBorders>
            <w:shd w:val="clear" w:color="auto" w:fill="BDD7EE"/>
            <w:vAlign w:val="center"/>
          </w:tcPr>
          <w:p w14:paraId="19ACF01A" w14:textId="77777777" w:rsidR="00A00259" w:rsidRDefault="00371282">
            <w:pPr>
              <w:pStyle w:val="P68B1DB1-Normal10"/>
              <w:spacing w:before="120" w:after="120" w:line="240" w:lineRule="auto"/>
              <w:jc w:val="center"/>
              <w:rPr>
                <w:rFonts w:eastAsia="Times New Roman" w:cs="Times New Roman"/>
                <w:bCs/>
                <w:noProof/>
                <w:szCs w:val="18"/>
              </w:rPr>
            </w:pPr>
            <w:r>
              <w:rPr>
                <w:noProof/>
              </w:rPr>
              <w:t>Objectif</w:t>
            </w:r>
          </w:p>
        </w:tc>
        <w:tc>
          <w:tcPr>
            <w:tcW w:w="993" w:type="dxa"/>
            <w:tcBorders>
              <w:top w:val="single" w:sz="4" w:space="0" w:color="auto"/>
              <w:left w:val="nil"/>
              <w:bottom w:val="single" w:sz="4" w:space="0" w:color="auto"/>
              <w:right w:val="single" w:sz="4" w:space="0" w:color="auto"/>
            </w:tcBorders>
            <w:shd w:val="clear" w:color="auto" w:fill="BDD7EE"/>
            <w:vAlign w:val="center"/>
          </w:tcPr>
          <w:p w14:paraId="1A83E133" w14:textId="77777777" w:rsidR="00A00259" w:rsidRDefault="00371282">
            <w:pPr>
              <w:pStyle w:val="P68B1DB1-Normal10"/>
              <w:spacing w:before="120" w:after="120" w:line="240" w:lineRule="auto"/>
              <w:jc w:val="center"/>
              <w:rPr>
                <w:rFonts w:eastAsia="Times New Roman" w:cs="Times New Roman"/>
                <w:bCs/>
                <w:noProof/>
                <w:szCs w:val="18"/>
              </w:rPr>
            </w:pPr>
            <w:r>
              <w:rPr>
                <w:noProof/>
              </w:rPr>
              <w:t>Trimestre</w:t>
            </w:r>
          </w:p>
        </w:tc>
        <w:tc>
          <w:tcPr>
            <w:tcW w:w="850" w:type="dxa"/>
            <w:tcBorders>
              <w:top w:val="single" w:sz="4" w:space="0" w:color="auto"/>
              <w:left w:val="nil"/>
              <w:bottom w:val="single" w:sz="4" w:space="0" w:color="auto"/>
              <w:right w:val="single" w:sz="4" w:space="0" w:color="auto"/>
            </w:tcBorders>
            <w:shd w:val="clear" w:color="auto" w:fill="BDD7EE"/>
            <w:vAlign w:val="center"/>
          </w:tcPr>
          <w:p w14:paraId="50632D81" w14:textId="77777777" w:rsidR="00A00259" w:rsidRDefault="00371282">
            <w:pPr>
              <w:pStyle w:val="P68B1DB1-Normal10"/>
              <w:spacing w:before="120" w:after="120" w:line="240" w:lineRule="auto"/>
              <w:jc w:val="center"/>
              <w:rPr>
                <w:rFonts w:eastAsia="Times New Roman" w:cs="Times New Roman"/>
                <w:bCs/>
                <w:noProof/>
                <w:szCs w:val="18"/>
              </w:rPr>
            </w:pPr>
            <w:r>
              <w:rPr>
                <w:noProof/>
              </w:rPr>
              <w:t>Année</w:t>
            </w:r>
          </w:p>
        </w:tc>
        <w:tc>
          <w:tcPr>
            <w:tcW w:w="3006" w:type="dxa"/>
            <w:vMerge/>
            <w:tcBorders>
              <w:top w:val="single" w:sz="4" w:space="0" w:color="auto"/>
              <w:bottom w:val="single" w:sz="4" w:space="0" w:color="auto"/>
              <w:right w:val="single" w:sz="4" w:space="0" w:color="auto"/>
            </w:tcBorders>
            <w:vAlign w:val="center"/>
          </w:tcPr>
          <w:p w14:paraId="07D58EC0"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r>
      <w:tr w:rsidR="00A00259" w14:paraId="34164A6C" w14:textId="77777777" w:rsidTr="00096954">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62D2DEEC" w14:textId="77777777" w:rsidR="00A00259" w:rsidRDefault="00371282">
            <w:pPr>
              <w:pStyle w:val="P68B1DB1-Normal12"/>
              <w:spacing w:after="0" w:line="240" w:lineRule="auto"/>
              <w:rPr>
                <w:rFonts w:eastAsia="Times New Roman"/>
                <w:noProof/>
                <w:highlight w:val="cyan"/>
              </w:rPr>
            </w:pPr>
            <w:r>
              <w:rPr>
                <w:noProof/>
              </w:rPr>
              <w:t>358</w:t>
            </w:r>
          </w:p>
        </w:tc>
        <w:tc>
          <w:tcPr>
            <w:tcW w:w="1843" w:type="dxa"/>
            <w:tcBorders>
              <w:top w:val="single" w:sz="4" w:space="0" w:color="auto"/>
              <w:left w:val="nil"/>
              <w:bottom w:val="single" w:sz="4" w:space="0" w:color="auto"/>
              <w:right w:val="single" w:sz="4" w:space="0" w:color="auto"/>
            </w:tcBorders>
            <w:shd w:val="clear" w:color="auto" w:fill="C6EFCE"/>
            <w:noWrap/>
          </w:tcPr>
          <w:p w14:paraId="4EBEF52D" w14:textId="77777777" w:rsidR="00A00259" w:rsidRDefault="00371282">
            <w:pPr>
              <w:pStyle w:val="P68B1DB1-Normal12"/>
              <w:spacing w:after="0" w:line="240" w:lineRule="auto"/>
              <w:rPr>
                <w:rFonts w:eastAsia="Times New Roman"/>
                <w:noProof/>
              </w:rPr>
            </w:pPr>
            <w:r>
              <w:rPr>
                <w:noProof/>
              </w:rPr>
              <w:t>20 - 5.1. Réformes REPowerEU – 16991_Cadre réglementaire vers un réseau intelligent</w:t>
            </w:r>
          </w:p>
        </w:tc>
        <w:tc>
          <w:tcPr>
            <w:tcW w:w="1134" w:type="dxa"/>
            <w:tcBorders>
              <w:top w:val="single" w:sz="4" w:space="0" w:color="auto"/>
              <w:left w:val="nil"/>
              <w:bottom w:val="single" w:sz="4" w:space="0" w:color="auto"/>
              <w:right w:val="single" w:sz="4" w:space="0" w:color="auto"/>
            </w:tcBorders>
            <w:shd w:val="clear" w:color="auto" w:fill="C6EFCE"/>
            <w:noWrap/>
          </w:tcPr>
          <w:p w14:paraId="0ED09957" w14:textId="77777777" w:rsidR="00A00259" w:rsidRDefault="00371282">
            <w:pPr>
              <w:pStyle w:val="P68B1DB1-Normal12"/>
              <w:spacing w:after="0" w:line="240" w:lineRule="auto"/>
              <w:rPr>
                <w:rFonts w:eastAsia="Times New Roman"/>
                <w:noProof/>
              </w:rPr>
            </w:pPr>
            <w:r>
              <w:rPr>
                <w:noProof/>
              </w:rPr>
              <w:t>Étape</w:t>
            </w:r>
          </w:p>
        </w:tc>
        <w:tc>
          <w:tcPr>
            <w:tcW w:w="1701" w:type="dxa"/>
            <w:tcBorders>
              <w:top w:val="single" w:sz="4" w:space="0" w:color="auto"/>
              <w:left w:val="nil"/>
              <w:bottom w:val="single" w:sz="4" w:space="0" w:color="auto"/>
              <w:right w:val="single" w:sz="4" w:space="0" w:color="auto"/>
            </w:tcBorders>
            <w:shd w:val="clear" w:color="auto" w:fill="C6EFCE"/>
            <w:noWrap/>
          </w:tcPr>
          <w:p w14:paraId="739757D9" w14:textId="77777777" w:rsidR="00A00259" w:rsidRDefault="00371282">
            <w:pPr>
              <w:pStyle w:val="P68B1DB1-Normal12"/>
              <w:spacing w:after="0" w:line="240" w:lineRule="auto"/>
              <w:rPr>
                <w:rFonts w:eastAsia="Times New Roman"/>
                <w:noProof/>
              </w:rPr>
            </w:pPr>
            <w:r>
              <w:rPr>
                <w:noProof/>
              </w:rPr>
              <w:t>Développement d'un système incitatif pour le gestionnaire de réseau de distribution et les consommateurs afin d'accroître le déploiement et l'utilisation des compteurs intelligents.</w:t>
            </w:r>
          </w:p>
        </w:tc>
        <w:tc>
          <w:tcPr>
            <w:tcW w:w="1556" w:type="dxa"/>
            <w:tcBorders>
              <w:top w:val="single" w:sz="4" w:space="0" w:color="auto"/>
              <w:left w:val="nil"/>
              <w:bottom w:val="single" w:sz="4" w:space="0" w:color="auto"/>
              <w:right w:val="single" w:sz="4" w:space="0" w:color="auto"/>
            </w:tcBorders>
            <w:shd w:val="clear" w:color="auto" w:fill="C6EFCE"/>
            <w:noWrap/>
          </w:tcPr>
          <w:p w14:paraId="10121759" w14:textId="77777777" w:rsidR="00A00259" w:rsidRDefault="00371282">
            <w:pPr>
              <w:pStyle w:val="P68B1DB1-Normal12"/>
              <w:spacing w:after="0" w:line="240" w:lineRule="auto"/>
              <w:rPr>
                <w:rFonts w:eastAsia="Times New Roman"/>
                <w:noProof/>
              </w:rPr>
            </w:pPr>
            <w:r>
              <w:rPr>
                <w:noProof/>
              </w:rPr>
              <w:t>Décision ministérielle conjointe/Décision du régulateur</w:t>
            </w:r>
          </w:p>
        </w:tc>
        <w:tc>
          <w:tcPr>
            <w:tcW w:w="954" w:type="dxa"/>
            <w:tcBorders>
              <w:top w:val="nil"/>
              <w:left w:val="nil"/>
              <w:bottom w:val="single" w:sz="4" w:space="0" w:color="auto"/>
              <w:right w:val="single" w:sz="4" w:space="0" w:color="auto"/>
            </w:tcBorders>
            <w:shd w:val="clear" w:color="auto" w:fill="C6EFCE"/>
            <w:noWrap/>
          </w:tcPr>
          <w:p w14:paraId="21165A05" w14:textId="77777777" w:rsidR="00A00259" w:rsidRDefault="00A00259">
            <w:pPr>
              <w:spacing w:after="0" w:line="240" w:lineRule="auto"/>
              <w:rPr>
                <w:rFonts w:ascii="Times New Roman" w:eastAsia="Times New Roman" w:hAnsi="Times New Roman" w:cs="Times New Roman"/>
                <w:noProof/>
                <w:sz w:val="18"/>
                <w:szCs w:val="18"/>
              </w:rPr>
            </w:pPr>
          </w:p>
        </w:tc>
        <w:tc>
          <w:tcPr>
            <w:tcW w:w="996" w:type="dxa"/>
            <w:tcBorders>
              <w:top w:val="nil"/>
              <w:left w:val="nil"/>
              <w:bottom w:val="single" w:sz="4" w:space="0" w:color="auto"/>
              <w:right w:val="single" w:sz="4" w:space="0" w:color="auto"/>
            </w:tcBorders>
            <w:shd w:val="clear" w:color="auto" w:fill="C6EFCE"/>
            <w:noWrap/>
          </w:tcPr>
          <w:p w14:paraId="71883D7E" w14:textId="77777777" w:rsidR="00A00259" w:rsidRDefault="00A00259">
            <w:pPr>
              <w:spacing w:after="0" w:line="240" w:lineRule="auto"/>
              <w:rPr>
                <w:rFonts w:ascii="Times New Roman" w:eastAsia="Times New Roman" w:hAnsi="Times New Roman" w:cs="Times New Roman"/>
                <w:noProof/>
                <w:sz w:val="18"/>
                <w:szCs w:val="18"/>
              </w:rPr>
            </w:pPr>
          </w:p>
        </w:tc>
        <w:tc>
          <w:tcPr>
            <w:tcW w:w="888" w:type="dxa"/>
            <w:tcBorders>
              <w:top w:val="nil"/>
              <w:left w:val="nil"/>
              <w:bottom w:val="single" w:sz="4" w:space="0" w:color="auto"/>
              <w:right w:val="single" w:sz="4" w:space="0" w:color="auto"/>
            </w:tcBorders>
            <w:shd w:val="clear" w:color="auto" w:fill="C6EFCE"/>
            <w:noWrap/>
          </w:tcPr>
          <w:p w14:paraId="12ABF626" w14:textId="77777777" w:rsidR="00A00259" w:rsidRDefault="00A00259">
            <w:pPr>
              <w:spacing w:after="0" w:line="240" w:lineRule="auto"/>
              <w:rPr>
                <w:rFonts w:ascii="Times New Roman" w:eastAsia="Times New Roman"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6A0ECE84" w14:textId="77777777" w:rsidR="00A00259" w:rsidRDefault="00371282">
            <w:pPr>
              <w:pStyle w:val="P68B1DB1-Normal12"/>
              <w:spacing w:after="120" w:line="240" w:lineRule="auto"/>
              <w:rPr>
                <w:rFonts w:eastAsia="Times New Roman"/>
                <w:noProof/>
              </w:rPr>
            </w:pPr>
            <w:r>
              <w:rPr>
                <w:noProof/>
              </w:rPr>
              <w:t>T2</w:t>
            </w:r>
          </w:p>
        </w:tc>
        <w:tc>
          <w:tcPr>
            <w:tcW w:w="850" w:type="dxa"/>
            <w:tcBorders>
              <w:top w:val="nil"/>
              <w:left w:val="nil"/>
              <w:bottom w:val="single" w:sz="4" w:space="0" w:color="auto"/>
              <w:right w:val="single" w:sz="4" w:space="0" w:color="auto"/>
            </w:tcBorders>
            <w:shd w:val="clear" w:color="auto" w:fill="C6EFCE"/>
            <w:noWrap/>
          </w:tcPr>
          <w:p w14:paraId="55159F6E" w14:textId="77777777" w:rsidR="00A00259" w:rsidRDefault="00371282">
            <w:pPr>
              <w:pStyle w:val="P68B1DB1-Normal12"/>
              <w:spacing w:after="120" w:line="240" w:lineRule="auto"/>
              <w:rPr>
                <w:rFonts w:eastAsia="Times New Roman"/>
                <w:noProof/>
              </w:rPr>
            </w:pPr>
            <w:r>
              <w:rPr>
                <w:noProof/>
              </w:rPr>
              <w:t>2024</w:t>
            </w:r>
          </w:p>
        </w:tc>
        <w:tc>
          <w:tcPr>
            <w:tcW w:w="3006" w:type="dxa"/>
            <w:tcBorders>
              <w:top w:val="single" w:sz="4" w:space="0" w:color="auto"/>
              <w:left w:val="nil"/>
              <w:bottom w:val="single" w:sz="4" w:space="0" w:color="auto"/>
              <w:right w:val="single" w:sz="4" w:space="0" w:color="auto"/>
            </w:tcBorders>
            <w:shd w:val="clear" w:color="auto" w:fill="C6EFCE"/>
            <w:noWrap/>
          </w:tcPr>
          <w:p w14:paraId="39921401" w14:textId="77777777" w:rsidR="00A00259" w:rsidRDefault="00371282">
            <w:pPr>
              <w:pStyle w:val="P68B1DB1-Normal12"/>
              <w:spacing w:after="0" w:line="240" w:lineRule="auto"/>
              <w:rPr>
                <w:rFonts w:eastAsia="Times New Roman"/>
                <w:noProof/>
              </w:rPr>
            </w:pPr>
            <w:r>
              <w:rPr>
                <w:noProof/>
              </w:rPr>
              <w:t>Entrée en vigueur d'une décision ministérielle conjointe / décision du régulateur pour le développement d'un système basé sur des incitations pour le gestionnaire de réseau de distribution et les consommateurs afin d'accroître le déploiement et l'utilisation des compteurs intelligents.</w:t>
            </w:r>
          </w:p>
        </w:tc>
      </w:tr>
      <w:tr w:rsidR="00A00259" w14:paraId="51FF298C" w14:textId="77777777" w:rsidTr="00096954">
        <w:trPr>
          <w:trHeight w:val="1526"/>
        </w:trPr>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5631E5D4" w14:textId="77777777" w:rsidR="00A00259" w:rsidRDefault="00371282">
            <w:pPr>
              <w:pStyle w:val="P68B1DB1-Normal12"/>
              <w:spacing w:after="0" w:line="240" w:lineRule="auto"/>
              <w:rPr>
                <w:rFonts w:eastAsia="Times New Roman"/>
                <w:noProof/>
              </w:rPr>
            </w:pPr>
            <w:r>
              <w:rPr>
                <w:noProof/>
              </w:rPr>
              <w:t>359</w:t>
            </w:r>
          </w:p>
        </w:tc>
        <w:tc>
          <w:tcPr>
            <w:tcW w:w="1843" w:type="dxa"/>
            <w:tcBorders>
              <w:top w:val="single" w:sz="4" w:space="0" w:color="auto"/>
              <w:left w:val="nil"/>
              <w:bottom w:val="single" w:sz="4" w:space="0" w:color="auto"/>
              <w:right w:val="single" w:sz="4" w:space="0" w:color="auto"/>
            </w:tcBorders>
            <w:shd w:val="clear" w:color="auto" w:fill="C6EFCE"/>
            <w:noWrap/>
          </w:tcPr>
          <w:p w14:paraId="534AD2A0" w14:textId="77777777" w:rsidR="00A00259" w:rsidRDefault="00371282">
            <w:pPr>
              <w:pStyle w:val="P68B1DB1-Normal12"/>
              <w:spacing w:after="0" w:line="240" w:lineRule="auto"/>
              <w:rPr>
                <w:rFonts w:eastAsia="Times New Roman"/>
                <w:noProof/>
              </w:rPr>
            </w:pPr>
            <w:r>
              <w:rPr>
                <w:noProof/>
              </w:rPr>
              <w:t>20 - 5.1. Réformes REPowerEU – 16991_Cadre réglementaire vers un réseau intelligent</w:t>
            </w:r>
          </w:p>
        </w:tc>
        <w:tc>
          <w:tcPr>
            <w:tcW w:w="1134" w:type="dxa"/>
            <w:tcBorders>
              <w:top w:val="single" w:sz="4" w:space="0" w:color="auto"/>
              <w:left w:val="nil"/>
              <w:bottom w:val="single" w:sz="4" w:space="0" w:color="auto"/>
              <w:right w:val="single" w:sz="4" w:space="0" w:color="auto"/>
            </w:tcBorders>
            <w:shd w:val="clear" w:color="auto" w:fill="C6EFCE"/>
            <w:noWrap/>
          </w:tcPr>
          <w:p w14:paraId="787F3171" w14:textId="77777777" w:rsidR="00A00259" w:rsidRDefault="00371282">
            <w:pPr>
              <w:pStyle w:val="P68B1DB1-Normal12"/>
              <w:spacing w:after="0" w:line="240" w:lineRule="auto"/>
              <w:rPr>
                <w:rFonts w:eastAsia="Times New Roman"/>
                <w:noProof/>
              </w:rPr>
            </w:pPr>
            <w:r>
              <w:rPr>
                <w:noProof/>
              </w:rPr>
              <w:t xml:space="preserve">Étape </w:t>
            </w:r>
          </w:p>
        </w:tc>
        <w:tc>
          <w:tcPr>
            <w:tcW w:w="1701" w:type="dxa"/>
            <w:tcBorders>
              <w:top w:val="single" w:sz="4" w:space="0" w:color="auto"/>
              <w:left w:val="nil"/>
              <w:bottom w:val="single" w:sz="4" w:space="0" w:color="auto"/>
              <w:right w:val="single" w:sz="4" w:space="0" w:color="auto"/>
            </w:tcBorders>
            <w:shd w:val="clear" w:color="auto" w:fill="C6EFCE"/>
            <w:noWrap/>
          </w:tcPr>
          <w:p w14:paraId="4298BCC7" w14:textId="77777777" w:rsidR="00A00259" w:rsidRDefault="00371282">
            <w:pPr>
              <w:pStyle w:val="P68B1DB1-Normal12"/>
              <w:spacing w:after="0" w:line="240" w:lineRule="auto"/>
              <w:rPr>
                <w:rFonts w:eastAsia="Times New Roman"/>
                <w:noProof/>
              </w:rPr>
            </w:pPr>
            <w:r>
              <w:rPr>
                <w:noProof/>
              </w:rPr>
              <w:t xml:space="preserve">Cadre pour les contrats de tarification dynamique </w:t>
            </w:r>
          </w:p>
        </w:tc>
        <w:tc>
          <w:tcPr>
            <w:tcW w:w="1556" w:type="dxa"/>
            <w:tcBorders>
              <w:top w:val="single" w:sz="4" w:space="0" w:color="auto"/>
              <w:left w:val="nil"/>
              <w:bottom w:val="single" w:sz="4" w:space="0" w:color="auto"/>
              <w:right w:val="single" w:sz="4" w:space="0" w:color="auto"/>
            </w:tcBorders>
            <w:shd w:val="clear" w:color="auto" w:fill="C6EFCE"/>
            <w:noWrap/>
          </w:tcPr>
          <w:p w14:paraId="788EFA87" w14:textId="77777777" w:rsidR="00A00259" w:rsidRDefault="00371282">
            <w:pPr>
              <w:pStyle w:val="P68B1DB1-Normal12"/>
              <w:spacing w:after="0" w:line="240" w:lineRule="auto"/>
              <w:rPr>
                <w:noProof/>
              </w:rPr>
            </w:pPr>
            <w:r>
              <w:rPr>
                <w:noProof/>
              </w:rPr>
              <w:t xml:space="preserve"> Acte juridique</w:t>
            </w:r>
          </w:p>
        </w:tc>
        <w:tc>
          <w:tcPr>
            <w:tcW w:w="954" w:type="dxa"/>
            <w:tcBorders>
              <w:top w:val="single" w:sz="4" w:space="0" w:color="auto"/>
              <w:left w:val="nil"/>
              <w:bottom w:val="single" w:sz="4" w:space="0" w:color="auto"/>
              <w:right w:val="single" w:sz="4" w:space="0" w:color="auto"/>
            </w:tcBorders>
            <w:shd w:val="clear" w:color="auto" w:fill="C6EFCE"/>
            <w:noWrap/>
          </w:tcPr>
          <w:p w14:paraId="202DFDE3" w14:textId="77777777" w:rsidR="00A00259" w:rsidRDefault="00A00259">
            <w:pPr>
              <w:spacing w:after="0" w:line="240" w:lineRule="auto"/>
              <w:rPr>
                <w:rFonts w:ascii="Times New Roman" w:eastAsia="Times New Roman" w:hAnsi="Times New Roman" w:cs="Times New Roman"/>
                <w:noProof/>
                <w:sz w:val="18"/>
                <w:szCs w:val="18"/>
              </w:rPr>
            </w:pPr>
          </w:p>
        </w:tc>
        <w:tc>
          <w:tcPr>
            <w:tcW w:w="996" w:type="dxa"/>
            <w:tcBorders>
              <w:top w:val="single" w:sz="4" w:space="0" w:color="auto"/>
              <w:left w:val="nil"/>
              <w:bottom w:val="single" w:sz="4" w:space="0" w:color="auto"/>
              <w:right w:val="single" w:sz="4" w:space="0" w:color="auto"/>
            </w:tcBorders>
            <w:shd w:val="clear" w:color="auto" w:fill="C6EFCE"/>
            <w:noWrap/>
          </w:tcPr>
          <w:p w14:paraId="1F71B639" w14:textId="77777777" w:rsidR="00A00259" w:rsidRDefault="00A00259">
            <w:pPr>
              <w:spacing w:after="0" w:line="240" w:lineRule="auto"/>
              <w:rPr>
                <w:rFonts w:ascii="Times New Roman" w:eastAsia="Times New Roman" w:hAnsi="Times New Roman" w:cs="Times New Roman"/>
                <w:noProof/>
                <w:sz w:val="18"/>
                <w:szCs w:val="18"/>
              </w:rPr>
            </w:pPr>
          </w:p>
        </w:tc>
        <w:tc>
          <w:tcPr>
            <w:tcW w:w="888" w:type="dxa"/>
            <w:tcBorders>
              <w:top w:val="single" w:sz="4" w:space="0" w:color="auto"/>
              <w:left w:val="nil"/>
              <w:bottom w:val="single" w:sz="4" w:space="0" w:color="auto"/>
              <w:right w:val="single" w:sz="4" w:space="0" w:color="auto"/>
            </w:tcBorders>
            <w:shd w:val="clear" w:color="auto" w:fill="C6EFCE"/>
            <w:noWrap/>
          </w:tcPr>
          <w:p w14:paraId="68686A7E" w14:textId="77777777" w:rsidR="00A00259" w:rsidRDefault="00A00259">
            <w:pPr>
              <w:spacing w:after="0" w:line="240" w:lineRule="auto"/>
              <w:rPr>
                <w:rFonts w:ascii="Times New Roman" w:eastAsia="Times New Roman"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08CA500C" w14:textId="77777777" w:rsidR="00A00259" w:rsidRDefault="00371282">
            <w:pPr>
              <w:pStyle w:val="P68B1DB1-Normal12"/>
              <w:spacing w:after="120" w:line="240" w:lineRule="auto"/>
              <w:rPr>
                <w:rFonts w:eastAsia="Times New Roman"/>
                <w:noProof/>
              </w:rPr>
            </w:pPr>
            <w:r>
              <w:rPr>
                <w:noProof/>
              </w:rPr>
              <w:t>T4</w:t>
            </w:r>
          </w:p>
        </w:tc>
        <w:tc>
          <w:tcPr>
            <w:tcW w:w="850" w:type="dxa"/>
            <w:tcBorders>
              <w:top w:val="single" w:sz="4" w:space="0" w:color="auto"/>
              <w:left w:val="nil"/>
              <w:bottom w:val="single" w:sz="4" w:space="0" w:color="auto"/>
              <w:right w:val="single" w:sz="4" w:space="0" w:color="auto"/>
            </w:tcBorders>
            <w:shd w:val="clear" w:color="auto" w:fill="C6EFCE"/>
            <w:noWrap/>
          </w:tcPr>
          <w:p w14:paraId="546DA1E4" w14:textId="77777777" w:rsidR="00A00259" w:rsidRDefault="00371282">
            <w:pPr>
              <w:pStyle w:val="P68B1DB1-Normal12"/>
              <w:spacing w:after="120" w:line="240" w:lineRule="auto"/>
              <w:rPr>
                <w:rFonts w:eastAsia="Times New Roman"/>
                <w:noProof/>
              </w:rPr>
            </w:pPr>
            <w:r>
              <w:rPr>
                <w:noProof/>
              </w:rPr>
              <w:t>2024</w:t>
            </w:r>
          </w:p>
        </w:tc>
        <w:tc>
          <w:tcPr>
            <w:tcW w:w="3006" w:type="dxa"/>
            <w:tcBorders>
              <w:top w:val="single" w:sz="4" w:space="0" w:color="auto"/>
              <w:left w:val="nil"/>
              <w:bottom w:val="single" w:sz="4" w:space="0" w:color="auto"/>
              <w:right w:val="single" w:sz="4" w:space="0" w:color="auto"/>
            </w:tcBorders>
            <w:shd w:val="clear" w:color="auto" w:fill="C6EFCE"/>
            <w:noWrap/>
          </w:tcPr>
          <w:p w14:paraId="0CE89740" w14:textId="77777777" w:rsidR="00A00259" w:rsidRDefault="00371282">
            <w:pPr>
              <w:pStyle w:val="P68B1DB1-Normal12"/>
              <w:spacing w:after="0" w:line="240" w:lineRule="auto"/>
              <w:rPr>
                <w:rFonts w:eastAsia="Times New Roman"/>
                <w:noProof/>
              </w:rPr>
            </w:pPr>
            <w:r>
              <w:rPr>
                <w:noProof/>
              </w:rPr>
              <w:t xml:space="preserve">Entrée en vigueur des actes juridiques relatifs aux contrats de tarification dynamique afin de mettre en œuvre la tarification dynamique pour tous les consommateurs finaux dès qu’un compteur intelligent est installé dans leur connexion de service. L'acte juridique définissant les questions de conception, les termes clés des contrats dynamiques. L’acte juridique établit les droits et obligations des opérateurs, des représentants du chargement et des clients en ce qui concerne la mise en œuvre de la tarification dynamique. </w:t>
            </w:r>
          </w:p>
        </w:tc>
      </w:tr>
    </w:tbl>
    <w:p w14:paraId="325CE8CE" w14:textId="77777777" w:rsidR="00A00259" w:rsidRDefault="00A00259">
      <w:pPr>
        <w:keepNext/>
        <w:keepLines/>
        <w:spacing w:before="240" w:after="0" w:line="240" w:lineRule="auto"/>
        <w:jc w:val="both"/>
        <w:outlineLvl w:val="4"/>
        <w:rPr>
          <w:rFonts w:ascii="Cambria" w:hAnsi="Cambria"/>
          <w:noProof/>
          <w:color w:val="365F91" w:themeColor="accent1" w:themeShade="BF"/>
          <w:sz w:val="24"/>
        </w:rPr>
        <w:sectPr w:rsidR="00A00259">
          <w:headerReference w:type="even" r:id="rId396"/>
          <w:headerReference w:type="default" r:id="rId397"/>
          <w:footerReference w:type="even" r:id="rId398"/>
          <w:footerReference w:type="default" r:id="rId399"/>
          <w:headerReference w:type="first" r:id="rId400"/>
          <w:footerReference w:type="first" r:id="rId401"/>
          <w:pgSz w:w="16839" w:h="11907" w:orient="landscape"/>
          <w:pgMar w:top="1134" w:right="1134" w:bottom="1134" w:left="1134" w:header="567" w:footer="567" w:gutter="0"/>
          <w:cols w:space="720"/>
          <w:docGrid w:linePitch="360"/>
        </w:sectPr>
      </w:pPr>
    </w:p>
    <w:p w14:paraId="315BE5ED" w14:textId="77777777" w:rsidR="00A00259" w:rsidRDefault="00371282">
      <w:pPr>
        <w:pStyle w:val="P68B1DB1-Normal9"/>
        <w:keepNext/>
        <w:keepLines/>
        <w:spacing w:before="240" w:after="0" w:line="240" w:lineRule="auto"/>
        <w:jc w:val="both"/>
        <w:outlineLvl w:val="4"/>
        <w:rPr>
          <w:noProof/>
          <w:color w:val="4F81BD" w:themeColor="accent1"/>
        </w:rPr>
      </w:pPr>
      <w:r>
        <w:rPr>
          <w:noProof/>
        </w:rPr>
        <w:t>Réforme 6: Ensemble d’outils pour promouvoir le partage d’énergie, l’autoconsommation et les communautés d’énergie renouvelable (mesure ID: 16992)</w:t>
      </w:r>
    </w:p>
    <w:tbl>
      <w:tblPr>
        <w:tblW w:w="1555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75"/>
        <w:gridCol w:w="1985"/>
        <w:gridCol w:w="1134"/>
        <w:gridCol w:w="1701"/>
        <w:gridCol w:w="1559"/>
        <w:gridCol w:w="992"/>
        <w:gridCol w:w="1134"/>
        <w:gridCol w:w="993"/>
        <w:gridCol w:w="992"/>
        <w:gridCol w:w="1276"/>
        <w:gridCol w:w="3118"/>
      </w:tblGrid>
      <w:tr w:rsidR="00A00259" w14:paraId="751C3B6D" w14:textId="77777777" w:rsidTr="00096954">
        <w:trPr>
          <w:trHeight w:val="839"/>
          <w:tblHeader/>
        </w:trPr>
        <w:tc>
          <w:tcPr>
            <w:tcW w:w="675" w:type="dxa"/>
            <w:vMerge w:val="restart"/>
            <w:shd w:val="clear" w:color="auto" w:fill="BDD7EE"/>
            <w:vAlign w:val="center"/>
            <w:hideMark/>
          </w:tcPr>
          <w:p w14:paraId="2D908CB1" w14:textId="77777777" w:rsidR="00A00259" w:rsidRDefault="00371282">
            <w:pPr>
              <w:pStyle w:val="P68B1DB1-Normal15"/>
              <w:spacing w:before="120" w:after="120" w:line="240" w:lineRule="auto"/>
              <w:jc w:val="center"/>
              <w:rPr>
                <w:noProof/>
              </w:rPr>
            </w:pPr>
            <w:r>
              <w:rPr>
                <w:noProof/>
              </w:rPr>
              <w:t>Seq. Non.</w:t>
            </w:r>
          </w:p>
        </w:tc>
        <w:tc>
          <w:tcPr>
            <w:tcW w:w="1985" w:type="dxa"/>
            <w:vMerge w:val="restart"/>
            <w:shd w:val="clear" w:color="auto" w:fill="BDD7EE"/>
            <w:vAlign w:val="center"/>
            <w:hideMark/>
          </w:tcPr>
          <w:p w14:paraId="1D7222BE" w14:textId="77777777" w:rsidR="00A00259" w:rsidRDefault="00371282">
            <w:pPr>
              <w:pStyle w:val="P68B1DB1-Normal10"/>
              <w:spacing w:before="120" w:after="120" w:line="240" w:lineRule="auto"/>
              <w:jc w:val="center"/>
              <w:rPr>
                <w:rFonts w:cs="Times New Roman"/>
                <w:noProof/>
                <w:szCs w:val="18"/>
              </w:rPr>
            </w:pPr>
            <w:r>
              <w:rPr>
                <w:noProof/>
              </w:rPr>
              <w:t>Mesure connexe (réforme ou investissement)</w:t>
            </w:r>
          </w:p>
        </w:tc>
        <w:tc>
          <w:tcPr>
            <w:tcW w:w="1134" w:type="dxa"/>
            <w:vMerge w:val="restart"/>
            <w:shd w:val="clear" w:color="auto" w:fill="BDD7EE"/>
            <w:vAlign w:val="center"/>
            <w:hideMark/>
          </w:tcPr>
          <w:p w14:paraId="3EAB8E98" w14:textId="77777777" w:rsidR="00A00259" w:rsidRDefault="00371282">
            <w:pPr>
              <w:pStyle w:val="P68B1DB1-Normal10"/>
              <w:spacing w:before="120" w:after="120" w:line="240" w:lineRule="auto"/>
              <w:jc w:val="center"/>
              <w:rPr>
                <w:rFonts w:cs="Times New Roman"/>
                <w:noProof/>
                <w:szCs w:val="18"/>
              </w:rPr>
            </w:pPr>
            <w:r>
              <w:rPr>
                <w:noProof/>
              </w:rPr>
              <w:t>Étape/cible</w:t>
            </w:r>
          </w:p>
        </w:tc>
        <w:tc>
          <w:tcPr>
            <w:tcW w:w="1701" w:type="dxa"/>
            <w:vMerge w:val="restart"/>
            <w:shd w:val="clear" w:color="auto" w:fill="BDD7EE"/>
            <w:vAlign w:val="center"/>
            <w:hideMark/>
          </w:tcPr>
          <w:p w14:paraId="568A2034" w14:textId="77777777" w:rsidR="00A00259" w:rsidRDefault="00371282">
            <w:pPr>
              <w:pStyle w:val="P68B1DB1-Normal10"/>
              <w:spacing w:before="120" w:after="120" w:line="240" w:lineRule="auto"/>
              <w:jc w:val="center"/>
              <w:rPr>
                <w:rFonts w:cs="Times New Roman"/>
                <w:noProof/>
                <w:szCs w:val="18"/>
              </w:rPr>
            </w:pPr>
            <w:r>
              <w:rPr>
                <w:noProof/>
              </w:rPr>
              <w:t>Nom</w:t>
            </w:r>
          </w:p>
        </w:tc>
        <w:tc>
          <w:tcPr>
            <w:tcW w:w="1559" w:type="dxa"/>
            <w:vMerge w:val="restart"/>
            <w:shd w:val="clear" w:color="auto" w:fill="BDD7EE"/>
            <w:vAlign w:val="center"/>
            <w:hideMark/>
          </w:tcPr>
          <w:p w14:paraId="0C025392" w14:textId="77777777" w:rsidR="00A00259" w:rsidRDefault="00371282">
            <w:pPr>
              <w:pStyle w:val="P68B1DB1-Normal10"/>
              <w:spacing w:before="120" w:after="120" w:line="240" w:lineRule="auto"/>
              <w:jc w:val="center"/>
              <w:rPr>
                <w:rFonts w:cs="Times New Roman"/>
                <w:noProof/>
                <w:szCs w:val="18"/>
              </w:rPr>
            </w:pPr>
            <w:r>
              <w:rPr>
                <w:noProof/>
              </w:rPr>
              <w:t>Indicateurs qualitatifs (pour les jalons)</w:t>
            </w:r>
          </w:p>
        </w:tc>
        <w:tc>
          <w:tcPr>
            <w:tcW w:w="3119" w:type="dxa"/>
            <w:gridSpan w:val="3"/>
            <w:shd w:val="clear" w:color="auto" w:fill="BDD7EE"/>
            <w:vAlign w:val="center"/>
            <w:hideMark/>
          </w:tcPr>
          <w:p w14:paraId="504CB200" w14:textId="77777777" w:rsidR="00A00259" w:rsidRDefault="00371282">
            <w:pPr>
              <w:pStyle w:val="P68B1DB1-Normal10"/>
              <w:spacing w:before="120" w:after="120" w:line="240" w:lineRule="auto"/>
              <w:jc w:val="center"/>
              <w:rPr>
                <w:rFonts w:cs="Times New Roman"/>
                <w:noProof/>
                <w:szCs w:val="18"/>
              </w:rPr>
            </w:pPr>
            <w:r>
              <w:rPr>
                <w:noProof/>
              </w:rPr>
              <w:t>Indicateurs quantitatifs (pour les objectifs)</w:t>
            </w:r>
          </w:p>
        </w:tc>
        <w:tc>
          <w:tcPr>
            <w:tcW w:w="2268" w:type="dxa"/>
            <w:gridSpan w:val="2"/>
            <w:shd w:val="clear" w:color="auto" w:fill="BDD7EE"/>
            <w:vAlign w:val="center"/>
            <w:hideMark/>
          </w:tcPr>
          <w:p w14:paraId="2955790D" w14:textId="77777777" w:rsidR="00A00259" w:rsidRDefault="00371282">
            <w:pPr>
              <w:pStyle w:val="P68B1DB1-Normal10"/>
              <w:spacing w:before="120" w:after="120" w:line="240" w:lineRule="auto"/>
              <w:jc w:val="center"/>
              <w:rPr>
                <w:rFonts w:cs="Times New Roman"/>
                <w:noProof/>
                <w:szCs w:val="18"/>
              </w:rPr>
            </w:pPr>
            <w:r>
              <w:rPr>
                <w:noProof/>
              </w:rPr>
              <w:t>Calendrier indicatif d'achèvement</w:t>
            </w:r>
          </w:p>
        </w:tc>
        <w:tc>
          <w:tcPr>
            <w:tcW w:w="3118" w:type="dxa"/>
            <w:vMerge w:val="restart"/>
            <w:shd w:val="clear" w:color="auto" w:fill="BDD7EE"/>
            <w:vAlign w:val="center"/>
            <w:hideMark/>
          </w:tcPr>
          <w:p w14:paraId="4F11B366" w14:textId="77777777" w:rsidR="00A00259" w:rsidRDefault="00371282">
            <w:pPr>
              <w:pStyle w:val="P68B1DB1-Normal10"/>
              <w:spacing w:before="120" w:after="120" w:line="240" w:lineRule="auto"/>
              <w:jc w:val="center"/>
              <w:rPr>
                <w:rFonts w:cs="Times New Roman"/>
                <w:noProof/>
                <w:szCs w:val="18"/>
              </w:rPr>
            </w:pPr>
            <w:r>
              <w:rPr>
                <w:noProof/>
              </w:rPr>
              <w:t>Description de chaque jalon et cible</w:t>
            </w:r>
          </w:p>
        </w:tc>
      </w:tr>
      <w:tr w:rsidR="00A00259" w14:paraId="4FE29DCF" w14:textId="77777777" w:rsidTr="00096954">
        <w:trPr>
          <w:trHeight w:val="281"/>
          <w:tblHeader/>
        </w:trPr>
        <w:tc>
          <w:tcPr>
            <w:tcW w:w="675" w:type="dxa"/>
            <w:vMerge/>
            <w:vAlign w:val="center"/>
          </w:tcPr>
          <w:p w14:paraId="5720A99A"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985" w:type="dxa"/>
            <w:vMerge/>
            <w:vAlign w:val="center"/>
          </w:tcPr>
          <w:p w14:paraId="1B174D18"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134" w:type="dxa"/>
            <w:vMerge/>
            <w:vAlign w:val="center"/>
          </w:tcPr>
          <w:p w14:paraId="67F54485"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701" w:type="dxa"/>
            <w:vMerge/>
            <w:vAlign w:val="center"/>
          </w:tcPr>
          <w:p w14:paraId="47528200"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559" w:type="dxa"/>
            <w:vMerge/>
            <w:vAlign w:val="center"/>
          </w:tcPr>
          <w:p w14:paraId="4352121E"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992" w:type="dxa"/>
            <w:shd w:val="clear" w:color="auto" w:fill="BDD7EE"/>
            <w:vAlign w:val="center"/>
          </w:tcPr>
          <w:p w14:paraId="3E8DD3C1" w14:textId="77777777" w:rsidR="00A00259" w:rsidRDefault="00371282">
            <w:pPr>
              <w:pStyle w:val="P68B1DB1-Normal10"/>
              <w:spacing w:before="120" w:after="120" w:line="240" w:lineRule="auto"/>
              <w:jc w:val="center"/>
              <w:rPr>
                <w:rFonts w:eastAsia="Times New Roman" w:cs="Times New Roman"/>
                <w:bCs/>
                <w:noProof/>
                <w:szCs w:val="18"/>
              </w:rPr>
            </w:pPr>
            <w:r>
              <w:rPr>
                <w:noProof/>
              </w:rPr>
              <w:t>Unité de mesure</w:t>
            </w:r>
          </w:p>
        </w:tc>
        <w:tc>
          <w:tcPr>
            <w:tcW w:w="1134" w:type="dxa"/>
            <w:shd w:val="clear" w:color="auto" w:fill="BDD7EE"/>
            <w:vAlign w:val="center"/>
          </w:tcPr>
          <w:p w14:paraId="62015832" w14:textId="77777777" w:rsidR="00A00259" w:rsidRDefault="00371282">
            <w:pPr>
              <w:pStyle w:val="P68B1DB1-Normal10"/>
              <w:spacing w:before="120" w:after="120" w:line="240" w:lineRule="auto"/>
              <w:jc w:val="center"/>
              <w:rPr>
                <w:rFonts w:eastAsia="Times New Roman" w:cs="Times New Roman"/>
                <w:bCs/>
                <w:noProof/>
                <w:szCs w:val="18"/>
              </w:rPr>
            </w:pPr>
            <w:r>
              <w:rPr>
                <w:noProof/>
              </w:rPr>
              <w:t>Données de référence</w:t>
            </w:r>
          </w:p>
        </w:tc>
        <w:tc>
          <w:tcPr>
            <w:tcW w:w="993" w:type="dxa"/>
            <w:shd w:val="clear" w:color="auto" w:fill="BDD7EE"/>
            <w:vAlign w:val="center"/>
          </w:tcPr>
          <w:p w14:paraId="68A16222" w14:textId="77777777" w:rsidR="00A00259" w:rsidRDefault="00371282">
            <w:pPr>
              <w:pStyle w:val="P68B1DB1-Normal10"/>
              <w:spacing w:before="120" w:after="120" w:line="240" w:lineRule="auto"/>
              <w:jc w:val="center"/>
              <w:rPr>
                <w:rFonts w:eastAsia="Times New Roman" w:cs="Times New Roman"/>
                <w:bCs/>
                <w:noProof/>
                <w:szCs w:val="18"/>
              </w:rPr>
            </w:pPr>
            <w:r>
              <w:rPr>
                <w:noProof/>
              </w:rPr>
              <w:t>Objectif</w:t>
            </w:r>
          </w:p>
        </w:tc>
        <w:tc>
          <w:tcPr>
            <w:tcW w:w="992" w:type="dxa"/>
            <w:shd w:val="clear" w:color="auto" w:fill="BDD7EE"/>
            <w:vAlign w:val="center"/>
          </w:tcPr>
          <w:p w14:paraId="123EA8BE" w14:textId="77777777" w:rsidR="00A00259" w:rsidRDefault="00371282">
            <w:pPr>
              <w:pStyle w:val="P68B1DB1-Normal10"/>
              <w:spacing w:before="120" w:after="120" w:line="240" w:lineRule="auto"/>
              <w:jc w:val="center"/>
              <w:rPr>
                <w:rFonts w:eastAsia="Times New Roman" w:cs="Times New Roman"/>
                <w:bCs/>
                <w:noProof/>
                <w:szCs w:val="18"/>
              </w:rPr>
            </w:pPr>
            <w:r>
              <w:rPr>
                <w:noProof/>
              </w:rPr>
              <w:t>Trimestre</w:t>
            </w:r>
          </w:p>
        </w:tc>
        <w:tc>
          <w:tcPr>
            <w:tcW w:w="1276" w:type="dxa"/>
            <w:shd w:val="clear" w:color="auto" w:fill="BDD7EE"/>
            <w:vAlign w:val="center"/>
          </w:tcPr>
          <w:p w14:paraId="08DC3434" w14:textId="77777777" w:rsidR="00A00259" w:rsidRDefault="00371282">
            <w:pPr>
              <w:pStyle w:val="P68B1DB1-Normal10"/>
              <w:spacing w:before="120" w:after="120" w:line="240" w:lineRule="auto"/>
              <w:jc w:val="center"/>
              <w:rPr>
                <w:rFonts w:eastAsia="Times New Roman" w:cs="Times New Roman"/>
                <w:bCs/>
                <w:noProof/>
                <w:szCs w:val="18"/>
              </w:rPr>
            </w:pPr>
            <w:r>
              <w:rPr>
                <w:noProof/>
              </w:rPr>
              <w:t>Année</w:t>
            </w:r>
          </w:p>
        </w:tc>
        <w:tc>
          <w:tcPr>
            <w:tcW w:w="3118" w:type="dxa"/>
            <w:vMerge/>
            <w:vAlign w:val="center"/>
          </w:tcPr>
          <w:p w14:paraId="02CB64B1"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r>
      <w:tr w:rsidR="00A00259" w14:paraId="6F4F0FF5" w14:textId="77777777" w:rsidTr="00096954">
        <w:tc>
          <w:tcPr>
            <w:tcW w:w="675" w:type="dxa"/>
            <w:shd w:val="clear" w:color="auto" w:fill="C6EFCE"/>
            <w:noWrap/>
          </w:tcPr>
          <w:p w14:paraId="43CD014B" w14:textId="77777777" w:rsidR="00A00259" w:rsidRDefault="00371282">
            <w:pPr>
              <w:pStyle w:val="P68B1DB1-Normal12"/>
              <w:spacing w:after="0" w:line="240" w:lineRule="auto"/>
              <w:rPr>
                <w:rFonts w:eastAsia="Times New Roman"/>
                <w:noProof/>
              </w:rPr>
            </w:pPr>
            <w:r>
              <w:rPr>
                <w:noProof/>
              </w:rPr>
              <w:t>361</w:t>
            </w:r>
          </w:p>
        </w:tc>
        <w:tc>
          <w:tcPr>
            <w:tcW w:w="1985" w:type="dxa"/>
            <w:shd w:val="clear" w:color="auto" w:fill="C6EFCE"/>
            <w:noWrap/>
          </w:tcPr>
          <w:p w14:paraId="2AB764BA" w14:textId="77777777" w:rsidR="00A00259" w:rsidRDefault="00371282">
            <w:pPr>
              <w:pStyle w:val="P68B1DB1-Normal12"/>
              <w:spacing w:after="0" w:line="240" w:lineRule="auto"/>
              <w:rPr>
                <w:noProof/>
              </w:rPr>
            </w:pPr>
            <w:r>
              <w:rPr>
                <w:noProof/>
              </w:rPr>
              <w:t>20 - 5. Réformes REPowerEU - 16992_Ensemble d’outils pour promouvoir le partage d’énergie, l’autoconsommation et les communautés d’énergie renouvelable</w:t>
            </w:r>
          </w:p>
        </w:tc>
        <w:tc>
          <w:tcPr>
            <w:tcW w:w="1134" w:type="dxa"/>
            <w:shd w:val="clear" w:color="auto" w:fill="C6EFCE"/>
            <w:noWrap/>
          </w:tcPr>
          <w:p w14:paraId="589FFC2D" w14:textId="77777777" w:rsidR="00A00259" w:rsidRDefault="00371282">
            <w:pPr>
              <w:pStyle w:val="P68B1DB1-Normal12"/>
              <w:spacing w:after="120" w:line="240" w:lineRule="auto"/>
              <w:rPr>
                <w:noProof/>
              </w:rPr>
            </w:pPr>
            <w:r>
              <w:rPr>
                <w:noProof/>
              </w:rPr>
              <w:t>Étape</w:t>
            </w:r>
          </w:p>
        </w:tc>
        <w:tc>
          <w:tcPr>
            <w:tcW w:w="1701" w:type="dxa"/>
            <w:shd w:val="clear" w:color="auto" w:fill="C6EFCE"/>
            <w:noWrap/>
          </w:tcPr>
          <w:p w14:paraId="0C9A2491" w14:textId="77777777" w:rsidR="00A00259" w:rsidRDefault="00371282">
            <w:pPr>
              <w:pStyle w:val="P68B1DB1-Normal12"/>
              <w:spacing w:after="0" w:line="240" w:lineRule="auto"/>
              <w:rPr>
                <w:rFonts w:eastAsia="Times New Roman"/>
                <w:noProof/>
              </w:rPr>
            </w:pPr>
            <w:r>
              <w:rPr>
                <w:noProof/>
              </w:rPr>
              <w:t>Entrée en vigueur du droit primaire et du droit dérivé sur l’autoconsommation et facilitation des procédures d’autorisation pour l’installation de stations SER dans les immeubles d’habitation</w:t>
            </w:r>
          </w:p>
        </w:tc>
        <w:tc>
          <w:tcPr>
            <w:tcW w:w="1559" w:type="dxa"/>
            <w:shd w:val="clear" w:color="auto" w:fill="C6EFCE"/>
            <w:noWrap/>
          </w:tcPr>
          <w:p w14:paraId="10797677" w14:textId="77777777" w:rsidR="00A00259" w:rsidRDefault="00371282">
            <w:pPr>
              <w:pStyle w:val="P68B1DB1-Normal12"/>
              <w:spacing w:after="120" w:line="240" w:lineRule="auto"/>
              <w:rPr>
                <w:rFonts w:eastAsia="Times New Roman"/>
                <w:b/>
                <w:bCs/>
                <w:noProof/>
              </w:rPr>
            </w:pPr>
            <w:r>
              <w:rPr>
                <w:noProof/>
              </w:rPr>
              <w:t>Entrée en vigueur du droit primaire et du droit dérivé</w:t>
            </w:r>
          </w:p>
        </w:tc>
        <w:tc>
          <w:tcPr>
            <w:tcW w:w="992" w:type="dxa"/>
            <w:shd w:val="clear" w:color="auto" w:fill="C6EFCE"/>
            <w:noWrap/>
          </w:tcPr>
          <w:p w14:paraId="1EC2780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2583018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2DDF5EBB"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6D4203F9" w14:textId="77777777" w:rsidR="00A00259" w:rsidRDefault="00371282">
            <w:pPr>
              <w:pStyle w:val="P68B1DB1-Normal12"/>
              <w:spacing w:after="120" w:line="240" w:lineRule="auto"/>
              <w:rPr>
                <w:rFonts w:eastAsia="Times New Roman"/>
                <w:noProof/>
              </w:rPr>
            </w:pPr>
            <w:r>
              <w:rPr>
                <w:noProof/>
              </w:rPr>
              <w:t>T1</w:t>
            </w:r>
          </w:p>
        </w:tc>
        <w:tc>
          <w:tcPr>
            <w:tcW w:w="1276" w:type="dxa"/>
            <w:shd w:val="clear" w:color="auto" w:fill="C6EFCE"/>
            <w:noWrap/>
          </w:tcPr>
          <w:p w14:paraId="189F51B5" w14:textId="77777777" w:rsidR="00A00259" w:rsidRDefault="00371282">
            <w:pPr>
              <w:pStyle w:val="P68B1DB1-Normal12"/>
              <w:spacing w:after="120" w:line="240" w:lineRule="auto"/>
              <w:rPr>
                <w:rFonts w:eastAsia="Times New Roman"/>
                <w:noProof/>
              </w:rPr>
            </w:pPr>
            <w:r>
              <w:rPr>
                <w:noProof/>
              </w:rPr>
              <w:t>2024</w:t>
            </w:r>
          </w:p>
        </w:tc>
        <w:tc>
          <w:tcPr>
            <w:tcW w:w="3118" w:type="dxa"/>
            <w:shd w:val="clear" w:color="auto" w:fill="C6EFCE"/>
            <w:noWrap/>
          </w:tcPr>
          <w:p w14:paraId="330E561C" w14:textId="77777777" w:rsidR="00A00259" w:rsidRDefault="00371282">
            <w:pPr>
              <w:pStyle w:val="P68B1DB1-Normal12"/>
              <w:spacing w:after="0" w:line="240" w:lineRule="auto"/>
              <w:rPr>
                <w:rFonts w:eastAsia="Times New Roman"/>
                <w:noProof/>
              </w:rPr>
            </w:pPr>
            <w:r>
              <w:rPr>
                <w:noProof/>
              </w:rPr>
              <w:t>1. Entrée en vigueur du droit dérivé prévu par la loi 5037/2023. En particulier:</w:t>
            </w:r>
          </w:p>
          <w:p w14:paraId="480A4358" w14:textId="77777777" w:rsidR="00A00259" w:rsidRDefault="00371282">
            <w:pPr>
              <w:pStyle w:val="P68B1DB1-Normal12"/>
              <w:spacing w:after="120" w:line="240" w:lineRule="auto"/>
              <w:rPr>
                <w:rFonts w:eastAsia="Times New Roman"/>
                <w:noProof/>
              </w:rPr>
            </w:pPr>
            <w:r>
              <w:rPr>
                <w:noProof/>
              </w:rPr>
              <w:t>Entrée en vigueur de la ou des décisions ministérielles pour la mise en œuvre de l’autoconsommation, de l’autoconsommation par facturation nette virtuelle et de l’autoconsommation collective, de la facturation nette énergétique et de la facturation nette virtuelle précisant, conformément aux articles 64 et 66 de la loi 5037/2023.</w:t>
            </w:r>
          </w:p>
          <w:p w14:paraId="4CC65245" w14:textId="77777777" w:rsidR="00A00259" w:rsidRDefault="00371282">
            <w:pPr>
              <w:pStyle w:val="P68B1DB1-Normal12"/>
              <w:spacing w:after="120" w:line="240" w:lineRule="auto"/>
              <w:rPr>
                <w:rFonts w:eastAsia="Times New Roman"/>
                <w:noProof/>
              </w:rPr>
            </w:pPr>
            <w:r>
              <w:rPr>
                <w:noProof/>
              </w:rPr>
              <w:t xml:space="preserve">2. Entrée en vigueur de la législation primaire visant à faciliter les procédures d’autorisation pour l’installation de stations SER dans des immeubles à appartements (ou à appartements multiples) afin également de favoriser l’autoconsommation collective. Il s’agit notamment de règles visant à faciliter la prise de décision, y compris l’introduction d’un processus majoritaire pour l’installation des SER. </w:t>
            </w:r>
          </w:p>
        </w:tc>
      </w:tr>
      <w:tr w:rsidR="00A00259" w14:paraId="613A02D1" w14:textId="77777777" w:rsidTr="00096954">
        <w:tc>
          <w:tcPr>
            <w:tcW w:w="675" w:type="dxa"/>
            <w:shd w:val="clear" w:color="auto" w:fill="C6EFCE"/>
            <w:noWrap/>
          </w:tcPr>
          <w:p w14:paraId="4724239D" w14:textId="77777777" w:rsidR="00A00259" w:rsidRDefault="00371282">
            <w:pPr>
              <w:pStyle w:val="P68B1DB1-Normal12"/>
              <w:spacing w:after="0" w:line="240" w:lineRule="auto"/>
              <w:rPr>
                <w:rFonts w:eastAsia="Times New Roman"/>
                <w:noProof/>
              </w:rPr>
            </w:pPr>
            <w:r>
              <w:rPr>
                <w:noProof/>
              </w:rPr>
              <w:t>362</w:t>
            </w:r>
          </w:p>
        </w:tc>
        <w:tc>
          <w:tcPr>
            <w:tcW w:w="1985" w:type="dxa"/>
            <w:shd w:val="clear" w:color="auto" w:fill="C6EFCE"/>
            <w:noWrap/>
          </w:tcPr>
          <w:p w14:paraId="50771061" w14:textId="77777777" w:rsidR="00A00259" w:rsidRDefault="00371282">
            <w:pPr>
              <w:pStyle w:val="P68B1DB1-Normal12"/>
              <w:spacing w:after="0" w:line="240" w:lineRule="auto"/>
              <w:rPr>
                <w:rFonts w:eastAsia="Times New Roman"/>
                <w:noProof/>
              </w:rPr>
            </w:pPr>
            <w:r>
              <w:rPr>
                <w:noProof/>
              </w:rPr>
              <w:t>20 - 5. Réformes REPowerEU - 16992_Ensemble d’outils pour promouvoir le partage d’énergie, l’autoconsommation et les communautés d’énergie renouvelable</w:t>
            </w:r>
          </w:p>
        </w:tc>
        <w:tc>
          <w:tcPr>
            <w:tcW w:w="1134" w:type="dxa"/>
            <w:shd w:val="clear" w:color="auto" w:fill="C6EFCE"/>
            <w:noWrap/>
          </w:tcPr>
          <w:p w14:paraId="02BC4AFC" w14:textId="77777777" w:rsidR="00A00259" w:rsidRDefault="00371282">
            <w:pPr>
              <w:pStyle w:val="P68B1DB1-Normal12"/>
              <w:spacing w:after="120" w:line="240" w:lineRule="auto"/>
              <w:rPr>
                <w:rFonts w:eastAsia="Times New Roman"/>
                <w:noProof/>
              </w:rPr>
            </w:pPr>
            <w:r>
              <w:rPr>
                <w:noProof/>
              </w:rPr>
              <w:t>Étape</w:t>
            </w:r>
          </w:p>
        </w:tc>
        <w:tc>
          <w:tcPr>
            <w:tcW w:w="1701" w:type="dxa"/>
            <w:shd w:val="clear" w:color="auto" w:fill="C6EFCE"/>
            <w:noWrap/>
          </w:tcPr>
          <w:p w14:paraId="0C954EB0" w14:textId="77777777" w:rsidR="00A00259" w:rsidRDefault="00371282">
            <w:pPr>
              <w:pStyle w:val="P68B1DB1-Normal12"/>
              <w:spacing w:after="120" w:line="240" w:lineRule="auto"/>
              <w:rPr>
                <w:rFonts w:eastAsia="Times New Roman"/>
                <w:noProof/>
              </w:rPr>
            </w:pPr>
            <w:r>
              <w:rPr>
                <w:noProof/>
              </w:rPr>
              <w:t>Mise en place du registre des autoconsommateurs et de l'assistance technique aux communautés de l'énergie</w:t>
            </w:r>
          </w:p>
        </w:tc>
        <w:tc>
          <w:tcPr>
            <w:tcW w:w="1559" w:type="dxa"/>
            <w:shd w:val="clear" w:color="auto" w:fill="C6EFCE"/>
            <w:noWrap/>
          </w:tcPr>
          <w:p w14:paraId="56F85EB3" w14:textId="6070A826" w:rsidR="00A00259" w:rsidRDefault="00371282">
            <w:pPr>
              <w:pStyle w:val="P68B1DB1-Normal12"/>
              <w:spacing w:after="120" w:line="240" w:lineRule="auto"/>
              <w:rPr>
                <w:rFonts w:eastAsia="Times New Roman"/>
                <w:noProof/>
              </w:rPr>
            </w:pPr>
            <w:r>
              <w:rPr>
                <w:noProof/>
              </w:rPr>
              <w:t>Entrée en vigueur du ou des actes juridiques et rapport de mise en œuvre du ministère de l’environnement et de l’énergie certifiant la mise en place de l’assistance technique</w:t>
            </w:r>
          </w:p>
        </w:tc>
        <w:tc>
          <w:tcPr>
            <w:tcW w:w="992" w:type="dxa"/>
            <w:shd w:val="clear" w:color="auto" w:fill="C6EFCE"/>
            <w:noWrap/>
          </w:tcPr>
          <w:p w14:paraId="1155E2AC" w14:textId="77777777" w:rsidR="00A00259" w:rsidRDefault="00A00259">
            <w:pPr>
              <w:spacing w:after="120" w:line="240" w:lineRule="auto"/>
              <w:rPr>
                <w:rFonts w:ascii="Times New Roman" w:hAnsi="Times New Roman" w:cs="Times New Roman"/>
                <w:noProof/>
                <w:sz w:val="18"/>
                <w:szCs w:val="18"/>
              </w:rPr>
            </w:pPr>
          </w:p>
        </w:tc>
        <w:tc>
          <w:tcPr>
            <w:tcW w:w="1134" w:type="dxa"/>
            <w:shd w:val="clear" w:color="auto" w:fill="C6EFCE"/>
            <w:noWrap/>
          </w:tcPr>
          <w:p w14:paraId="26E58906" w14:textId="77777777" w:rsidR="00A00259" w:rsidRDefault="00A00259">
            <w:pPr>
              <w:spacing w:after="120" w:line="240" w:lineRule="auto"/>
              <w:rPr>
                <w:rFonts w:ascii="Times New Roman" w:hAnsi="Times New Roman" w:cs="Times New Roman"/>
                <w:noProof/>
                <w:sz w:val="18"/>
                <w:szCs w:val="18"/>
              </w:rPr>
            </w:pPr>
          </w:p>
        </w:tc>
        <w:tc>
          <w:tcPr>
            <w:tcW w:w="993" w:type="dxa"/>
            <w:shd w:val="clear" w:color="auto" w:fill="C6EFCE"/>
            <w:noWrap/>
          </w:tcPr>
          <w:p w14:paraId="4EC668EC" w14:textId="77777777" w:rsidR="00A00259" w:rsidRDefault="00A00259">
            <w:pPr>
              <w:spacing w:after="120" w:line="240" w:lineRule="auto"/>
              <w:rPr>
                <w:rFonts w:ascii="Times New Roman" w:hAnsi="Times New Roman" w:cs="Times New Roman"/>
                <w:noProof/>
                <w:sz w:val="18"/>
                <w:szCs w:val="18"/>
              </w:rPr>
            </w:pPr>
          </w:p>
        </w:tc>
        <w:tc>
          <w:tcPr>
            <w:tcW w:w="992" w:type="dxa"/>
            <w:shd w:val="clear" w:color="auto" w:fill="C6EFCE"/>
            <w:noWrap/>
          </w:tcPr>
          <w:p w14:paraId="2CB3F2FD" w14:textId="77777777" w:rsidR="00A00259" w:rsidRDefault="00371282">
            <w:pPr>
              <w:pStyle w:val="P68B1DB1-Normal12"/>
              <w:spacing w:after="120" w:line="240" w:lineRule="auto"/>
              <w:rPr>
                <w:rFonts w:eastAsia="Times New Roman"/>
                <w:noProof/>
              </w:rPr>
            </w:pPr>
            <w:r>
              <w:rPr>
                <w:noProof/>
              </w:rPr>
              <w:t>T1</w:t>
            </w:r>
          </w:p>
        </w:tc>
        <w:tc>
          <w:tcPr>
            <w:tcW w:w="1276" w:type="dxa"/>
            <w:shd w:val="clear" w:color="auto" w:fill="C6EFCE"/>
            <w:noWrap/>
          </w:tcPr>
          <w:p w14:paraId="0E7D91CE" w14:textId="77777777" w:rsidR="00A00259" w:rsidRDefault="00371282">
            <w:pPr>
              <w:pStyle w:val="P68B1DB1-Normal12"/>
              <w:spacing w:after="120" w:line="240" w:lineRule="auto"/>
              <w:rPr>
                <w:rFonts w:eastAsia="Times New Roman"/>
                <w:noProof/>
              </w:rPr>
            </w:pPr>
            <w:r>
              <w:rPr>
                <w:noProof/>
              </w:rPr>
              <w:t>2025</w:t>
            </w:r>
          </w:p>
        </w:tc>
        <w:tc>
          <w:tcPr>
            <w:tcW w:w="3118" w:type="dxa"/>
            <w:shd w:val="clear" w:color="auto" w:fill="C6EFCE"/>
            <w:noWrap/>
          </w:tcPr>
          <w:p w14:paraId="024F40AA" w14:textId="496C79A6" w:rsidR="00A00259" w:rsidRDefault="00371282">
            <w:pPr>
              <w:pStyle w:val="P68B1DB1-Normal12"/>
              <w:spacing w:after="0" w:line="240" w:lineRule="auto"/>
              <w:rPr>
                <w:noProof/>
              </w:rPr>
            </w:pPr>
            <w:r>
              <w:rPr>
                <w:noProof/>
              </w:rPr>
              <w:t xml:space="preserve">Entrée en vigueur de l’acte juridique portant création d’un registre des autoconsommateurs et mise en place d’une assistance technique pour soutenir le développement et le fonctionnement des communautés de l’énergie. Le registre des autoconsommateurs est utilisé pour l’analyse des données et des statistiques, tout en facilitant l’interopérabilité et le partage d’informations. </w:t>
            </w:r>
          </w:p>
          <w:p w14:paraId="35706F68" w14:textId="77777777" w:rsidR="00A00259" w:rsidRDefault="00A00259">
            <w:pPr>
              <w:spacing w:after="0" w:line="240" w:lineRule="auto"/>
              <w:rPr>
                <w:rFonts w:ascii="Times New Roman" w:eastAsia="Times New Roman" w:hAnsi="Times New Roman" w:cs="Times New Roman"/>
                <w:noProof/>
                <w:color w:val="006100"/>
                <w:sz w:val="18"/>
                <w:szCs w:val="18"/>
              </w:rPr>
            </w:pPr>
          </w:p>
          <w:p w14:paraId="356EC4B9" w14:textId="26798CBA" w:rsidR="00A00259" w:rsidRDefault="00371282">
            <w:pPr>
              <w:pStyle w:val="P68B1DB1-Normal12"/>
              <w:spacing w:after="0" w:line="240" w:lineRule="auto"/>
              <w:rPr>
                <w:rFonts w:eastAsia="Times New Roman"/>
                <w:noProof/>
              </w:rPr>
            </w:pPr>
            <w:r>
              <w:rPr>
                <w:noProof/>
              </w:rPr>
              <w:t>Désignation d'une entité compétente pour gérer le registre des autoconsommateurs.</w:t>
            </w:r>
          </w:p>
          <w:p w14:paraId="757DB2D0" w14:textId="77777777" w:rsidR="00A00259" w:rsidRDefault="00A00259">
            <w:pPr>
              <w:spacing w:after="0" w:line="240" w:lineRule="auto"/>
              <w:rPr>
                <w:rFonts w:ascii="Times New Roman" w:eastAsia="Times New Roman" w:hAnsi="Times New Roman" w:cs="Times New Roman"/>
                <w:noProof/>
                <w:color w:val="006100"/>
                <w:sz w:val="18"/>
                <w:szCs w:val="18"/>
              </w:rPr>
            </w:pPr>
          </w:p>
          <w:p w14:paraId="7241CBF2" w14:textId="47A1D837" w:rsidR="00A00259" w:rsidRDefault="00371282">
            <w:pPr>
              <w:pStyle w:val="P68B1DB1-Normal12"/>
              <w:spacing w:after="0" w:line="240" w:lineRule="auto"/>
              <w:rPr>
                <w:rFonts w:eastAsia="Times New Roman"/>
                <w:noProof/>
              </w:rPr>
            </w:pPr>
            <w:r>
              <w:rPr>
                <w:noProof/>
              </w:rPr>
              <w:t xml:space="preserve">Remise du rapport de mise en œuvre certifiant la mise en place de l’assistance technique pour les communautés de l’énergie, y compris les points de contact interactifs. </w:t>
            </w:r>
          </w:p>
        </w:tc>
      </w:tr>
    </w:tbl>
    <w:p w14:paraId="098AE82B" w14:textId="77777777" w:rsidR="00A00259" w:rsidRDefault="00371282">
      <w:pPr>
        <w:pStyle w:val="P68B1DB1-Normal9"/>
        <w:keepNext/>
        <w:keepLines/>
        <w:spacing w:before="240" w:after="0" w:line="240" w:lineRule="auto"/>
        <w:jc w:val="both"/>
        <w:outlineLvl w:val="4"/>
        <w:rPr>
          <w:rFonts w:eastAsia="Times New Roman"/>
          <w:noProof/>
        </w:rPr>
      </w:pPr>
      <w:r>
        <w:rPr>
          <w:noProof/>
        </w:rPr>
        <w:t>Réforme 7: Feuille de route pour des interventions innovantes en matière d’efficacité énergétique et identification de nouveaux instruments financiers (mesure ID: 16993)</w:t>
      </w:r>
    </w:p>
    <w:tbl>
      <w:tblPr>
        <w:tblW w:w="15339" w:type="dxa"/>
        <w:tblInd w:w="-3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86"/>
        <w:gridCol w:w="2280"/>
        <w:gridCol w:w="1200"/>
        <w:gridCol w:w="1333"/>
        <w:gridCol w:w="1553"/>
        <w:gridCol w:w="1205"/>
        <w:gridCol w:w="936"/>
        <w:gridCol w:w="846"/>
        <w:gridCol w:w="986"/>
        <w:gridCol w:w="720"/>
        <w:gridCol w:w="3700"/>
      </w:tblGrid>
      <w:tr w:rsidR="00A00259" w14:paraId="21427498" w14:textId="77777777">
        <w:trPr>
          <w:trHeight w:val="927"/>
          <w:tblHeader/>
        </w:trPr>
        <w:tc>
          <w:tcPr>
            <w:tcW w:w="786" w:type="dxa"/>
            <w:vMerge w:val="restart"/>
            <w:shd w:val="clear" w:color="auto" w:fill="BDD7EE"/>
            <w:vAlign w:val="center"/>
            <w:hideMark/>
          </w:tcPr>
          <w:p w14:paraId="30F95DBD"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Seq. Non. </w:t>
            </w:r>
          </w:p>
        </w:tc>
        <w:tc>
          <w:tcPr>
            <w:tcW w:w="2280" w:type="dxa"/>
            <w:vMerge w:val="restart"/>
            <w:shd w:val="clear" w:color="auto" w:fill="BDD7EE"/>
            <w:vAlign w:val="center"/>
            <w:hideMark/>
          </w:tcPr>
          <w:p w14:paraId="698DE443" w14:textId="77777777" w:rsidR="00A00259" w:rsidRDefault="00371282">
            <w:pPr>
              <w:pStyle w:val="P68B1DB1-Normal10"/>
              <w:spacing w:after="0" w:line="240" w:lineRule="auto"/>
              <w:jc w:val="center"/>
              <w:rPr>
                <w:rFonts w:eastAsia="Times New Roman" w:cs="Times New Roman"/>
                <w:bCs/>
                <w:noProof/>
                <w:szCs w:val="18"/>
              </w:rPr>
            </w:pPr>
            <w:r>
              <w:rPr>
                <w:noProof/>
              </w:rPr>
              <w:t>Mesure connexe (réforme ou investissement)</w:t>
            </w:r>
          </w:p>
        </w:tc>
        <w:tc>
          <w:tcPr>
            <w:tcW w:w="1200" w:type="dxa"/>
            <w:vMerge w:val="restart"/>
            <w:shd w:val="clear" w:color="auto" w:fill="BDD7EE"/>
            <w:vAlign w:val="center"/>
            <w:hideMark/>
          </w:tcPr>
          <w:p w14:paraId="037ADEEC" w14:textId="77777777" w:rsidR="00A00259" w:rsidRDefault="00371282">
            <w:pPr>
              <w:pStyle w:val="P68B1DB1-Normal10"/>
              <w:spacing w:after="0" w:line="240" w:lineRule="auto"/>
              <w:jc w:val="center"/>
              <w:rPr>
                <w:rFonts w:eastAsia="Times New Roman" w:cs="Times New Roman"/>
                <w:bCs/>
                <w:noProof/>
                <w:szCs w:val="18"/>
              </w:rPr>
            </w:pPr>
            <w:r>
              <w:rPr>
                <w:noProof/>
              </w:rPr>
              <w:t>Étape/cible</w:t>
            </w:r>
          </w:p>
        </w:tc>
        <w:tc>
          <w:tcPr>
            <w:tcW w:w="1333" w:type="dxa"/>
            <w:vMerge w:val="restart"/>
            <w:shd w:val="clear" w:color="auto" w:fill="BDD7EE"/>
            <w:vAlign w:val="center"/>
            <w:hideMark/>
          </w:tcPr>
          <w:p w14:paraId="1BC6AB86" w14:textId="77777777" w:rsidR="00A00259" w:rsidRDefault="00371282">
            <w:pPr>
              <w:pStyle w:val="P68B1DB1-Normal10"/>
              <w:spacing w:after="0" w:line="240" w:lineRule="auto"/>
              <w:jc w:val="center"/>
              <w:rPr>
                <w:rFonts w:eastAsia="Times New Roman" w:cs="Times New Roman"/>
                <w:bCs/>
                <w:noProof/>
                <w:szCs w:val="18"/>
              </w:rPr>
            </w:pPr>
            <w:r>
              <w:rPr>
                <w:noProof/>
              </w:rPr>
              <w:t>Nom</w:t>
            </w:r>
          </w:p>
        </w:tc>
        <w:tc>
          <w:tcPr>
            <w:tcW w:w="1553" w:type="dxa"/>
            <w:vMerge w:val="restart"/>
            <w:shd w:val="clear" w:color="auto" w:fill="BDD7EE"/>
            <w:vAlign w:val="center"/>
            <w:hideMark/>
          </w:tcPr>
          <w:p w14:paraId="2FAEF877" w14:textId="77777777" w:rsidR="00A00259" w:rsidRDefault="00371282">
            <w:pPr>
              <w:pStyle w:val="P68B1DB1-Normal10"/>
              <w:spacing w:after="0" w:line="240" w:lineRule="auto"/>
              <w:jc w:val="center"/>
              <w:rPr>
                <w:rFonts w:eastAsia="Times New Roman" w:cs="Times New Roman"/>
                <w:bCs/>
                <w:noProof/>
                <w:szCs w:val="18"/>
              </w:rPr>
            </w:pPr>
            <w:r>
              <w:rPr>
                <w:noProof/>
              </w:rPr>
              <w:t>Indicateurs qualitatifs (pour les jalons)</w:t>
            </w:r>
          </w:p>
        </w:tc>
        <w:tc>
          <w:tcPr>
            <w:tcW w:w="2845" w:type="dxa"/>
            <w:gridSpan w:val="3"/>
            <w:shd w:val="clear" w:color="auto" w:fill="BDD7EE"/>
            <w:vAlign w:val="center"/>
            <w:hideMark/>
          </w:tcPr>
          <w:p w14:paraId="667EBD54" w14:textId="77777777" w:rsidR="00A00259" w:rsidRDefault="00371282">
            <w:pPr>
              <w:pStyle w:val="P68B1DB1-Normal10"/>
              <w:spacing w:after="0" w:line="240" w:lineRule="auto"/>
              <w:jc w:val="center"/>
              <w:rPr>
                <w:rFonts w:eastAsia="Times New Roman" w:cs="Times New Roman"/>
                <w:bCs/>
                <w:noProof/>
                <w:szCs w:val="18"/>
              </w:rPr>
            </w:pPr>
            <w:r>
              <w:rPr>
                <w:noProof/>
              </w:rPr>
              <w:t>Indicateurs quantitatifs (pour les objectifs)</w:t>
            </w:r>
          </w:p>
        </w:tc>
        <w:tc>
          <w:tcPr>
            <w:tcW w:w="1642" w:type="dxa"/>
            <w:gridSpan w:val="2"/>
            <w:shd w:val="clear" w:color="auto" w:fill="BDD7EE"/>
            <w:vAlign w:val="center"/>
            <w:hideMark/>
          </w:tcPr>
          <w:p w14:paraId="27322006"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Calendrier indicatif d'achèvement </w:t>
            </w:r>
          </w:p>
        </w:tc>
        <w:tc>
          <w:tcPr>
            <w:tcW w:w="3700" w:type="dxa"/>
            <w:vMerge w:val="restart"/>
            <w:shd w:val="clear" w:color="auto" w:fill="BDD7EE"/>
            <w:vAlign w:val="center"/>
            <w:hideMark/>
          </w:tcPr>
          <w:p w14:paraId="49035E38" w14:textId="77777777" w:rsidR="00A00259" w:rsidRDefault="00371282">
            <w:pPr>
              <w:pStyle w:val="P68B1DB1-Normal10"/>
              <w:spacing w:after="0" w:line="240" w:lineRule="auto"/>
              <w:jc w:val="center"/>
              <w:rPr>
                <w:rFonts w:eastAsia="Times New Roman" w:cs="Times New Roman"/>
                <w:bCs/>
                <w:noProof/>
                <w:szCs w:val="18"/>
              </w:rPr>
            </w:pPr>
            <w:r>
              <w:rPr>
                <w:noProof/>
              </w:rPr>
              <w:t>Description de chaque jalon et cible</w:t>
            </w:r>
          </w:p>
        </w:tc>
      </w:tr>
      <w:tr w:rsidR="00A00259" w14:paraId="4BF809CE" w14:textId="77777777">
        <w:trPr>
          <w:trHeight w:val="665"/>
        </w:trPr>
        <w:tc>
          <w:tcPr>
            <w:tcW w:w="786" w:type="dxa"/>
            <w:vMerge/>
            <w:vAlign w:val="center"/>
            <w:hideMark/>
          </w:tcPr>
          <w:p w14:paraId="0D7FB46D" w14:textId="77777777" w:rsidR="00A00259" w:rsidRDefault="00A00259">
            <w:pPr>
              <w:spacing w:after="0" w:line="240" w:lineRule="auto"/>
              <w:rPr>
                <w:rFonts w:ascii="Times New Roman" w:eastAsia="Times New Roman" w:hAnsi="Times New Roman" w:cs="Times New Roman"/>
                <w:b/>
                <w:bCs/>
                <w:noProof/>
                <w:sz w:val="18"/>
                <w:szCs w:val="18"/>
              </w:rPr>
            </w:pPr>
          </w:p>
        </w:tc>
        <w:tc>
          <w:tcPr>
            <w:tcW w:w="2280" w:type="dxa"/>
            <w:vMerge/>
            <w:vAlign w:val="center"/>
            <w:hideMark/>
          </w:tcPr>
          <w:p w14:paraId="77397ED4" w14:textId="77777777" w:rsidR="00A00259" w:rsidRDefault="00A00259">
            <w:pPr>
              <w:spacing w:after="0" w:line="240" w:lineRule="auto"/>
              <w:rPr>
                <w:rFonts w:ascii="Times New Roman" w:eastAsia="Times New Roman" w:hAnsi="Times New Roman" w:cs="Times New Roman"/>
                <w:b/>
                <w:bCs/>
                <w:noProof/>
                <w:sz w:val="18"/>
                <w:szCs w:val="18"/>
              </w:rPr>
            </w:pPr>
          </w:p>
        </w:tc>
        <w:tc>
          <w:tcPr>
            <w:tcW w:w="1200" w:type="dxa"/>
            <w:vMerge/>
            <w:vAlign w:val="center"/>
            <w:hideMark/>
          </w:tcPr>
          <w:p w14:paraId="73C384EC" w14:textId="77777777" w:rsidR="00A00259" w:rsidRDefault="00A00259">
            <w:pPr>
              <w:spacing w:after="0" w:line="240" w:lineRule="auto"/>
              <w:rPr>
                <w:rFonts w:ascii="Times New Roman" w:eastAsia="Times New Roman" w:hAnsi="Times New Roman" w:cs="Times New Roman"/>
                <w:b/>
                <w:bCs/>
                <w:noProof/>
                <w:sz w:val="18"/>
                <w:szCs w:val="18"/>
              </w:rPr>
            </w:pPr>
          </w:p>
        </w:tc>
        <w:tc>
          <w:tcPr>
            <w:tcW w:w="1333" w:type="dxa"/>
            <w:vMerge/>
            <w:vAlign w:val="center"/>
            <w:hideMark/>
          </w:tcPr>
          <w:p w14:paraId="2ECF3FF5" w14:textId="77777777" w:rsidR="00A00259" w:rsidRDefault="00A00259">
            <w:pPr>
              <w:spacing w:after="0" w:line="240" w:lineRule="auto"/>
              <w:rPr>
                <w:rFonts w:ascii="Times New Roman" w:eastAsia="Times New Roman" w:hAnsi="Times New Roman" w:cs="Times New Roman"/>
                <w:b/>
                <w:bCs/>
                <w:noProof/>
                <w:sz w:val="18"/>
                <w:szCs w:val="18"/>
              </w:rPr>
            </w:pPr>
          </w:p>
        </w:tc>
        <w:tc>
          <w:tcPr>
            <w:tcW w:w="1553" w:type="dxa"/>
            <w:vMerge/>
            <w:vAlign w:val="center"/>
            <w:hideMark/>
          </w:tcPr>
          <w:p w14:paraId="5FD554F9" w14:textId="77777777" w:rsidR="00A00259" w:rsidRDefault="00A00259">
            <w:pPr>
              <w:spacing w:after="0" w:line="240" w:lineRule="auto"/>
              <w:rPr>
                <w:rFonts w:ascii="Times New Roman" w:eastAsia="Times New Roman" w:hAnsi="Times New Roman" w:cs="Times New Roman"/>
                <w:b/>
                <w:bCs/>
                <w:noProof/>
                <w:sz w:val="18"/>
                <w:szCs w:val="18"/>
              </w:rPr>
            </w:pPr>
          </w:p>
        </w:tc>
        <w:tc>
          <w:tcPr>
            <w:tcW w:w="1205" w:type="dxa"/>
            <w:shd w:val="clear" w:color="auto" w:fill="BDD7EE"/>
            <w:vAlign w:val="center"/>
            <w:hideMark/>
          </w:tcPr>
          <w:p w14:paraId="1629AC6D"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927" w:type="dxa"/>
            <w:shd w:val="clear" w:color="auto" w:fill="BDD7EE"/>
            <w:vAlign w:val="center"/>
            <w:hideMark/>
          </w:tcPr>
          <w:p w14:paraId="57C88E83"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Données de référence </w:t>
            </w:r>
          </w:p>
        </w:tc>
        <w:tc>
          <w:tcPr>
            <w:tcW w:w="713" w:type="dxa"/>
            <w:shd w:val="clear" w:color="auto" w:fill="BDD7EE"/>
            <w:vAlign w:val="center"/>
            <w:hideMark/>
          </w:tcPr>
          <w:p w14:paraId="44102B47" w14:textId="77777777" w:rsidR="00A00259" w:rsidRDefault="00371282">
            <w:pPr>
              <w:pStyle w:val="P68B1DB1-Normal10"/>
              <w:spacing w:after="0" w:line="240" w:lineRule="auto"/>
              <w:jc w:val="center"/>
              <w:rPr>
                <w:rFonts w:eastAsia="Times New Roman" w:cs="Times New Roman"/>
                <w:bCs/>
                <w:noProof/>
                <w:szCs w:val="18"/>
              </w:rPr>
            </w:pPr>
            <w:r>
              <w:rPr>
                <w:noProof/>
              </w:rPr>
              <w:t xml:space="preserve">Objectif </w:t>
            </w:r>
          </w:p>
        </w:tc>
        <w:tc>
          <w:tcPr>
            <w:tcW w:w="922" w:type="dxa"/>
            <w:shd w:val="clear" w:color="auto" w:fill="BDD7EE"/>
            <w:vAlign w:val="center"/>
            <w:hideMark/>
          </w:tcPr>
          <w:p w14:paraId="3B592E04"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720" w:type="dxa"/>
            <w:shd w:val="clear" w:color="auto" w:fill="BDD7EE"/>
            <w:vAlign w:val="center"/>
            <w:hideMark/>
          </w:tcPr>
          <w:p w14:paraId="67472685"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3700" w:type="dxa"/>
            <w:vMerge/>
            <w:vAlign w:val="center"/>
            <w:hideMark/>
          </w:tcPr>
          <w:p w14:paraId="2F9D98B4"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59A9BF2D" w14:textId="77777777">
        <w:tc>
          <w:tcPr>
            <w:tcW w:w="786" w:type="dxa"/>
            <w:shd w:val="clear" w:color="auto" w:fill="C6EFCE"/>
            <w:noWrap/>
          </w:tcPr>
          <w:p w14:paraId="059D0A91" w14:textId="77777777" w:rsidR="00A00259" w:rsidRDefault="00371282">
            <w:pPr>
              <w:pStyle w:val="P68B1DB1-Normal12"/>
              <w:spacing w:after="0" w:line="240" w:lineRule="auto"/>
              <w:rPr>
                <w:rFonts w:eastAsia="Times New Roman"/>
                <w:noProof/>
              </w:rPr>
            </w:pPr>
            <w:r>
              <w:rPr>
                <w:noProof/>
              </w:rPr>
              <w:t>363</w:t>
            </w:r>
          </w:p>
        </w:tc>
        <w:tc>
          <w:tcPr>
            <w:tcW w:w="2280" w:type="dxa"/>
            <w:shd w:val="clear" w:color="auto" w:fill="C6EFCE"/>
            <w:noWrap/>
          </w:tcPr>
          <w:p w14:paraId="74AB1146" w14:textId="77777777" w:rsidR="00A00259" w:rsidRDefault="00371282">
            <w:pPr>
              <w:pStyle w:val="P68B1DB1-Normal12"/>
              <w:spacing w:after="0" w:line="240" w:lineRule="auto"/>
              <w:rPr>
                <w:rFonts w:eastAsia="Times New Roman"/>
                <w:noProof/>
              </w:rPr>
            </w:pPr>
            <w:r>
              <w:rPr>
                <w:noProof/>
              </w:rPr>
              <w:t>20 - 5. Réformes REPowerEU - 16993_Feuille de route pour des interventions innovantes en matière d’efficacité énergétique et identification de nouveaux instruments financiers</w:t>
            </w:r>
          </w:p>
        </w:tc>
        <w:tc>
          <w:tcPr>
            <w:tcW w:w="1200" w:type="dxa"/>
            <w:shd w:val="clear" w:color="auto" w:fill="C6EFCE"/>
            <w:noWrap/>
          </w:tcPr>
          <w:p w14:paraId="61C297E6" w14:textId="77777777" w:rsidR="00A00259" w:rsidRDefault="00371282">
            <w:pPr>
              <w:pStyle w:val="P68B1DB1-Normal12"/>
              <w:spacing w:after="0" w:line="240" w:lineRule="auto"/>
              <w:rPr>
                <w:rFonts w:eastAsia="Times New Roman"/>
                <w:noProof/>
              </w:rPr>
            </w:pPr>
            <w:r>
              <w:rPr>
                <w:noProof/>
              </w:rPr>
              <w:t>Étape</w:t>
            </w:r>
          </w:p>
        </w:tc>
        <w:tc>
          <w:tcPr>
            <w:tcW w:w="1333" w:type="dxa"/>
            <w:shd w:val="clear" w:color="auto" w:fill="C6EFCE"/>
            <w:noWrap/>
          </w:tcPr>
          <w:p w14:paraId="014A3AEF" w14:textId="77777777" w:rsidR="00A00259" w:rsidRDefault="00371282">
            <w:pPr>
              <w:pStyle w:val="P68B1DB1-Normal12"/>
              <w:spacing w:after="0" w:line="240" w:lineRule="auto"/>
              <w:rPr>
                <w:rFonts w:eastAsia="Times New Roman"/>
                <w:noProof/>
              </w:rPr>
            </w:pPr>
            <w:r>
              <w:rPr>
                <w:noProof/>
              </w:rPr>
              <w:t>Mise en place d'une feuille de route pour des interventions innovantes en matière d'efficacité énergétique et d'un cadre juridique</w:t>
            </w:r>
          </w:p>
        </w:tc>
        <w:tc>
          <w:tcPr>
            <w:tcW w:w="1553" w:type="dxa"/>
            <w:shd w:val="clear" w:color="auto" w:fill="C6EFCE"/>
            <w:noWrap/>
          </w:tcPr>
          <w:p w14:paraId="17C39747" w14:textId="77777777" w:rsidR="00A00259" w:rsidRDefault="00371282">
            <w:pPr>
              <w:pStyle w:val="P68B1DB1-Normal12"/>
              <w:spacing w:after="0" w:line="240" w:lineRule="auto"/>
              <w:rPr>
                <w:rFonts w:eastAsia="Times New Roman"/>
                <w:noProof/>
              </w:rPr>
            </w:pPr>
            <w:r>
              <w:rPr>
                <w:noProof/>
              </w:rPr>
              <w:t>Entrée en vigueur de la législation</w:t>
            </w:r>
          </w:p>
        </w:tc>
        <w:tc>
          <w:tcPr>
            <w:tcW w:w="1205" w:type="dxa"/>
            <w:shd w:val="clear" w:color="auto" w:fill="C6EFCE"/>
            <w:noWrap/>
          </w:tcPr>
          <w:p w14:paraId="458F37F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27" w:type="dxa"/>
            <w:shd w:val="clear" w:color="auto" w:fill="C6EFCE"/>
            <w:noWrap/>
          </w:tcPr>
          <w:p w14:paraId="2262D46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447BA1DA"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22" w:type="dxa"/>
            <w:shd w:val="clear" w:color="auto" w:fill="C6EFCE"/>
            <w:noWrap/>
          </w:tcPr>
          <w:p w14:paraId="55FCFCA3" w14:textId="77777777" w:rsidR="00A00259" w:rsidRDefault="00371282">
            <w:pPr>
              <w:pStyle w:val="P68B1DB1-Normal12"/>
              <w:spacing w:after="0" w:line="240" w:lineRule="auto"/>
              <w:rPr>
                <w:rFonts w:eastAsia="Times New Roman"/>
                <w:noProof/>
              </w:rPr>
            </w:pPr>
            <w:r>
              <w:rPr>
                <w:noProof/>
              </w:rPr>
              <w:t>T2</w:t>
            </w:r>
          </w:p>
        </w:tc>
        <w:tc>
          <w:tcPr>
            <w:tcW w:w="720" w:type="dxa"/>
            <w:shd w:val="clear" w:color="auto" w:fill="C6EFCE"/>
            <w:noWrap/>
          </w:tcPr>
          <w:p w14:paraId="6574EE40" w14:textId="77777777" w:rsidR="00A00259" w:rsidRDefault="00371282">
            <w:pPr>
              <w:pStyle w:val="P68B1DB1-Normal12"/>
              <w:spacing w:after="0" w:line="240" w:lineRule="auto"/>
              <w:rPr>
                <w:rFonts w:eastAsia="Times New Roman"/>
                <w:noProof/>
              </w:rPr>
            </w:pPr>
            <w:r>
              <w:rPr>
                <w:noProof/>
              </w:rPr>
              <w:t>2024</w:t>
            </w:r>
          </w:p>
        </w:tc>
        <w:tc>
          <w:tcPr>
            <w:tcW w:w="3700" w:type="dxa"/>
            <w:shd w:val="clear" w:color="auto" w:fill="C6EFCE"/>
            <w:noWrap/>
          </w:tcPr>
          <w:p w14:paraId="51E502D0" w14:textId="77777777" w:rsidR="00A00259" w:rsidRDefault="00371282">
            <w:pPr>
              <w:pStyle w:val="P68B1DB1-Normal12"/>
              <w:spacing w:after="0" w:line="240" w:lineRule="auto"/>
              <w:rPr>
                <w:rFonts w:eastAsia="Times New Roman"/>
                <w:noProof/>
              </w:rPr>
            </w:pPr>
            <w:r>
              <w:rPr>
                <w:noProof/>
              </w:rPr>
              <w:t xml:space="preserve">Entrée en vigueur d’une décision ministérielle adoptant une feuille de route qui définit des interventions innovantes en matière d’efficacité énergétique, y compris des instruments financiers non fondés sur des subventions. </w:t>
            </w:r>
          </w:p>
        </w:tc>
      </w:tr>
      <w:tr w:rsidR="00A00259" w14:paraId="050371D1" w14:textId="77777777">
        <w:tc>
          <w:tcPr>
            <w:tcW w:w="786" w:type="dxa"/>
            <w:shd w:val="clear" w:color="auto" w:fill="C6EFCE"/>
            <w:noWrap/>
          </w:tcPr>
          <w:p w14:paraId="6018047A" w14:textId="77777777" w:rsidR="00A00259" w:rsidRDefault="00371282">
            <w:pPr>
              <w:pStyle w:val="P68B1DB1-Normal12"/>
              <w:spacing w:after="0" w:line="240" w:lineRule="auto"/>
              <w:rPr>
                <w:rFonts w:eastAsia="Times New Roman"/>
                <w:noProof/>
              </w:rPr>
            </w:pPr>
            <w:r>
              <w:rPr>
                <w:noProof/>
              </w:rPr>
              <w:t>364</w:t>
            </w:r>
          </w:p>
        </w:tc>
        <w:tc>
          <w:tcPr>
            <w:tcW w:w="2280" w:type="dxa"/>
            <w:shd w:val="clear" w:color="auto" w:fill="C6EFCE"/>
            <w:noWrap/>
          </w:tcPr>
          <w:p w14:paraId="1470A213" w14:textId="77777777" w:rsidR="00A00259" w:rsidRDefault="00371282">
            <w:pPr>
              <w:pStyle w:val="P68B1DB1-Normal12"/>
              <w:spacing w:after="0" w:line="240" w:lineRule="auto"/>
              <w:rPr>
                <w:rFonts w:eastAsia="Times New Roman"/>
                <w:noProof/>
              </w:rPr>
            </w:pPr>
            <w:r>
              <w:rPr>
                <w:noProof/>
              </w:rPr>
              <w:t>20 - 5. Réformes REPowerEU - 16993_Feuille de route pour des interventions innovantes en matière d’efficacité énergétique et identification de nouveaux instruments financiers</w:t>
            </w:r>
          </w:p>
        </w:tc>
        <w:tc>
          <w:tcPr>
            <w:tcW w:w="1200" w:type="dxa"/>
            <w:shd w:val="clear" w:color="auto" w:fill="C6EFCE"/>
            <w:noWrap/>
          </w:tcPr>
          <w:p w14:paraId="40068001" w14:textId="77777777" w:rsidR="00A00259" w:rsidRDefault="00371282">
            <w:pPr>
              <w:pStyle w:val="P68B1DB1-Normal12"/>
              <w:spacing w:after="0" w:line="240" w:lineRule="auto"/>
              <w:rPr>
                <w:rFonts w:eastAsia="Times New Roman"/>
                <w:noProof/>
              </w:rPr>
            </w:pPr>
            <w:r>
              <w:rPr>
                <w:noProof/>
              </w:rPr>
              <w:t>Étape</w:t>
            </w:r>
          </w:p>
        </w:tc>
        <w:tc>
          <w:tcPr>
            <w:tcW w:w="1333" w:type="dxa"/>
            <w:shd w:val="clear" w:color="auto" w:fill="C6EFCE"/>
            <w:noWrap/>
          </w:tcPr>
          <w:p w14:paraId="54697CAE" w14:textId="77777777" w:rsidR="00A00259" w:rsidRDefault="00371282">
            <w:pPr>
              <w:pStyle w:val="P68B1DB1-Normal12"/>
              <w:spacing w:after="0" w:line="240" w:lineRule="auto"/>
              <w:rPr>
                <w:rFonts w:eastAsia="Times New Roman"/>
                <w:noProof/>
              </w:rPr>
            </w:pPr>
            <w:r>
              <w:rPr>
                <w:noProof/>
              </w:rPr>
              <w:t>Lancement d'un instrument financier sans subvention</w:t>
            </w:r>
          </w:p>
        </w:tc>
        <w:tc>
          <w:tcPr>
            <w:tcW w:w="1553" w:type="dxa"/>
            <w:shd w:val="clear" w:color="auto" w:fill="C6EFCE"/>
            <w:noWrap/>
          </w:tcPr>
          <w:p w14:paraId="6DE102A3" w14:textId="77777777" w:rsidR="00A00259" w:rsidRDefault="00371282">
            <w:pPr>
              <w:pStyle w:val="P68B1DB1-Normal12"/>
              <w:spacing w:after="0" w:line="240" w:lineRule="auto"/>
              <w:rPr>
                <w:rFonts w:eastAsia="Times New Roman"/>
                <w:noProof/>
              </w:rPr>
            </w:pPr>
            <w:r>
              <w:rPr>
                <w:noProof/>
              </w:rPr>
              <w:t>Entrée en vigueur de la législation</w:t>
            </w:r>
          </w:p>
        </w:tc>
        <w:tc>
          <w:tcPr>
            <w:tcW w:w="1205" w:type="dxa"/>
            <w:shd w:val="clear" w:color="auto" w:fill="C6EFCE"/>
            <w:noWrap/>
          </w:tcPr>
          <w:p w14:paraId="6C2F28D7"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27" w:type="dxa"/>
            <w:shd w:val="clear" w:color="auto" w:fill="C6EFCE"/>
            <w:noWrap/>
          </w:tcPr>
          <w:p w14:paraId="683EA33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46091AA0"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22" w:type="dxa"/>
            <w:shd w:val="clear" w:color="auto" w:fill="C6EFCE"/>
            <w:noWrap/>
          </w:tcPr>
          <w:p w14:paraId="664F4031" w14:textId="77777777" w:rsidR="00A00259" w:rsidRDefault="00371282">
            <w:pPr>
              <w:pStyle w:val="P68B1DB1-Normal12"/>
              <w:spacing w:after="0" w:line="240" w:lineRule="auto"/>
              <w:rPr>
                <w:rFonts w:eastAsia="Times New Roman"/>
                <w:noProof/>
              </w:rPr>
            </w:pPr>
            <w:r>
              <w:rPr>
                <w:noProof/>
              </w:rPr>
              <w:t>T2</w:t>
            </w:r>
          </w:p>
        </w:tc>
        <w:tc>
          <w:tcPr>
            <w:tcW w:w="720" w:type="dxa"/>
            <w:shd w:val="clear" w:color="auto" w:fill="C6EFCE"/>
            <w:noWrap/>
          </w:tcPr>
          <w:p w14:paraId="095E905D" w14:textId="77777777" w:rsidR="00A00259" w:rsidRDefault="00371282">
            <w:pPr>
              <w:pStyle w:val="P68B1DB1-Normal12"/>
              <w:spacing w:after="0" w:line="240" w:lineRule="auto"/>
              <w:rPr>
                <w:rFonts w:eastAsia="Times New Roman"/>
                <w:noProof/>
              </w:rPr>
            </w:pPr>
            <w:r>
              <w:rPr>
                <w:noProof/>
              </w:rPr>
              <w:t>2025</w:t>
            </w:r>
          </w:p>
        </w:tc>
        <w:tc>
          <w:tcPr>
            <w:tcW w:w="3700" w:type="dxa"/>
            <w:shd w:val="clear" w:color="auto" w:fill="C6EFCE"/>
            <w:noWrap/>
          </w:tcPr>
          <w:p w14:paraId="0BD4FD3B" w14:textId="20188B85" w:rsidR="00A00259" w:rsidRDefault="00371282">
            <w:pPr>
              <w:spacing w:after="0" w:line="240" w:lineRule="auto"/>
              <w:rPr>
                <w:rFonts w:ascii="Times New Roman" w:eastAsia="Times New Roman" w:hAnsi="Times New Roman" w:cs="Times New Roman"/>
                <w:noProof/>
                <w:color w:val="006100"/>
                <w:sz w:val="18"/>
                <w:szCs w:val="18"/>
              </w:rPr>
            </w:pPr>
            <w:r>
              <w:rPr>
                <w:rFonts w:ascii="Times New Roman" w:hAnsi="Times New Roman" w:cs="Times New Roman"/>
                <w:noProof/>
                <w:color w:val="006100"/>
                <w:sz w:val="18"/>
                <w:szCs w:val="18"/>
              </w:rPr>
              <w:t>Entrée en vigueur du ou des actes juridiques qui lancent un instrument financier non fondé sur des subventions.</w:t>
            </w:r>
            <w:r>
              <w:rPr>
                <w:rStyle w:val="Heading1Char"/>
                <w:rFonts w:ascii="Times New Roman" w:eastAsia="Calibri" w:hAnsi="Times New Roman" w:cs="Times New Roman"/>
                <w:noProof/>
                <w:sz w:val="18"/>
                <w:szCs w:val="18"/>
              </w:rPr>
              <w:t xml:space="preserve"> </w:t>
            </w:r>
          </w:p>
        </w:tc>
      </w:tr>
    </w:tbl>
    <w:p w14:paraId="703206EF" w14:textId="77777777" w:rsidR="00A00259" w:rsidRDefault="00A00259">
      <w:pPr>
        <w:rPr>
          <w:rFonts w:ascii="Times New Roman" w:hAnsi="Times New Roman" w:cs="Times New Roman"/>
          <w:noProof/>
          <w:sz w:val="24"/>
        </w:rPr>
        <w:sectPr w:rsidR="00A00259">
          <w:headerReference w:type="even" r:id="rId402"/>
          <w:headerReference w:type="default" r:id="rId403"/>
          <w:footerReference w:type="even" r:id="rId404"/>
          <w:footerReference w:type="default" r:id="rId405"/>
          <w:headerReference w:type="first" r:id="rId406"/>
          <w:footerReference w:type="first" r:id="rId407"/>
          <w:pgSz w:w="16839" w:h="11907" w:orient="landscape"/>
          <w:pgMar w:top="1134" w:right="1134" w:bottom="1134" w:left="1134" w:header="567" w:footer="567" w:gutter="0"/>
          <w:cols w:space="720"/>
          <w:docGrid w:linePitch="360"/>
        </w:sectPr>
      </w:pPr>
    </w:p>
    <w:p w14:paraId="4A40FEE0" w14:textId="77777777" w:rsidR="00A00259" w:rsidRDefault="00371282">
      <w:pPr>
        <w:pStyle w:val="P68B1DB1-Normal17"/>
        <w:spacing w:before="120" w:after="120" w:line="240" w:lineRule="auto"/>
        <w:ind w:firstLine="6"/>
        <w:jc w:val="both"/>
        <w:outlineLvl w:val="3"/>
        <w:rPr>
          <w:rFonts w:cs="Times New Roman"/>
          <w:bCs/>
          <w:noProof/>
        </w:rPr>
      </w:pPr>
      <w:r>
        <w:rPr>
          <w:noProof/>
        </w:rPr>
        <w:t>U. ÉLÉMENT 5.2: INVESTISSEMENTS REPowerEU</w:t>
      </w:r>
    </w:p>
    <w:p w14:paraId="3A7EC18D" w14:textId="77777777" w:rsidR="00A00259" w:rsidRDefault="00A00259">
      <w:pPr>
        <w:spacing w:before="120" w:after="120" w:line="240" w:lineRule="auto"/>
        <w:jc w:val="both"/>
        <w:rPr>
          <w:rFonts w:ascii="Times New Roman" w:hAnsi="Times New Roman" w:cs="Times New Roman"/>
          <w:b/>
          <w:bCs/>
          <w:noProof/>
          <w:sz w:val="24"/>
          <w:u w:val="single"/>
        </w:rPr>
      </w:pPr>
    </w:p>
    <w:p w14:paraId="2BD40076" w14:textId="77777777" w:rsidR="00A00259" w:rsidRDefault="00371282">
      <w:pPr>
        <w:pStyle w:val="P68B1DB1-Normal6"/>
        <w:spacing w:before="120" w:after="120" w:line="240" w:lineRule="auto"/>
        <w:jc w:val="both"/>
        <w:rPr>
          <w:rFonts w:cs="Times New Roman"/>
          <w:bCs/>
          <w:i/>
          <w:iCs/>
          <w:noProof/>
          <w:color w:val="4F81BD"/>
        </w:rPr>
      </w:pPr>
      <w:r>
        <w:rPr>
          <w:noProof/>
        </w:rPr>
        <w:t>U.1. Description des réformes et des investissements pour le soutien financier non remboursable</w:t>
      </w:r>
    </w:p>
    <w:p w14:paraId="7F227838" w14:textId="77777777" w:rsidR="00A00259" w:rsidRDefault="00371282">
      <w:pPr>
        <w:pStyle w:val="P68B1DB1-Normal5"/>
        <w:spacing w:before="120" w:after="120" w:line="240" w:lineRule="auto"/>
        <w:jc w:val="both"/>
        <w:rPr>
          <w:rFonts w:cs="Times New Roman"/>
          <w:noProof/>
          <w:szCs w:val="24"/>
        </w:rPr>
      </w:pPr>
      <w:r>
        <w:rPr>
          <w:noProof/>
        </w:rPr>
        <w:t>Le chapitre REPowerEU contient trois mesures d’investissement visant à soutenir l’efficacité énergétique, le déploiement de nouvelles sources d’énergie renouvelables, le stockage de l’énergie et le captage et le stockage du carbone, notamment: 1° un investissement visant à soutenir l'efficacité énergétique et la promotion des sources d'énergie renouvelables pour l'autoconsommation qui consiste en cinq sous-investissements couvrant (i) la rénovation énergétique des bâtiments résidentiels par l'octroi de subventions; ii) la rénovation énergétique des bâtiments publics et privés non résidentiels au moyen de subventions; iii) l’installation de systèmes photovoltaïques pour l’autoconsommation dans les bâtiments résidentiels et dans le secteur agricole par l’octroi de subventions; iv) la promotion des sources d’énergie renouvelables dans les bâtiments résidentiels en finançant l’installation de nouveaux systèmes renouvelables pour produire de l’eau chaude; et v) l’amélioration de l’efficacité énergétique des services municipaux de distribution d’eau et d’assainissement; (2) augmenter l'installation de systèmes de stockage d'énergie pour la pénétration de sources d'énergie renouvelables supplémentaires; et 3) des projets pilotes pour la production de biométhane et d’hydrogène renouvelable et la promotion des technologies de captage et de stockage du carbone (CSC) dans les industries difficiles à réduire, visant à favoriser la décarbonation de l’industrie.</w:t>
      </w:r>
    </w:p>
    <w:p w14:paraId="686AF5E0"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Installation de stockage d’énergie pour une pénétration supplémentaire des SER (ID de mesure: 16996)</w:t>
      </w:r>
    </w:p>
    <w:p w14:paraId="6A678430" w14:textId="77777777" w:rsidR="00A00259" w:rsidRDefault="00371282">
      <w:pPr>
        <w:pStyle w:val="P68B1DB1-Normal7"/>
        <w:spacing w:before="120" w:after="120" w:line="240" w:lineRule="auto"/>
        <w:jc w:val="both"/>
        <w:rPr>
          <w:rFonts w:cs="Times New Roman"/>
          <w:noProof/>
        </w:rPr>
      </w:pPr>
      <w:r>
        <w:rPr>
          <w:noProof/>
        </w:rPr>
        <w:t>L’objectif de cette mesure est d’intensifier les investissements: «Soutien à l’installation de systèmes de stockage pour améliorer la pénétration des SER» (ID: 16926) au titre du volet 1.1 (Renforcement). L’investissement consiste en la mise au point de systèmes de stockage autonomes à l’échelle du réseau et conduira à l’installation de nouvelles installations de stockage d’énergie supplémentaires d’une capacité d’au moins 175 MW.</w:t>
      </w:r>
    </w:p>
    <w:p w14:paraId="20472245" w14:textId="77777777" w:rsidR="00A00259" w:rsidRDefault="00371282">
      <w:pPr>
        <w:pStyle w:val="P68B1DB1-Normal5"/>
        <w:spacing w:before="120" w:after="120" w:line="240" w:lineRule="auto"/>
        <w:jc w:val="both"/>
        <w:rPr>
          <w:rFonts w:cs="Times New Roman"/>
          <w:noProof/>
        </w:rPr>
      </w:pPr>
      <w:r>
        <w:rPr>
          <w:b/>
          <w:noProof/>
        </w:rPr>
        <w:t>Investissement:</w:t>
      </w:r>
      <w:r>
        <w:rPr>
          <w:noProof/>
        </w:rPr>
        <w:t xml:space="preserve"> Efficacité énergétique et promotion des SER pour l’autoconsommation (mesure ID: 16994)</w:t>
      </w:r>
    </w:p>
    <w:p w14:paraId="63FA7C11" w14:textId="0993D3E4" w:rsidR="00A00259" w:rsidRDefault="00371282">
      <w:pPr>
        <w:pStyle w:val="P68B1DB1-Normal7"/>
        <w:spacing w:before="120" w:after="120" w:line="240" w:lineRule="auto"/>
        <w:jc w:val="both"/>
        <w:rPr>
          <w:rFonts w:cs="Times New Roman"/>
          <w:noProof/>
        </w:rPr>
      </w:pPr>
      <w:r>
        <w:rPr>
          <w:noProof/>
        </w:rPr>
        <w:t xml:space="preserve">L'objectif de cet investissement est de réaliser des interventions en matière d'efficacité énergétique et d'énergies renouvelables dans de multiples secteurs ayant une consommation finale d'énergie. L'investissement consiste en des rénovations visant à améliorer l'efficacité énergétique, l'installation de systèmes photovoltaïques et l'achat de systèmes de chauffage de l'eau renouvelables. </w:t>
      </w:r>
    </w:p>
    <w:p w14:paraId="1B769190" w14:textId="77777777" w:rsidR="00A00259" w:rsidRDefault="00371282">
      <w:pPr>
        <w:pStyle w:val="P68B1DB1-Normal5"/>
        <w:spacing w:before="120" w:after="120" w:line="240" w:lineRule="auto"/>
        <w:jc w:val="both"/>
        <w:rPr>
          <w:rFonts w:cs="Times New Roman"/>
          <w:noProof/>
          <w:szCs w:val="24"/>
        </w:rPr>
      </w:pPr>
      <w:r>
        <w:rPr>
          <w:b/>
          <w:noProof/>
        </w:rPr>
        <w:t>Investissement</w:t>
      </w:r>
      <w:r>
        <w:rPr>
          <w:noProof/>
        </w:rPr>
        <w:t>: Projet de production d’hydrogène renouvelable (mesure ID: 16995)</w:t>
      </w:r>
    </w:p>
    <w:p w14:paraId="2EBAFEAE" w14:textId="1C78DB1D" w:rsidR="00A00259" w:rsidRDefault="00371282">
      <w:pPr>
        <w:pStyle w:val="P68B1DB1-Normal7"/>
        <w:spacing w:before="120" w:after="120" w:line="240" w:lineRule="auto"/>
        <w:jc w:val="both"/>
        <w:rPr>
          <w:rFonts w:cs="Times New Roman"/>
          <w:noProof/>
        </w:rPr>
      </w:pPr>
      <w:r>
        <w:rPr>
          <w:noProof/>
        </w:rPr>
        <w:t>L’objectif de cet investissement est de favoriser la production d’hydrogène renouvelable en Grèce. L'investissement comprend l'installation d'électrolyseurs, d'infrastructures de soutien et d'un réseau d'hydrogène pour la distribution au sein de la raffinerie.</w:t>
      </w:r>
    </w:p>
    <w:p w14:paraId="56C929FC" w14:textId="77777777" w:rsidR="00A00259" w:rsidRDefault="00A00259">
      <w:pPr>
        <w:rPr>
          <w:rFonts w:ascii="Cambria" w:eastAsia="Times New Roman" w:hAnsi="Cambria"/>
          <w:noProof/>
          <w:color w:val="365F91" w:themeColor="accent1" w:themeShade="BF"/>
          <w:sz w:val="24"/>
          <w:szCs w:val="24"/>
        </w:rPr>
        <w:sectPr w:rsidR="00A00259">
          <w:headerReference w:type="even" r:id="rId408"/>
          <w:headerReference w:type="default" r:id="rId409"/>
          <w:footerReference w:type="even" r:id="rId410"/>
          <w:footerReference w:type="default" r:id="rId411"/>
          <w:headerReference w:type="first" r:id="rId412"/>
          <w:footerReference w:type="first" r:id="rId413"/>
          <w:pgSz w:w="11906" w:h="16838"/>
          <w:pgMar w:top="1134" w:right="1134" w:bottom="1134" w:left="1134" w:header="567" w:footer="567" w:gutter="0"/>
          <w:cols w:space="708"/>
          <w:docGrid w:linePitch="360"/>
        </w:sectPr>
      </w:pPr>
    </w:p>
    <w:p w14:paraId="7E5C7B0A" w14:textId="77777777" w:rsidR="00A00259" w:rsidRDefault="00371282">
      <w:pPr>
        <w:pStyle w:val="P68B1DB1-Normal14"/>
        <w:keepNext/>
        <w:keepLines/>
        <w:spacing w:before="40" w:after="0" w:line="240" w:lineRule="auto"/>
        <w:jc w:val="both"/>
        <w:outlineLvl w:val="4"/>
        <w:rPr>
          <w:rFonts w:ascii="Cambria" w:eastAsia="Times New Roman" w:hAnsi="Cambria"/>
          <w:noProof/>
          <w:color w:val="365F91"/>
          <w:szCs w:val="24"/>
        </w:rPr>
      </w:pPr>
      <w:r>
        <w:rPr>
          <w:rFonts w:ascii="Times New Roman" w:hAnsi="Times New Roman"/>
          <w:b/>
          <w:noProof/>
          <w:u w:val="single"/>
        </w:rPr>
        <w:t>U.2. Étapes, cibles, indicateurs et calendrier pour le suivi et la mise en œuvre du soutien financier non remboursable</w:t>
      </w:r>
      <w:r>
        <w:rPr>
          <w:rFonts w:ascii="Cambria" w:hAnsi="Cambria"/>
          <w:noProof/>
          <w:color w:val="365F91" w:themeColor="accent1" w:themeShade="BF"/>
        </w:rPr>
        <w:t xml:space="preserve"> </w:t>
      </w:r>
    </w:p>
    <w:p w14:paraId="3CE92E50" w14:textId="77777777" w:rsidR="00A00259" w:rsidRDefault="00371282">
      <w:pPr>
        <w:pStyle w:val="P68B1DB1-Normal38"/>
        <w:keepNext/>
        <w:keepLines/>
        <w:spacing w:before="240" w:after="0" w:line="240" w:lineRule="auto"/>
        <w:jc w:val="both"/>
        <w:outlineLvl w:val="4"/>
        <w:rPr>
          <w:rFonts w:eastAsia="Times New Roman"/>
          <w:noProof/>
          <w:color w:val="365F91"/>
        </w:rPr>
      </w:pPr>
      <w:r>
        <w:rPr>
          <w:noProof/>
        </w:rPr>
        <w:t>Investissement 1: Installation de stockage d’énergie pour une pénétration supplémentaire des SER (ID de mesure: 16996)</w:t>
      </w:r>
    </w:p>
    <w:tbl>
      <w:tblPr>
        <w:tblW w:w="14454" w:type="dxa"/>
        <w:tblLayout w:type="fixed"/>
        <w:tblLook w:val="04A0" w:firstRow="1" w:lastRow="0" w:firstColumn="1" w:lastColumn="0" w:noHBand="0" w:noVBand="1"/>
      </w:tblPr>
      <w:tblGrid>
        <w:gridCol w:w="675"/>
        <w:gridCol w:w="2356"/>
        <w:gridCol w:w="1188"/>
        <w:gridCol w:w="992"/>
        <w:gridCol w:w="1547"/>
        <w:gridCol w:w="1022"/>
        <w:gridCol w:w="1022"/>
        <w:gridCol w:w="945"/>
        <w:gridCol w:w="993"/>
        <w:gridCol w:w="850"/>
        <w:gridCol w:w="2864"/>
      </w:tblGrid>
      <w:tr w:rsidR="00A00259" w14:paraId="76DF05BF" w14:textId="77777777" w:rsidTr="0007083E">
        <w:trPr>
          <w:trHeight w:val="300"/>
          <w:tblHeader/>
        </w:trPr>
        <w:tc>
          <w:tcPr>
            <w:tcW w:w="675" w:type="dxa"/>
            <w:vMerge w:val="restart"/>
            <w:tcBorders>
              <w:top w:val="single" w:sz="4" w:space="0" w:color="auto"/>
              <w:left w:val="single" w:sz="4" w:space="0" w:color="auto"/>
              <w:right w:val="single" w:sz="4" w:space="0" w:color="auto"/>
            </w:tcBorders>
            <w:shd w:val="clear" w:color="auto" w:fill="BDD7EE"/>
            <w:vAlign w:val="center"/>
            <w:hideMark/>
          </w:tcPr>
          <w:p w14:paraId="58A27A51" w14:textId="77777777" w:rsidR="00A00259" w:rsidRDefault="00371282">
            <w:pPr>
              <w:pStyle w:val="P68B1DB1-Normal15"/>
              <w:spacing w:before="120" w:after="120" w:line="240" w:lineRule="auto"/>
              <w:jc w:val="center"/>
              <w:rPr>
                <w:noProof/>
              </w:rPr>
            </w:pPr>
            <w:r>
              <w:rPr>
                <w:noProof/>
              </w:rPr>
              <w:t xml:space="preserve">Seq. </w:t>
            </w:r>
            <w:r>
              <w:rPr>
                <w:noProof/>
              </w:rPr>
              <w:br/>
              <w:t>Non.</w:t>
            </w:r>
          </w:p>
        </w:tc>
        <w:tc>
          <w:tcPr>
            <w:tcW w:w="2356" w:type="dxa"/>
            <w:vMerge w:val="restart"/>
            <w:tcBorders>
              <w:top w:val="single" w:sz="4" w:space="0" w:color="auto"/>
              <w:left w:val="single" w:sz="4" w:space="0" w:color="auto"/>
              <w:right w:val="single" w:sz="4" w:space="0" w:color="auto"/>
            </w:tcBorders>
            <w:shd w:val="clear" w:color="auto" w:fill="BDD7EE"/>
            <w:vAlign w:val="center"/>
            <w:hideMark/>
          </w:tcPr>
          <w:p w14:paraId="6C3B6BA9" w14:textId="77777777" w:rsidR="00A00259" w:rsidRDefault="00371282">
            <w:pPr>
              <w:pStyle w:val="P68B1DB1-Normal41"/>
              <w:spacing w:before="120" w:after="120" w:line="240" w:lineRule="auto"/>
              <w:jc w:val="center"/>
              <w:rPr>
                <w:rFonts w:cs="Times New Roman"/>
                <w:noProof/>
              </w:rPr>
            </w:pPr>
            <w:r>
              <w:rPr>
                <w:noProof/>
              </w:rPr>
              <w:t>Mesure connexe (réforme ou investissement)</w:t>
            </w:r>
          </w:p>
        </w:tc>
        <w:tc>
          <w:tcPr>
            <w:tcW w:w="1188" w:type="dxa"/>
            <w:vMerge w:val="restart"/>
            <w:tcBorders>
              <w:top w:val="single" w:sz="4" w:space="0" w:color="auto"/>
              <w:left w:val="single" w:sz="4" w:space="0" w:color="auto"/>
              <w:right w:val="single" w:sz="4" w:space="0" w:color="auto"/>
            </w:tcBorders>
            <w:shd w:val="clear" w:color="auto" w:fill="BDD7EE"/>
            <w:vAlign w:val="center"/>
            <w:hideMark/>
          </w:tcPr>
          <w:p w14:paraId="3E9E245C" w14:textId="77777777" w:rsidR="00A00259" w:rsidRDefault="00371282">
            <w:pPr>
              <w:pStyle w:val="P68B1DB1-Normal41"/>
              <w:spacing w:before="120" w:after="120" w:line="240" w:lineRule="auto"/>
              <w:jc w:val="center"/>
              <w:rPr>
                <w:rFonts w:cs="Times New Roman"/>
                <w:noProof/>
              </w:rPr>
            </w:pPr>
            <w:r>
              <w:rPr>
                <w:noProof/>
              </w:rPr>
              <w:t>Étape/cible</w:t>
            </w:r>
          </w:p>
        </w:tc>
        <w:tc>
          <w:tcPr>
            <w:tcW w:w="992" w:type="dxa"/>
            <w:vMerge w:val="restart"/>
            <w:tcBorders>
              <w:top w:val="single" w:sz="4" w:space="0" w:color="auto"/>
              <w:left w:val="single" w:sz="4" w:space="0" w:color="auto"/>
              <w:right w:val="single" w:sz="4" w:space="0" w:color="auto"/>
            </w:tcBorders>
            <w:shd w:val="clear" w:color="auto" w:fill="BDD7EE"/>
            <w:vAlign w:val="center"/>
            <w:hideMark/>
          </w:tcPr>
          <w:p w14:paraId="53E5C1E6" w14:textId="77777777" w:rsidR="00A00259" w:rsidRDefault="00371282">
            <w:pPr>
              <w:pStyle w:val="P68B1DB1-Normal41"/>
              <w:spacing w:before="120" w:after="120" w:line="240" w:lineRule="auto"/>
              <w:jc w:val="center"/>
              <w:rPr>
                <w:rFonts w:cs="Times New Roman"/>
                <w:noProof/>
              </w:rPr>
            </w:pPr>
            <w:r>
              <w:rPr>
                <w:noProof/>
              </w:rPr>
              <w:t>Nom</w:t>
            </w:r>
          </w:p>
        </w:tc>
        <w:tc>
          <w:tcPr>
            <w:tcW w:w="1547" w:type="dxa"/>
            <w:vMerge w:val="restart"/>
            <w:tcBorders>
              <w:top w:val="single" w:sz="4" w:space="0" w:color="auto"/>
              <w:left w:val="single" w:sz="4" w:space="0" w:color="auto"/>
              <w:right w:val="single" w:sz="4" w:space="0" w:color="auto"/>
            </w:tcBorders>
            <w:shd w:val="clear" w:color="auto" w:fill="BDD7EE"/>
            <w:vAlign w:val="center"/>
            <w:hideMark/>
          </w:tcPr>
          <w:p w14:paraId="304C84A6" w14:textId="77777777" w:rsidR="00A00259" w:rsidRDefault="00371282">
            <w:pPr>
              <w:pStyle w:val="P68B1DB1-Normal41"/>
              <w:spacing w:before="120" w:after="120" w:line="240" w:lineRule="auto"/>
              <w:jc w:val="center"/>
              <w:rPr>
                <w:rFonts w:cs="Times New Roman"/>
                <w:noProof/>
              </w:rPr>
            </w:pPr>
            <w:r>
              <w:rPr>
                <w:noProof/>
              </w:rPr>
              <w:t>Indicateurs qualitatifs (pour les jalons)</w:t>
            </w:r>
          </w:p>
        </w:tc>
        <w:tc>
          <w:tcPr>
            <w:tcW w:w="298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289A3F5" w14:textId="77777777" w:rsidR="00A00259" w:rsidRDefault="00371282">
            <w:pPr>
              <w:pStyle w:val="P68B1DB1-Normal41"/>
              <w:spacing w:before="120" w:after="120" w:line="240" w:lineRule="auto"/>
              <w:jc w:val="center"/>
              <w:rPr>
                <w:rFonts w:cs="Times New Roman"/>
                <w:noProof/>
              </w:rPr>
            </w:pPr>
            <w:r>
              <w:rPr>
                <w:noProof/>
              </w:rPr>
              <w:t>Indicateurs quantitatifs (pour les objectifs)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563A4B3" w14:textId="77777777" w:rsidR="00A00259" w:rsidRDefault="00371282">
            <w:pPr>
              <w:pStyle w:val="P68B1DB1-Normal41"/>
              <w:spacing w:before="120" w:after="120" w:line="240" w:lineRule="auto"/>
              <w:jc w:val="center"/>
              <w:rPr>
                <w:rFonts w:cs="Times New Roman"/>
                <w:noProof/>
              </w:rPr>
            </w:pPr>
            <w:r>
              <w:rPr>
                <w:noProof/>
              </w:rPr>
              <w:t>Calendrier indicatif d'achèvement</w:t>
            </w:r>
          </w:p>
        </w:tc>
        <w:tc>
          <w:tcPr>
            <w:tcW w:w="2864" w:type="dxa"/>
            <w:vMerge w:val="restart"/>
            <w:tcBorders>
              <w:top w:val="single" w:sz="4" w:space="0" w:color="auto"/>
              <w:left w:val="single" w:sz="4" w:space="0" w:color="auto"/>
              <w:right w:val="single" w:sz="4" w:space="0" w:color="auto"/>
            </w:tcBorders>
            <w:shd w:val="clear" w:color="auto" w:fill="BDD7EE"/>
            <w:vAlign w:val="center"/>
            <w:hideMark/>
          </w:tcPr>
          <w:p w14:paraId="0AB257CD" w14:textId="77777777" w:rsidR="00A00259" w:rsidRDefault="00371282">
            <w:pPr>
              <w:pStyle w:val="P68B1DB1-Normal41"/>
              <w:spacing w:before="120" w:after="120" w:line="240" w:lineRule="auto"/>
              <w:jc w:val="center"/>
              <w:rPr>
                <w:rFonts w:cs="Times New Roman"/>
                <w:noProof/>
              </w:rPr>
            </w:pPr>
            <w:r>
              <w:rPr>
                <w:noProof/>
              </w:rPr>
              <w:t>Description de chaque jalon et cible</w:t>
            </w:r>
          </w:p>
        </w:tc>
      </w:tr>
      <w:tr w:rsidR="00A00259" w14:paraId="7B91EFD5" w14:textId="77777777" w:rsidTr="0007083E">
        <w:trPr>
          <w:trHeight w:val="300"/>
          <w:tblHeader/>
        </w:trPr>
        <w:tc>
          <w:tcPr>
            <w:tcW w:w="675" w:type="dxa"/>
            <w:vMerge/>
            <w:tcBorders>
              <w:left w:val="single" w:sz="4" w:space="0" w:color="auto"/>
              <w:bottom w:val="single" w:sz="4" w:space="0" w:color="auto"/>
              <w:right w:val="single" w:sz="4" w:space="0" w:color="auto"/>
            </w:tcBorders>
            <w:vAlign w:val="center"/>
          </w:tcPr>
          <w:p w14:paraId="64EC6C04"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2356" w:type="dxa"/>
            <w:vMerge/>
            <w:tcBorders>
              <w:left w:val="single" w:sz="4" w:space="0" w:color="auto"/>
              <w:bottom w:val="single" w:sz="4" w:space="0" w:color="auto"/>
              <w:right w:val="single" w:sz="4" w:space="0" w:color="auto"/>
            </w:tcBorders>
            <w:vAlign w:val="center"/>
          </w:tcPr>
          <w:p w14:paraId="5CF8CA91"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188" w:type="dxa"/>
            <w:vMerge/>
            <w:tcBorders>
              <w:left w:val="single" w:sz="4" w:space="0" w:color="auto"/>
              <w:bottom w:val="single" w:sz="4" w:space="0" w:color="auto"/>
              <w:right w:val="single" w:sz="4" w:space="0" w:color="auto"/>
            </w:tcBorders>
            <w:vAlign w:val="center"/>
          </w:tcPr>
          <w:p w14:paraId="4F7FF2D8"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992" w:type="dxa"/>
            <w:vMerge/>
            <w:tcBorders>
              <w:left w:val="single" w:sz="4" w:space="0" w:color="auto"/>
              <w:bottom w:val="single" w:sz="4" w:space="0" w:color="auto"/>
              <w:right w:val="single" w:sz="4" w:space="0" w:color="auto"/>
            </w:tcBorders>
            <w:vAlign w:val="center"/>
          </w:tcPr>
          <w:p w14:paraId="7A941DF5"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547" w:type="dxa"/>
            <w:vMerge/>
            <w:tcBorders>
              <w:left w:val="single" w:sz="4" w:space="0" w:color="auto"/>
              <w:bottom w:val="single" w:sz="4" w:space="0" w:color="auto"/>
              <w:right w:val="single" w:sz="4" w:space="0" w:color="auto"/>
            </w:tcBorders>
            <w:vAlign w:val="center"/>
          </w:tcPr>
          <w:p w14:paraId="1F4E49E0"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c>
          <w:tcPr>
            <w:tcW w:w="1022" w:type="dxa"/>
            <w:tcBorders>
              <w:left w:val="single" w:sz="4" w:space="0" w:color="auto"/>
              <w:bottom w:val="single" w:sz="4" w:space="0" w:color="auto"/>
              <w:right w:val="single" w:sz="4" w:space="0" w:color="auto"/>
            </w:tcBorders>
            <w:shd w:val="clear" w:color="auto" w:fill="BDD7EE"/>
            <w:vAlign w:val="center"/>
          </w:tcPr>
          <w:p w14:paraId="1974D23F" w14:textId="77777777" w:rsidR="00A00259" w:rsidRDefault="00371282">
            <w:pPr>
              <w:pStyle w:val="P68B1DB1-Normal41"/>
              <w:spacing w:before="120" w:after="120" w:line="240" w:lineRule="auto"/>
              <w:jc w:val="center"/>
              <w:rPr>
                <w:rFonts w:eastAsia="Times New Roman" w:cs="Times New Roman"/>
                <w:bCs/>
                <w:noProof/>
              </w:rPr>
            </w:pPr>
            <w:r>
              <w:rPr>
                <w:noProof/>
              </w:rPr>
              <w:t>Unité de mesure</w:t>
            </w:r>
          </w:p>
        </w:tc>
        <w:tc>
          <w:tcPr>
            <w:tcW w:w="1022" w:type="dxa"/>
            <w:tcBorders>
              <w:left w:val="single" w:sz="4" w:space="0" w:color="auto"/>
              <w:bottom w:val="single" w:sz="4" w:space="0" w:color="auto"/>
              <w:right w:val="single" w:sz="4" w:space="0" w:color="auto"/>
            </w:tcBorders>
            <w:shd w:val="clear" w:color="auto" w:fill="BDD7EE"/>
            <w:vAlign w:val="center"/>
          </w:tcPr>
          <w:p w14:paraId="31B27362" w14:textId="77777777" w:rsidR="00A00259" w:rsidRDefault="00371282">
            <w:pPr>
              <w:pStyle w:val="P68B1DB1-Normal41"/>
              <w:spacing w:before="120" w:after="120" w:line="240" w:lineRule="auto"/>
              <w:jc w:val="center"/>
              <w:rPr>
                <w:rFonts w:eastAsia="Times New Roman" w:cs="Times New Roman"/>
                <w:bCs/>
                <w:noProof/>
              </w:rPr>
            </w:pPr>
            <w:r>
              <w:rPr>
                <w:noProof/>
              </w:rPr>
              <w:t>Données de référence</w:t>
            </w:r>
          </w:p>
        </w:tc>
        <w:tc>
          <w:tcPr>
            <w:tcW w:w="945" w:type="dxa"/>
            <w:tcBorders>
              <w:top w:val="single" w:sz="4" w:space="0" w:color="auto"/>
              <w:left w:val="nil"/>
              <w:bottom w:val="single" w:sz="4" w:space="0" w:color="auto"/>
              <w:right w:val="single" w:sz="4" w:space="0" w:color="auto"/>
            </w:tcBorders>
            <w:shd w:val="clear" w:color="auto" w:fill="BDD7EE"/>
            <w:vAlign w:val="center"/>
          </w:tcPr>
          <w:p w14:paraId="26014ECB" w14:textId="77777777" w:rsidR="00A00259" w:rsidRDefault="00371282">
            <w:pPr>
              <w:pStyle w:val="P68B1DB1-Normal41"/>
              <w:spacing w:before="120" w:after="120" w:line="240" w:lineRule="auto"/>
              <w:jc w:val="center"/>
              <w:rPr>
                <w:rFonts w:eastAsia="Times New Roman" w:cs="Times New Roman"/>
                <w:bCs/>
                <w:noProof/>
              </w:rPr>
            </w:pPr>
            <w:r>
              <w:rPr>
                <w:noProof/>
              </w:rPr>
              <w:t>Objectif</w:t>
            </w:r>
          </w:p>
        </w:tc>
        <w:tc>
          <w:tcPr>
            <w:tcW w:w="993" w:type="dxa"/>
            <w:tcBorders>
              <w:top w:val="single" w:sz="4" w:space="0" w:color="auto"/>
              <w:left w:val="nil"/>
              <w:bottom w:val="single" w:sz="4" w:space="0" w:color="auto"/>
              <w:right w:val="single" w:sz="4" w:space="0" w:color="auto"/>
            </w:tcBorders>
            <w:shd w:val="clear" w:color="auto" w:fill="BDD7EE"/>
            <w:vAlign w:val="center"/>
          </w:tcPr>
          <w:p w14:paraId="1B389392" w14:textId="77777777" w:rsidR="00A00259" w:rsidRDefault="00371282">
            <w:pPr>
              <w:pStyle w:val="P68B1DB1-Normal41"/>
              <w:spacing w:before="120" w:after="120" w:line="240" w:lineRule="auto"/>
              <w:jc w:val="center"/>
              <w:rPr>
                <w:rFonts w:eastAsia="Times New Roman" w:cs="Times New Roman"/>
                <w:bCs/>
                <w:noProof/>
              </w:rPr>
            </w:pPr>
            <w:r>
              <w:rPr>
                <w:noProof/>
              </w:rPr>
              <w:t>Trimestre</w:t>
            </w:r>
          </w:p>
        </w:tc>
        <w:tc>
          <w:tcPr>
            <w:tcW w:w="850" w:type="dxa"/>
            <w:tcBorders>
              <w:top w:val="single" w:sz="4" w:space="0" w:color="auto"/>
              <w:left w:val="nil"/>
              <w:bottom w:val="single" w:sz="4" w:space="0" w:color="auto"/>
              <w:right w:val="single" w:sz="4" w:space="0" w:color="auto"/>
            </w:tcBorders>
            <w:shd w:val="clear" w:color="auto" w:fill="BDD7EE"/>
            <w:vAlign w:val="center"/>
          </w:tcPr>
          <w:p w14:paraId="64820900" w14:textId="77777777" w:rsidR="00A00259" w:rsidRDefault="00371282">
            <w:pPr>
              <w:pStyle w:val="P68B1DB1-Normal41"/>
              <w:spacing w:before="120" w:after="120" w:line="240" w:lineRule="auto"/>
              <w:jc w:val="center"/>
              <w:rPr>
                <w:rFonts w:eastAsia="Times New Roman" w:cs="Times New Roman"/>
                <w:bCs/>
                <w:noProof/>
              </w:rPr>
            </w:pPr>
            <w:r>
              <w:rPr>
                <w:noProof/>
              </w:rPr>
              <w:t>Année</w:t>
            </w:r>
          </w:p>
        </w:tc>
        <w:tc>
          <w:tcPr>
            <w:tcW w:w="2864" w:type="dxa"/>
            <w:vMerge/>
            <w:tcBorders>
              <w:right w:val="single" w:sz="4" w:space="0" w:color="auto"/>
            </w:tcBorders>
            <w:vAlign w:val="center"/>
          </w:tcPr>
          <w:p w14:paraId="6BA03158" w14:textId="77777777" w:rsidR="00A00259" w:rsidRDefault="00A00259">
            <w:pPr>
              <w:spacing w:before="120" w:after="120" w:line="240" w:lineRule="auto"/>
              <w:jc w:val="center"/>
              <w:rPr>
                <w:rFonts w:ascii="Times New Roman" w:eastAsia="Times New Roman" w:hAnsi="Times New Roman" w:cs="Times New Roman"/>
                <w:b/>
                <w:bCs/>
                <w:noProof/>
                <w:sz w:val="18"/>
                <w:szCs w:val="18"/>
              </w:rPr>
            </w:pPr>
          </w:p>
        </w:tc>
      </w:tr>
      <w:tr w:rsidR="00A00259" w14:paraId="4F256BFB" w14:textId="77777777" w:rsidTr="0007083E">
        <w:trPr>
          <w:trHeight w:val="300"/>
        </w:trPr>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28AAA9C1" w14:textId="77777777" w:rsidR="00A00259" w:rsidRDefault="00371282">
            <w:pPr>
              <w:pStyle w:val="P68B1DB1-Normal12"/>
              <w:spacing w:after="0" w:line="240" w:lineRule="auto"/>
              <w:rPr>
                <w:rFonts w:eastAsia="Times New Roman"/>
                <w:noProof/>
              </w:rPr>
            </w:pPr>
            <w:r>
              <w:rPr>
                <w:noProof/>
              </w:rPr>
              <w:t>365</w:t>
            </w:r>
          </w:p>
        </w:tc>
        <w:tc>
          <w:tcPr>
            <w:tcW w:w="2356" w:type="dxa"/>
            <w:tcBorders>
              <w:top w:val="single" w:sz="4" w:space="0" w:color="auto"/>
              <w:left w:val="nil"/>
              <w:bottom w:val="single" w:sz="4" w:space="0" w:color="auto"/>
              <w:right w:val="single" w:sz="4" w:space="0" w:color="auto"/>
            </w:tcBorders>
            <w:shd w:val="clear" w:color="auto" w:fill="C6EFCE"/>
            <w:noWrap/>
          </w:tcPr>
          <w:p w14:paraId="363F0FD4" w14:textId="77777777" w:rsidR="00A00259" w:rsidRDefault="00371282">
            <w:pPr>
              <w:pStyle w:val="P68B1DB1-Normal12"/>
              <w:spacing w:after="0" w:line="240" w:lineRule="auto"/>
              <w:rPr>
                <w:rFonts w:eastAsia="Times New Roman"/>
                <w:noProof/>
              </w:rPr>
            </w:pPr>
            <w:r>
              <w:rPr>
                <w:noProof/>
              </w:rPr>
              <w:t>21 - 5.2 Investissements REPowerEU – 16996_Installation de stockage d’énergie pour une pénétration supplémentaire des SER</w:t>
            </w:r>
          </w:p>
        </w:tc>
        <w:tc>
          <w:tcPr>
            <w:tcW w:w="1188" w:type="dxa"/>
            <w:tcBorders>
              <w:top w:val="single" w:sz="4" w:space="0" w:color="auto"/>
              <w:left w:val="nil"/>
              <w:bottom w:val="single" w:sz="4" w:space="0" w:color="auto"/>
              <w:right w:val="single" w:sz="4" w:space="0" w:color="auto"/>
            </w:tcBorders>
            <w:shd w:val="clear" w:color="auto" w:fill="C6EFCE"/>
            <w:noWrap/>
          </w:tcPr>
          <w:p w14:paraId="2C4F1321" w14:textId="77777777" w:rsidR="00A00259" w:rsidRDefault="00371282">
            <w:pPr>
              <w:pStyle w:val="P68B1DB1-Normal12"/>
              <w:spacing w:after="0" w:line="240" w:lineRule="auto"/>
              <w:rPr>
                <w:rFonts w:eastAsia="Times New Roman"/>
                <w:noProof/>
              </w:rPr>
            </w:pPr>
            <w:r>
              <w:rPr>
                <w:noProof/>
              </w:rPr>
              <w:t>Étape</w:t>
            </w:r>
          </w:p>
        </w:tc>
        <w:tc>
          <w:tcPr>
            <w:tcW w:w="992" w:type="dxa"/>
            <w:tcBorders>
              <w:top w:val="single" w:sz="4" w:space="0" w:color="auto"/>
              <w:left w:val="nil"/>
              <w:bottom w:val="single" w:sz="4" w:space="0" w:color="auto"/>
              <w:right w:val="single" w:sz="4" w:space="0" w:color="auto"/>
            </w:tcBorders>
            <w:shd w:val="clear" w:color="auto" w:fill="C6EFCE"/>
            <w:noWrap/>
          </w:tcPr>
          <w:p w14:paraId="709DAE07" w14:textId="77777777" w:rsidR="00A00259" w:rsidRDefault="00371282">
            <w:pPr>
              <w:pStyle w:val="P68B1DB1-Normal12"/>
              <w:spacing w:after="0" w:line="240" w:lineRule="auto"/>
              <w:rPr>
                <w:rFonts w:eastAsia="Times New Roman"/>
                <w:noProof/>
              </w:rPr>
            </w:pPr>
            <w:r>
              <w:rPr>
                <w:noProof/>
              </w:rPr>
              <w:t>Projets de stockage d'énergie approuvés</w:t>
            </w:r>
          </w:p>
        </w:tc>
        <w:tc>
          <w:tcPr>
            <w:tcW w:w="1547" w:type="dxa"/>
            <w:tcBorders>
              <w:top w:val="single" w:sz="4" w:space="0" w:color="auto"/>
              <w:left w:val="nil"/>
              <w:bottom w:val="single" w:sz="4" w:space="0" w:color="auto"/>
              <w:right w:val="single" w:sz="4" w:space="0" w:color="auto"/>
            </w:tcBorders>
            <w:shd w:val="clear" w:color="auto" w:fill="C6EFCE"/>
            <w:noWrap/>
          </w:tcPr>
          <w:p w14:paraId="6C2A48F6" w14:textId="77777777" w:rsidR="00A00259" w:rsidRDefault="00371282">
            <w:pPr>
              <w:pStyle w:val="P68B1DB1-Normal12"/>
              <w:spacing w:after="120" w:line="240" w:lineRule="auto"/>
              <w:rPr>
                <w:rFonts w:eastAsia="Times New Roman"/>
                <w:noProof/>
              </w:rPr>
            </w:pPr>
            <w:r>
              <w:rPr>
                <w:noProof/>
              </w:rPr>
              <w:t>Décision d’approbation</w:t>
            </w:r>
          </w:p>
        </w:tc>
        <w:tc>
          <w:tcPr>
            <w:tcW w:w="1022" w:type="dxa"/>
            <w:tcBorders>
              <w:top w:val="single" w:sz="4" w:space="0" w:color="auto"/>
              <w:left w:val="nil"/>
              <w:bottom w:val="single" w:sz="4" w:space="0" w:color="auto"/>
              <w:right w:val="single" w:sz="4" w:space="0" w:color="auto"/>
            </w:tcBorders>
            <w:shd w:val="clear" w:color="auto" w:fill="C6EFCE"/>
            <w:noWrap/>
          </w:tcPr>
          <w:p w14:paraId="2D3E007A" w14:textId="77777777" w:rsidR="00A00259" w:rsidRDefault="00A00259">
            <w:pPr>
              <w:spacing w:after="0" w:line="240" w:lineRule="auto"/>
              <w:rPr>
                <w:rFonts w:ascii="Times New Roman" w:eastAsia="Times New Roman" w:hAnsi="Times New Roman" w:cs="Times New Roman"/>
                <w:noProof/>
                <w:sz w:val="18"/>
                <w:szCs w:val="18"/>
              </w:rPr>
            </w:pPr>
          </w:p>
        </w:tc>
        <w:tc>
          <w:tcPr>
            <w:tcW w:w="1022" w:type="dxa"/>
            <w:tcBorders>
              <w:top w:val="single" w:sz="4" w:space="0" w:color="auto"/>
              <w:left w:val="nil"/>
              <w:bottom w:val="single" w:sz="4" w:space="0" w:color="auto"/>
              <w:right w:val="single" w:sz="4" w:space="0" w:color="auto"/>
            </w:tcBorders>
            <w:shd w:val="clear" w:color="auto" w:fill="C6EFCE"/>
            <w:noWrap/>
          </w:tcPr>
          <w:p w14:paraId="3EA50C95" w14:textId="77777777" w:rsidR="00A00259" w:rsidRDefault="00A00259">
            <w:pPr>
              <w:spacing w:after="0" w:line="240" w:lineRule="auto"/>
              <w:rPr>
                <w:rFonts w:ascii="Times New Roman" w:eastAsia="Times New Roman" w:hAnsi="Times New Roman" w:cs="Times New Roman"/>
                <w:noProof/>
                <w:sz w:val="18"/>
                <w:szCs w:val="18"/>
              </w:rPr>
            </w:pPr>
          </w:p>
        </w:tc>
        <w:tc>
          <w:tcPr>
            <w:tcW w:w="945" w:type="dxa"/>
            <w:tcBorders>
              <w:top w:val="single" w:sz="4" w:space="0" w:color="auto"/>
              <w:left w:val="nil"/>
              <w:bottom w:val="single" w:sz="4" w:space="0" w:color="auto"/>
              <w:right w:val="single" w:sz="4" w:space="0" w:color="auto"/>
            </w:tcBorders>
            <w:shd w:val="clear" w:color="auto" w:fill="C6EFCE"/>
            <w:noWrap/>
          </w:tcPr>
          <w:p w14:paraId="5CE075D0" w14:textId="77777777" w:rsidR="00A00259" w:rsidRDefault="00A00259">
            <w:pPr>
              <w:spacing w:after="0" w:line="240" w:lineRule="auto"/>
              <w:rPr>
                <w:rFonts w:ascii="Times New Roman" w:eastAsia="Times New Roman"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2A14838E" w14:textId="77777777" w:rsidR="00A00259" w:rsidRDefault="00371282">
            <w:pPr>
              <w:pStyle w:val="P68B1DB1-Normal12"/>
              <w:spacing w:after="120" w:line="240" w:lineRule="auto"/>
              <w:rPr>
                <w:rFonts w:eastAsia="Times New Roman"/>
                <w:noProof/>
              </w:rPr>
            </w:pPr>
            <w:r>
              <w:rPr>
                <w:noProof/>
              </w:rPr>
              <w:t>T2</w:t>
            </w:r>
          </w:p>
        </w:tc>
        <w:tc>
          <w:tcPr>
            <w:tcW w:w="850" w:type="dxa"/>
            <w:tcBorders>
              <w:top w:val="nil"/>
              <w:left w:val="nil"/>
              <w:bottom w:val="single" w:sz="4" w:space="0" w:color="auto"/>
              <w:right w:val="single" w:sz="4" w:space="0" w:color="auto"/>
            </w:tcBorders>
            <w:shd w:val="clear" w:color="auto" w:fill="C6EFCE"/>
            <w:noWrap/>
          </w:tcPr>
          <w:p w14:paraId="7007B400" w14:textId="77777777" w:rsidR="00A00259" w:rsidRDefault="00371282">
            <w:pPr>
              <w:pStyle w:val="P68B1DB1-Normal12"/>
              <w:spacing w:after="120" w:line="240" w:lineRule="auto"/>
              <w:rPr>
                <w:rFonts w:eastAsia="Times New Roman"/>
                <w:noProof/>
              </w:rPr>
            </w:pPr>
            <w:r>
              <w:rPr>
                <w:noProof/>
              </w:rPr>
              <w:t>2024</w:t>
            </w:r>
          </w:p>
        </w:tc>
        <w:tc>
          <w:tcPr>
            <w:tcW w:w="2864" w:type="dxa"/>
            <w:tcBorders>
              <w:top w:val="single" w:sz="4" w:space="0" w:color="auto"/>
              <w:left w:val="nil"/>
              <w:bottom w:val="single" w:sz="4" w:space="0" w:color="auto"/>
              <w:right w:val="single" w:sz="4" w:space="0" w:color="auto"/>
            </w:tcBorders>
            <w:shd w:val="clear" w:color="auto" w:fill="C6EFCE"/>
            <w:noWrap/>
          </w:tcPr>
          <w:p w14:paraId="729166E6" w14:textId="77777777" w:rsidR="00A00259" w:rsidRDefault="00371282">
            <w:pPr>
              <w:pStyle w:val="P68B1DB1-Normal12"/>
              <w:spacing w:after="0" w:line="240" w:lineRule="auto"/>
              <w:rPr>
                <w:rFonts w:eastAsia="Times New Roman"/>
                <w:noProof/>
              </w:rPr>
            </w:pPr>
            <w:r>
              <w:rPr>
                <w:noProof/>
              </w:rPr>
              <w:t xml:space="preserve">Publication de la décision d'approbation de RAAWW pour des projets d'une capacité totale de stockage d'électricité de 175 MW. </w:t>
            </w:r>
          </w:p>
        </w:tc>
      </w:tr>
    </w:tbl>
    <w:p w14:paraId="69AC61B6" w14:textId="77777777" w:rsidR="00A00259" w:rsidRDefault="00A00259">
      <w:pPr>
        <w:rPr>
          <w:noProof/>
        </w:rPr>
      </w:pPr>
    </w:p>
    <w:p w14:paraId="09090C88" w14:textId="401A4CEC" w:rsidR="00A00259" w:rsidRDefault="00371282">
      <w:pPr>
        <w:rPr>
          <w:rFonts w:ascii="Cambria" w:eastAsia="Times New Roman" w:hAnsi="Cambria"/>
          <w:noProof/>
          <w:color w:val="365F91"/>
          <w:sz w:val="24"/>
        </w:rPr>
      </w:pPr>
      <w:r>
        <w:rPr>
          <w:noProof/>
        </w:rPr>
        <w:br w:type="page"/>
      </w:r>
      <w:r>
        <w:rPr>
          <w:rFonts w:ascii="Cambria" w:hAnsi="Cambria"/>
          <w:noProof/>
          <w:color w:val="365F91"/>
          <w:sz w:val="24"/>
        </w:rPr>
        <w:t>Investissement 2: Efficacité énergétique et promotion des SER pour l’autoconsommation (mesure ID: 16994)</w:t>
      </w:r>
    </w:p>
    <w:tbl>
      <w:tblPr>
        <w:tblW w:w="14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2345"/>
        <w:gridCol w:w="1095"/>
        <w:gridCol w:w="1665"/>
        <w:gridCol w:w="1230"/>
        <w:gridCol w:w="1363"/>
        <w:gridCol w:w="899"/>
        <w:gridCol w:w="216"/>
        <w:gridCol w:w="931"/>
        <w:gridCol w:w="1131"/>
        <w:gridCol w:w="761"/>
        <w:gridCol w:w="2569"/>
      </w:tblGrid>
      <w:tr w:rsidR="00A00259" w14:paraId="1595E1B7" w14:textId="77777777" w:rsidTr="0007083E">
        <w:trPr>
          <w:trHeight w:val="983"/>
          <w:tblHeader/>
        </w:trPr>
        <w:tc>
          <w:tcPr>
            <w:tcW w:w="57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3B327959" w14:textId="77777777" w:rsidR="00A00259" w:rsidRDefault="00371282">
            <w:pPr>
              <w:pStyle w:val="P68B1DB1-Normal15"/>
              <w:spacing w:after="0" w:line="240" w:lineRule="auto"/>
              <w:jc w:val="center"/>
              <w:rPr>
                <w:rFonts w:eastAsia="Times New Roman"/>
                <w:noProof/>
                <w:color w:val="006100"/>
              </w:rPr>
            </w:pPr>
            <w:r>
              <w:rPr>
                <w:noProof/>
              </w:rPr>
              <w:t xml:space="preserve">Seq. </w:t>
            </w:r>
            <w:r>
              <w:rPr>
                <w:noProof/>
              </w:rPr>
              <w:br/>
              <w:t>Non.</w:t>
            </w:r>
          </w:p>
        </w:tc>
        <w:tc>
          <w:tcPr>
            <w:tcW w:w="235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1A66312A" w14:textId="77777777" w:rsidR="00A00259" w:rsidRDefault="00371282">
            <w:pPr>
              <w:pStyle w:val="P68B1DB1-Normal10"/>
              <w:spacing w:after="0" w:line="240" w:lineRule="auto"/>
              <w:jc w:val="center"/>
              <w:rPr>
                <w:rFonts w:eastAsia="Times New Roman" w:cs="Times New Roman"/>
                <w:noProof/>
                <w:color w:val="006100"/>
                <w:szCs w:val="18"/>
              </w:rPr>
            </w:pPr>
            <w:r>
              <w:rPr>
                <w:noProof/>
              </w:rPr>
              <w:t>Mesure connexe (réforme ou investissement)</w:t>
            </w:r>
          </w:p>
        </w:tc>
        <w:tc>
          <w:tcPr>
            <w:tcW w:w="109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5D78C5F6" w14:textId="77777777" w:rsidR="00A00259" w:rsidRDefault="00371282">
            <w:pPr>
              <w:pStyle w:val="P68B1DB1-Normal10"/>
              <w:spacing w:after="0" w:line="240" w:lineRule="auto"/>
              <w:jc w:val="center"/>
              <w:rPr>
                <w:rFonts w:eastAsia="Times New Roman" w:cs="Times New Roman"/>
                <w:noProof/>
                <w:color w:val="006100"/>
                <w:szCs w:val="18"/>
              </w:rPr>
            </w:pPr>
            <w:r>
              <w:rPr>
                <w:noProof/>
              </w:rPr>
              <w:t>Étape/cible</w:t>
            </w:r>
          </w:p>
        </w:tc>
        <w:tc>
          <w:tcPr>
            <w:tcW w:w="165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7D4F66EC" w14:textId="77777777" w:rsidR="00A00259" w:rsidRDefault="00371282">
            <w:pPr>
              <w:pStyle w:val="P68B1DB1-Normal10"/>
              <w:spacing w:after="0" w:line="240" w:lineRule="auto"/>
              <w:jc w:val="center"/>
              <w:rPr>
                <w:rFonts w:eastAsia="Times New Roman" w:cs="Times New Roman"/>
                <w:noProof/>
                <w:color w:val="006100"/>
                <w:szCs w:val="18"/>
              </w:rPr>
            </w:pPr>
            <w:r>
              <w:rPr>
                <w:noProof/>
              </w:rPr>
              <w:t>Nom</w:t>
            </w:r>
          </w:p>
        </w:tc>
        <w:tc>
          <w:tcPr>
            <w:tcW w:w="123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6A2C75E6" w14:textId="77777777" w:rsidR="00A00259" w:rsidRDefault="00371282">
            <w:pPr>
              <w:pStyle w:val="P68B1DB1-Normal10"/>
              <w:spacing w:after="0" w:line="240" w:lineRule="auto"/>
              <w:jc w:val="center"/>
              <w:rPr>
                <w:rFonts w:eastAsia="Times New Roman" w:cs="Times New Roman"/>
                <w:noProof/>
                <w:color w:val="006100"/>
                <w:szCs w:val="18"/>
              </w:rPr>
            </w:pPr>
            <w:r>
              <w:rPr>
                <w:noProof/>
              </w:rPr>
              <w:t>Indicateurs qualitatifs (pour les jalons)</w:t>
            </w:r>
          </w:p>
        </w:tc>
        <w:tc>
          <w:tcPr>
            <w:tcW w:w="3403" w:type="dxa"/>
            <w:gridSpan w:val="4"/>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46B3F6A9" w14:textId="77777777" w:rsidR="00A00259" w:rsidRDefault="00371282">
            <w:pPr>
              <w:pStyle w:val="P68B1DB1-Normal10"/>
              <w:spacing w:after="0" w:line="240" w:lineRule="auto"/>
              <w:jc w:val="center"/>
              <w:rPr>
                <w:rFonts w:eastAsia="Times New Roman" w:cs="Times New Roman"/>
                <w:noProof/>
                <w:color w:val="006100"/>
                <w:szCs w:val="18"/>
              </w:rPr>
            </w:pPr>
            <w:r>
              <w:rPr>
                <w:noProof/>
              </w:rPr>
              <w:t>Indicateurs quantitatifs (pour les objectifs)</w:t>
            </w:r>
          </w:p>
        </w:tc>
        <w:tc>
          <w:tcPr>
            <w:tcW w:w="1897"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010A7FC6" w14:textId="77777777" w:rsidR="00A00259" w:rsidRDefault="00371282">
            <w:pPr>
              <w:pStyle w:val="P68B1DB1-Normal10"/>
              <w:spacing w:after="0" w:line="240" w:lineRule="auto"/>
              <w:jc w:val="center"/>
              <w:rPr>
                <w:rFonts w:eastAsia="Times New Roman" w:cs="Times New Roman"/>
                <w:noProof/>
                <w:color w:val="006100"/>
                <w:szCs w:val="18"/>
              </w:rPr>
            </w:pPr>
            <w:r>
              <w:rPr>
                <w:noProof/>
              </w:rPr>
              <w:t>Calendrier indicatif d'achèvement</w:t>
            </w:r>
          </w:p>
        </w:tc>
        <w:tc>
          <w:tcPr>
            <w:tcW w:w="257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0AD48242" w14:textId="77777777" w:rsidR="00A00259" w:rsidRDefault="00371282">
            <w:pPr>
              <w:pStyle w:val="P68B1DB1-Normal10"/>
              <w:spacing w:after="0" w:line="240" w:lineRule="auto"/>
              <w:jc w:val="center"/>
              <w:rPr>
                <w:rFonts w:eastAsia="Times New Roman" w:cs="Times New Roman"/>
                <w:noProof/>
                <w:color w:val="006100"/>
                <w:szCs w:val="18"/>
              </w:rPr>
            </w:pPr>
            <w:r>
              <w:rPr>
                <w:noProof/>
              </w:rPr>
              <w:t>Description de chaque jalon et cible</w:t>
            </w:r>
          </w:p>
        </w:tc>
      </w:tr>
      <w:tr w:rsidR="00A00259" w14:paraId="3197BFEF" w14:textId="77777777" w:rsidTr="0007083E">
        <w:trPr>
          <w:trHeight w:val="557"/>
          <w:tblHeader/>
        </w:trPr>
        <w:tc>
          <w:tcPr>
            <w:tcW w:w="578" w:type="dxa"/>
            <w:vMerge/>
            <w:noWrap/>
            <w:vAlign w:val="center"/>
          </w:tcPr>
          <w:p w14:paraId="3200F040" w14:textId="77777777" w:rsidR="00A00259" w:rsidRDefault="00A00259">
            <w:pPr>
              <w:spacing w:after="0" w:line="240" w:lineRule="auto"/>
              <w:rPr>
                <w:rFonts w:ascii="Times New Roman" w:eastAsia="Times New Roman" w:hAnsi="Times New Roman" w:cs="Times New Roman"/>
                <w:b/>
                <w:bCs/>
                <w:noProof/>
                <w:sz w:val="18"/>
                <w:szCs w:val="18"/>
              </w:rPr>
            </w:pPr>
          </w:p>
        </w:tc>
        <w:tc>
          <w:tcPr>
            <w:tcW w:w="2351" w:type="dxa"/>
            <w:vMerge/>
            <w:noWrap/>
            <w:vAlign w:val="center"/>
          </w:tcPr>
          <w:p w14:paraId="690DA35F" w14:textId="77777777" w:rsidR="00A00259" w:rsidRDefault="00A00259">
            <w:pPr>
              <w:spacing w:after="0" w:line="240" w:lineRule="auto"/>
              <w:rPr>
                <w:rFonts w:ascii="Times New Roman" w:eastAsia="Times New Roman" w:hAnsi="Times New Roman" w:cs="Times New Roman"/>
                <w:b/>
                <w:bCs/>
                <w:noProof/>
                <w:sz w:val="18"/>
                <w:szCs w:val="18"/>
              </w:rPr>
            </w:pPr>
          </w:p>
        </w:tc>
        <w:tc>
          <w:tcPr>
            <w:tcW w:w="1097" w:type="dxa"/>
            <w:vMerge/>
            <w:noWrap/>
            <w:vAlign w:val="center"/>
          </w:tcPr>
          <w:p w14:paraId="4B416D15" w14:textId="77777777" w:rsidR="00A00259" w:rsidRDefault="00A00259">
            <w:pPr>
              <w:spacing w:after="0" w:line="240" w:lineRule="auto"/>
              <w:rPr>
                <w:rFonts w:ascii="Times New Roman" w:eastAsia="Times New Roman" w:hAnsi="Times New Roman" w:cs="Times New Roman"/>
                <w:b/>
                <w:bCs/>
                <w:noProof/>
                <w:sz w:val="18"/>
                <w:szCs w:val="18"/>
              </w:rPr>
            </w:pPr>
          </w:p>
        </w:tc>
        <w:tc>
          <w:tcPr>
            <w:tcW w:w="1652" w:type="dxa"/>
            <w:vMerge/>
            <w:noWrap/>
            <w:vAlign w:val="center"/>
          </w:tcPr>
          <w:p w14:paraId="2802A0A3" w14:textId="77777777" w:rsidR="00A00259" w:rsidRDefault="00A00259">
            <w:pPr>
              <w:spacing w:after="0" w:line="240" w:lineRule="auto"/>
              <w:rPr>
                <w:rFonts w:ascii="Times New Roman" w:eastAsia="Times New Roman" w:hAnsi="Times New Roman" w:cs="Times New Roman"/>
                <w:b/>
                <w:bCs/>
                <w:noProof/>
                <w:sz w:val="18"/>
                <w:szCs w:val="18"/>
              </w:rPr>
            </w:pPr>
          </w:p>
        </w:tc>
        <w:tc>
          <w:tcPr>
            <w:tcW w:w="1233" w:type="dxa"/>
            <w:vMerge/>
            <w:noWrap/>
            <w:vAlign w:val="center"/>
          </w:tcPr>
          <w:p w14:paraId="07D9572C" w14:textId="77777777" w:rsidR="00A00259" w:rsidRDefault="00A00259">
            <w:pPr>
              <w:spacing w:after="0" w:line="240" w:lineRule="auto"/>
              <w:rPr>
                <w:rFonts w:ascii="Times New Roman" w:eastAsia="Times New Roman" w:hAnsi="Times New Roman" w:cs="Times New Roman"/>
                <w:b/>
                <w:bCs/>
                <w:noProof/>
                <w:sz w:val="18"/>
                <w:szCs w:val="18"/>
              </w:rPr>
            </w:pPr>
          </w:p>
        </w:tc>
        <w:tc>
          <w:tcPr>
            <w:tcW w:w="1353" w:type="dxa"/>
            <w:tcBorders>
              <w:top w:val="single" w:sz="4" w:space="0" w:color="auto"/>
            </w:tcBorders>
            <w:shd w:val="clear" w:color="auto" w:fill="B8CCE4" w:themeFill="accent1" w:themeFillTint="66"/>
            <w:noWrap/>
            <w:vAlign w:val="center"/>
          </w:tcPr>
          <w:p w14:paraId="37F1F12D" w14:textId="77777777" w:rsidR="00A00259" w:rsidRDefault="00371282">
            <w:pPr>
              <w:pStyle w:val="P68B1DB1-Normal10"/>
              <w:spacing w:after="0" w:line="240" w:lineRule="auto"/>
              <w:jc w:val="center"/>
              <w:rPr>
                <w:rFonts w:eastAsia="Times New Roman" w:cs="Times New Roman"/>
                <w:bCs/>
                <w:noProof/>
                <w:szCs w:val="18"/>
              </w:rPr>
            </w:pPr>
            <w:r>
              <w:rPr>
                <w:noProof/>
              </w:rPr>
              <w:t>Unité de mesure</w:t>
            </w:r>
          </w:p>
        </w:tc>
        <w:tc>
          <w:tcPr>
            <w:tcW w:w="1083" w:type="dxa"/>
            <w:gridSpan w:val="2"/>
            <w:tcBorders>
              <w:top w:val="single" w:sz="4" w:space="0" w:color="auto"/>
            </w:tcBorders>
            <w:shd w:val="clear" w:color="auto" w:fill="B8CCE4" w:themeFill="accent1" w:themeFillTint="66"/>
            <w:vAlign w:val="center"/>
          </w:tcPr>
          <w:p w14:paraId="57BE1C0B" w14:textId="77777777" w:rsidR="00A00259" w:rsidRDefault="00371282">
            <w:pPr>
              <w:pStyle w:val="P68B1DB1-Normal10"/>
              <w:spacing w:after="0" w:line="240" w:lineRule="auto"/>
              <w:jc w:val="center"/>
              <w:rPr>
                <w:rFonts w:eastAsia="Times New Roman" w:cs="Times New Roman"/>
                <w:bCs/>
                <w:noProof/>
                <w:szCs w:val="18"/>
              </w:rPr>
            </w:pPr>
            <w:r>
              <w:rPr>
                <w:noProof/>
              </w:rPr>
              <w:t>Données de référence</w:t>
            </w:r>
          </w:p>
        </w:tc>
        <w:tc>
          <w:tcPr>
            <w:tcW w:w="967" w:type="dxa"/>
            <w:tcBorders>
              <w:top w:val="single" w:sz="4" w:space="0" w:color="auto"/>
            </w:tcBorders>
            <w:shd w:val="clear" w:color="auto" w:fill="B8CCE4" w:themeFill="accent1" w:themeFillTint="66"/>
            <w:vAlign w:val="center"/>
          </w:tcPr>
          <w:p w14:paraId="3346C3E3" w14:textId="77777777" w:rsidR="00A00259" w:rsidRDefault="00371282">
            <w:pPr>
              <w:pStyle w:val="P68B1DB1-Normal10"/>
              <w:spacing w:after="0" w:line="240" w:lineRule="auto"/>
              <w:jc w:val="center"/>
              <w:rPr>
                <w:rFonts w:eastAsia="Times New Roman" w:cs="Times New Roman"/>
                <w:bCs/>
                <w:noProof/>
                <w:szCs w:val="18"/>
              </w:rPr>
            </w:pPr>
            <w:r>
              <w:rPr>
                <w:noProof/>
              </w:rPr>
              <w:t>Objectif</w:t>
            </w:r>
          </w:p>
        </w:tc>
        <w:tc>
          <w:tcPr>
            <w:tcW w:w="1134" w:type="dxa"/>
            <w:tcBorders>
              <w:top w:val="single" w:sz="4" w:space="0" w:color="auto"/>
            </w:tcBorders>
            <w:shd w:val="clear" w:color="auto" w:fill="B8CCE4" w:themeFill="accent1" w:themeFillTint="66"/>
            <w:noWrap/>
            <w:vAlign w:val="center"/>
          </w:tcPr>
          <w:p w14:paraId="3CD5B8E7" w14:textId="77777777" w:rsidR="00A00259" w:rsidRDefault="00371282">
            <w:pPr>
              <w:pStyle w:val="P68B1DB1-Normal10"/>
              <w:spacing w:after="0" w:line="240" w:lineRule="auto"/>
              <w:jc w:val="center"/>
              <w:rPr>
                <w:rFonts w:eastAsia="Times New Roman" w:cs="Times New Roman"/>
                <w:bCs/>
                <w:noProof/>
                <w:szCs w:val="18"/>
              </w:rPr>
            </w:pPr>
            <w:r>
              <w:rPr>
                <w:noProof/>
              </w:rPr>
              <w:t>Trimestre</w:t>
            </w:r>
          </w:p>
        </w:tc>
        <w:tc>
          <w:tcPr>
            <w:tcW w:w="763" w:type="dxa"/>
            <w:tcBorders>
              <w:top w:val="single" w:sz="4" w:space="0" w:color="auto"/>
            </w:tcBorders>
            <w:shd w:val="clear" w:color="auto" w:fill="B8CCE4" w:themeFill="accent1" w:themeFillTint="66"/>
            <w:vAlign w:val="center"/>
          </w:tcPr>
          <w:p w14:paraId="6E233CCC" w14:textId="77777777" w:rsidR="00A00259" w:rsidRDefault="00371282">
            <w:pPr>
              <w:pStyle w:val="P68B1DB1-Normal10"/>
              <w:spacing w:after="0" w:line="240" w:lineRule="auto"/>
              <w:jc w:val="center"/>
              <w:rPr>
                <w:rFonts w:eastAsia="Times New Roman" w:cs="Times New Roman"/>
                <w:bCs/>
                <w:noProof/>
                <w:szCs w:val="18"/>
              </w:rPr>
            </w:pPr>
            <w:r>
              <w:rPr>
                <w:noProof/>
              </w:rPr>
              <w:t>Année</w:t>
            </w:r>
          </w:p>
        </w:tc>
        <w:tc>
          <w:tcPr>
            <w:tcW w:w="2576" w:type="dxa"/>
            <w:vMerge/>
            <w:noWrap/>
          </w:tcPr>
          <w:p w14:paraId="58E057DE"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7004D8C7" w14:textId="77777777" w:rsidTr="0007083E">
        <w:trPr>
          <w:trHeight w:val="300"/>
        </w:trPr>
        <w:tc>
          <w:tcPr>
            <w:tcW w:w="578" w:type="dxa"/>
            <w:tcBorders>
              <w:left w:val="single" w:sz="4" w:space="0" w:color="auto"/>
            </w:tcBorders>
            <w:shd w:val="clear" w:color="auto" w:fill="C6EFCE"/>
            <w:noWrap/>
          </w:tcPr>
          <w:p w14:paraId="25AAF6F6" w14:textId="77777777" w:rsidR="00A00259" w:rsidRDefault="00371282">
            <w:pPr>
              <w:pStyle w:val="P68B1DB1-Normal12"/>
              <w:spacing w:after="0" w:line="240" w:lineRule="auto"/>
              <w:rPr>
                <w:rFonts w:eastAsia="Times New Roman"/>
                <w:noProof/>
              </w:rPr>
            </w:pPr>
            <w:r>
              <w:rPr>
                <w:noProof/>
              </w:rPr>
              <w:t>367</w:t>
            </w:r>
          </w:p>
        </w:tc>
        <w:tc>
          <w:tcPr>
            <w:tcW w:w="2351" w:type="dxa"/>
            <w:shd w:val="clear" w:color="auto" w:fill="C6EFCE"/>
            <w:noWrap/>
          </w:tcPr>
          <w:p w14:paraId="2AD10B9E" w14:textId="77777777" w:rsidR="00A00259" w:rsidRDefault="00371282">
            <w:pPr>
              <w:pStyle w:val="P68B1DB1-Normal12"/>
              <w:spacing w:after="0" w:line="240" w:lineRule="auto"/>
              <w:rPr>
                <w:rFonts w:eastAsia="Times New Roman"/>
                <w:noProof/>
              </w:rPr>
            </w:pPr>
            <w:r>
              <w:rPr>
                <w:noProof/>
              </w:rPr>
              <w:t xml:space="preserve">21 - 5.2 Investissements REPowerEU - 16994_Efficacité énergétique et promotion des SER pour l'autoconsommation </w:t>
            </w:r>
          </w:p>
        </w:tc>
        <w:tc>
          <w:tcPr>
            <w:tcW w:w="1097" w:type="dxa"/>
            <w:shd w:val="clear" w:color="auto" w:fill="C6EFCE"/>
            <w:noWrap/>
          </w:tcPr>
          <w:p w14:paraId="30B7747B" w14:textId="77777777" w:rsidR="00A00259" w:rsidRDefault="00371282">
            <w:pPr>
              <w:pStyle w:val="P68B1DB1-Normal12"/>
              <w:spacing w:after="0" w:line="240" w:lineRule="auto"/>
              <w:rPr>
                <w:rFonts w:eastAsia="Times New Roman"/>
                <w:noProof/>
              </w:rPr>
            </w:pPr>
            <w:r>
              <w:rPr>
                <w:noProof/>
              </w:rPr>
              <w:t>Étape</w:t>
            </w:r>
          </w:p>
        </w:tc>
        <w:tc>
          <w:tcPr>
            <w:tcW w:w="1652" w:type="dxa"/>
            <w:shd w:val="clear" w:color="auto" w:fill="C6EFCE"/>
            <w:noWrap/>
          </w:tcPr>
          <w:p w14:paraId="08FC627C" w14:textId="77777777" w:rsidR="00A00259" w:rsidRDefault="00371282">
            <w:pPr>
              <w:pStyle w:val="P68B1DB1-Normal12"/>
              <w:spacing w:after="0" w:line="240" w:lineRule="auto"/>
              <w:rPr>
                <w:rFonts w:eastAsia="Times New Roman"/>
                <w:noProof/>
              </w:rPr>
            </w:pPr>
            <w:r>
              <w:rPr>
                <w:noProof/>
              </w:rPr>
              <w:t>Lancement de programmes de soutien</w:t>
            </w:r>
          </w:p>
        </w:tc>
        <w:tc>
          <w:tcPr>
            <w:tcW w:w="1233" w:type="dxa"/>
            <w:shd w:val="clear" w:color="auto" w:fill="C6EFCE"/>
            <w:noWrap/>
          </w:tcPr>
          <w:p w14:paraId="555AF3A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353" w:type="dxa"/>
            <w:shd w:val="clear" w:color="auto" w:fill="C6EFCE"/>
            <w:noWrap/>
          </w:tcPr>
          <w:p w14:paraId="1D4342B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01" w:type="dxa"/>
            <w:shd w:val="clear" w:color="auto" w:fill="C6EFCE"/>
            <w:noWrap/>
          </w:tcPr>
          <w:p w14:paraId="38640F0C"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49" w:type="dxa"/>
            <w:gridSpan w:val="2"/>
            <w:shd w:val="clear" w:color="auto" w:fill="C6EFCE"/>
            <w:noWrap/>
          </w:tcPr>
          <w:p w14:paraId="71A216A6"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724BCF98" w14:textId="77777777" w:rsidR="00A00259" w:rsidRDefault="00371282">
            <w:pPr>
              <w:pStyle w:val="P68B1DB1-Normal12"/>
              <w:spacing w:after="0" w:line="240" w:lineRule="auto"/>
              <w:rPr>
                <w:rFonts w:eastAsia="Times New Roman"/>
                <w:noProof/>
              </w:rPr>
            </w:pPr>
            <w:r>
              <w:rPr>
                <w:noProof/>
              </w:rPr>
              <w:t>T4</w:t>
            </w:r>
          </w:p>
        </w:tc>
        <w:tc>
          <w:tcPr>
            <w:tcW w:w="763" w:type="dxa"/>
            <w:shd w:val="clear" w:color="auto" w:fill="C6EFCE"/>
            <w:noWrap/>
          </w:tcPr>
          <w:p w14:paraId="6167ECA2" w14:textId="77777777" w:rsidR="00A00259" w:rsidRDefault="00371282">
            <w:pPr>
              <w:pStyle w:val="P68B1DB1-Normal12"/>
              <w:spacing w:after="0" w:line="240" w:lineRule="auto"/>
              <w:rPr>
                <w:rFonts w:eastAsia="Times New Roman"/>
                <w:noProof/>
              </w:rPr>
            </w:pPr>
            <w:r>
              <w:rPr>
                <w:noProof/>
              </w:rPr>
              <w:t>2023</w:t>
            </w:r>
          </w:p>
        </w:tc>
        <w:tc>
          <w:tcPr>
            <w:tcW w:w="2576" w:type="dxa"/>
            <w:tcBorders>
              <w:bottom w:val="single" w:sz="4" w:space="0" w:color="auto"/>
              <w:right w:val="single" w:sz="4" w:space="0" w:color="auto"/>
            </w:tcBorders>
            <w:shd w:val="clear" w:color="auto" w:fill="C6EFCE"/>
            <w:noWrap/>
          </w:tcPr>
          <w:p w14:paraId="6AEDEAC6" w14:textId="77777777" w:rsidR="00A00259" w:rsidRDefault="00371282">
            <w:pPr>
              <w:pStyle w:val="P68B1DB1-Normal12"/>
              <w:spacing w:after="0" w:line="240" w:lineRule="auto"/>
              <w:rPr>
                <w:rFonts w:eastAsia="Times New Roman"/>
                <w:noProof/>
              </w:rPr>
            </w:pPr>
            <w:r>
              <w:rPr>
                <w:noProof/>
              </w:rPr>
              <w:t xml:space="preserve">Entrée en vigueur d'une décision ministérielle lançant les programmes d'appui suivants: </w:t>
            </w:r>
          </w:p>
          <w:p w14:paraId="4454ABA9" w14:textId="77777777" w:rsidR="00A00259" w:rsidRDefault="00A00259">
            <w:pPr>
              <w:spacing w:after="0" w:line="240" w:lineRule="auto"/>
              <w:rPr>
                <w:rFonts w:ascii="Times New Roman" w:eastAsia="Times New Roman" w:hAnsi="Times New Roman" w:cs="Times New Roman"/>
                <w:noProof/>
                <w:color w:val="006100"/>
                <w:sz w:val="18"/>
                <w:szCs w:val="18"/>
              </w:rPr>
            </w:pPr>
          </w:p>
          <w:p w14:paraId="7F4A4470" w14:textId="77777777" w:rsidR="00A00259" w:rsidRDefault="00371282">
            <w:pPr>
              <w:pStyle w:val="P68B1DB1-ListParagraph34"/>
              <w:numPr>
                <w:ilvl w:val="0"/>
                <w:numId w:val="90"/>
              </w:numPr>
              <w:spacing w:after="0" w:line="240" w:lineRule="auto"/>
              <w:rPr>
                <w:rFonts w:eastAsia="Times New Roman"/>
                <w:noProof/>
              </w:rPr>
            </w:pPr>
            <w:r>
              <w:rPr>
                <w:noProof/>
              </w:rPr>
              <w:t>La rénovation énergétique des bâtiments résidentiels, y compris la mise en place d’un processus de sélection visant à garantir que la consommation d’énergie primaire des résidences est réduite d’au moins 30 % par rapport aux performances initiales de la résidence calculées en kWh/m2, et que les ménages en situation de précarité énergétique bénéficient d’un soutien sous la forme d’une augmentation du pourcentage des subventions.</w:t>
            </w:r>
          </w:p>
          <w:p w14:paraId="5F3078EB" w14:textId="77777777" w:rsidR="00A00259" w:rsidRDefault="00371282">
            <w:pPr>
              <w:pStyle w:val="P68B1DB1-ListParagraph34"/>
              <w:numPr>
                <w:ilvl w:val="0"/>
                <w:numId w:val="90"/>
              </w:numPr>
              <w:spacing w:after="0" w:line="240" w:lineRule="auto"/>
              <w:rPr>
                <w:rFonts w:eastAsia="Times New Roman"/>
                <w:noProof/>
              </w:rPr>
            </w:pPr>
            <w:r>
              <w:rPr>
                <w:noProof/>
              </w:rPr>
              <w:t xml:space="preserve">Efficacité énergétique des bâtiments du secteur public et du secteur privé (bâtiments non résidentiels), y compris la mise en place d’un processus de sélection visant à garantir que la consommation d’énergie primaire des bénéficiaires est réduite d’au moins 30 % par rapport aux performances initiales de la résidence calculées en kWh/m2. </w:t>
            </w:r>
          </w:p>
          <w:p w14:paraId="619BAF81" w14:textId="77777777" w:rsidR="00A00259" w:rsidRDefault="00371282">
            <w:pPr>
              <w:pStyle w:val="P68B1DB1-ListParagraph34"/>
              <w:numPr>
                <w:ilvl w:val="0"/>
                <w:numId w:val="90"/>
              </w:numPr>
              <w:spacing w:after="0" w:line="240" w:lineRule="auto"/>
              <w:rPr>
                <w:rFonts w:eastAsia="Times New Roman"/>
                <w:noProof/>
              </w:rPr>
            </w:pPr>
            <w:r>
              <w:rPr>
                <w:noProof/>
              </w:rPr>
              <w:t xml:space="preserve"> Systèmes photovoltaïques pour l'autoconsommation dans les bâtiments résidentiels et le secteur agricole.</w:t>
            </w:r>
          </w:p>
          <w:p w14:paraId="2CA8C36D" w14:textId="77777777" w:rsidR="00A00259" w:rsidRDefault="00371282">
            <w:pPr>
              <w:pStyle w:val="P68B1DB1-ListParagraph42"/>
              <w:numPr>
                <w:ilvl w:val="0"/>
                <w:numId w:val="90"/>
              </w:numPr>
              <w:spacing w:after="0" w:line="240" w:lineRule="auto"/>
              <w:rPr>
                <w:rFonts w:eastAsia="Times New Roman"/>
                <w:noProof/>
                <w:color w:val="006100"/>
              </w:rPr>
            </w:pPr>
            <w:r>
              <w:rPr>
                <w:noProof/>
                <w:color w:val="006100"/>
              </w:rPr>
              <w:t>Systèmes de chauffage de l’eau renouvelables pour les ménages afin de soutenir le déploiement de sources d’énergie renouvelables (SER) dans les bâtiments résidentiels par l’installation de nouveaux chauffe-eau solaires, de pompes à chaleur et de systèmes SER utilisant de nouvelles technologies modernes, ou le remplacement de chauffe-eau électriques consommateurs d’énergie utilisant des technologies anciennes par de nouveaux chauffe-eau solaires, pompes à chaleur et systèmes SER utilisant de nouvelles technologies modernes. Les ménages en situation de précarité énergétique bénéficient d’un soutien sous la forme d’un pourcentage accru de subventions (applicable uniquement aux chauffe-eau solaires).</w:t>
            </w:r>
          </w:p>
          <w:p w14:paraId="615E0516" w14:textId="77777777" w:rsidR="00A00259" w:rsidRDefault="00371282">
            <w:pPr>
              <w:pStyle w:val="P68B1DB1-ListParagraph34"/>
              <w:numPr>
                <w:ilvl w:val="0"/>
                <w:numId w:val="90"/>
              </w:numPr>
              <w:spacing w:after="0" w:line="240" w:lineRule="auto"/>
              <w:rPr>
                <w:rFonts w:eastAsia="Times New Roman"/>
                <w:noProof/>
              </w:rPr>
            </w:pPr>
            <w:r>
              <w:rPr>
                <w:noProof/>
              </w:rPr>
              <w:t>Promouvoir des mesures d'efficacité énergétique dans les entreprises municipales de distribution d'eau et de traitement des eaux usées en i) réduisant la consommation d'énergie des stations de pompage et des moteurs de pompage; et ii) entreprendre des études en vue de la mise en œuvre optimale d’actions visant à améliorer encore l’efficacité énergétique de ces entreprises.</w:t>
            </w:r>
          </w:p>
          <w:p w14:paraId="6EF60AAF" w14:textId="77777777" w:rsidR="00A00259" w:rsidRDefault="00371282">
            <w:pPr>
              <w:pStyle w:val="P68B1DB1-ListParagraph54"/>
              <w:numPr>
                <w:ilvl w:val="0"/>
                <w:numId w:val="90"/>
              </w:numPr>
              <w:spacing w:after="0" w:line="240" w:lineRule="auto"/>
              <w:rPr>
                <w:noProof/>
              </w:rPr>
            </w:pPr>
            <w:r>
              <w:rPr>
                <w:noProof/>
              </w:rPr>
              <w:t>Prise en charge de l'installation de systèmes de stockage par batterie pour les entreprises.</w:t>
            </w:r>
          </w:p>
        </w:tc>
      </w:tr>
      <w:tr w:rsidR="00A00259" w14:paraId="3D05CC47" w14:textId="77777777" w:rsidTr="0007083E">
        <w:trPr>
          <w:trHeight w:val="300"/>
        </w:trPr>
        <w:tc>
          <w:tcPr>
            <w:tcW w:w="578" w:type="dxa"/>
            <w:tcBorders>
              <w:left w:val="single" w:sz="4" w:space="0" w:color="auto"/>
              <w:bottom w:val="single" w:sz="4" w:space="0" w:color="auto"/>
            </w:tcBorders>
            <w:shd w:val="clear" w:color="auto" w:fill="C6EFCE"/>
            <w:noWrap/>
          </w:tcPr>
          <w:p w14:paraId="04FD3837" w14:textId="77777777" w:rsidR="00A00259" w:rsidRDefault="00371282">
            <w:pPr>
              <w:pStyle w:val="P68B1DB1-Normal12"/>
              <w:spacing w:after="0" w:line="240" w:lineRule="auto"/>
              <w:rPr>
                <w:rFonts w:eastAsia="Times New Roman"/>
                <w:noProof/>
              </w:rPr>
            </w:pPr>
            <w:r>
              <w:rPr>
                <w:noProof/>
              </w:rPr>
              <w:t>368</w:t>
            </w:r>
          </w:p>
        </w:tc>
        <w:tc>
          <w:tcPr>
            <w:tcW w:w="2351" w:type="dxa"/>
            <w:tcBorders>
              <w:bottom w:val="single" w:sz="4" w:space="0" w:color="auto"/>
            </w:tcBorders>
            <w:shd w:val="clear" w:color="auto" w:fill="C6EFCE"/>
            <w:noWrap/>
          </w:tcPr>
          <w:p w14:paraId="01625B71" w14:textId="77777777" w:rsidR="00A00259" w:rsidRDefault="00371282">
            <w:pPr>
              <w:pStyle w:val="P68B1DB1-Normal12"/>
              <w:spacing w:after="0" w:line="240" w:lineRule="auto"/>
              <w:rPr>
                <w:rFonts w:eastAsia="Times New Roman"/>
                <w:noProof/>
              </w:rPr>
            </w:pPr>
            <w:r>
              <w:rPr>
                <w:noProof/>
              </w:rPr>
              <w:t>21 - 5.2 Investissements REPowerEU - 16994_Efficacité énergétique et promotion des SER pour l'autoconsommation</w:t>
            </w:r>
          </w:p>
        </w:tc>
        <w:tc>
          <w:tcPr>
            <w:tcW w:w="1097" w:type="dxa"/>
            <w:tcBorders>
              <w:bottom w:val="single" w:sz="4" w:space="0" w:color="auto"/>
            </w:tcBorders>
            <w:shd w:val="clear" w:color="auto" w:fill="C6EFCE"/>
            <w:noWrap/>
          </w:tcPr>
          <w:p w14:paraId="355AC023" w14:textId="77777777" w:rsidR="00A00259" w:rsidRDefault="00371282">
            <w:pPr>
              <w:pStyle w:val="P68B1DB1-Normal12"/>
              <w:spacing w:after="0" w:line="240" w:lineRule="auto"/>
              <w:rPr>
                <w:rFonts w:eastAsia="Times New Roman"/>
                <w:noProof/>
                <w:highlight w:val="yellow"/>
              </w:rPr>
            </w:pPr>
            <w:r>
              <w:rPr>
                <w:noProof/>
              </w:rPr>
              <w:t xml:space="preserve"> Objectif</w:t>
            </w:r>
          </w:p>
        </w:tc>
        <w:tc>
          <w:tcPr>
            <w:tcW w:w="1652" w:type="dxa"/>
            <w:tcBorders>
              <w:bottom w:val="single" w:sz="4" w:space="0" w:color="auto"/>
            </w:tcBorders>
            <w:shd w:val="clear" w:color="auto" w:fill="C6EFCE"/>
            <w:noWrap/>
          </w:tcPr>
          <w:p w14:paraId="7589E07F" w14:textId="77777777" w:rsidR="00A00259" w:rsidRDefault="00371282">
            <w:pPr>
              <w:pStyle w:val="P68B1DB1-Normal12"/>
              <w:spacing w:after="0" w:line="240" w:lineRule="auto"/>
              <w:rPr>
                <w:rFonts w:eastAsia="Times New Roman"/>
                <w:noProof/>
              </w:rPr>
            </w:pPr>
            <w:r>
              <w:rPr>
                <w:noProof/>
              </w:rPr>
              <w:t>Installation de systèmes photovoltaïques pour l'autoconsommation</w:t>
            </w:r>
          </w:p>
        </w:tc>
        <w:tc>
          <w:tcPr>
            <w:tcW w:w="1233" w:type="dxa"/>
            <w:tcBorders>
              <w:bottom w:val="single" w:sz="4" w:space="0" w:color="auto"/>
            </w:tcBorders>
            <w:shd w:val="clear" w:color="auto" w:fill="C6EFCE"/>
            <w:noWrap/>
          </w:tcPr>
          <w:p w14:paraId="45764F0D"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353" w:type="dxa"/>
            <w:tcBorders>
              <w:bottom w:val="single" w:sz="4" w:space="0" w:color="auto"/>
            </w:tcBorders>
            <w:shd w:val="clear" w:color="auto" w:fill="C6EFCE"/>
            <w:noWrap/>
          </w:tcPr>
          <w:p w14:paraId="66C37EF6" w14:textId="77777777" w:rsidR="00A00259" w:rsidRDefault="00371282">
            <w:pPr>
              <w:pStyle w:val="P68B1DB1-Normal12"/>
              <w:spacing w:after="0" w:line="240" w:lineRule="auto"/>
              <w:rPr>
                <w:rFonts w:eastAsia="Times New Roman"/>
                <w:noProof/>
              </w:rPr>
            </w:pPr>
            <w:r>
              <w:rPr>
                <w:noProof/>
              </w:rPr>
              <w:t>Nombre de systèmes photovoltaïques installés</w:t>
            </w:r>
          </w:p>
        </w:tc>
        <w:tc>
          <w:tcPr>
            <w:tcW w:w="901" w:type="dxa"/>
            <w:tcBorders>
              <w:bottom w:val="single" w:sz="4" w:space="0" w:color="auto"/>
            </w:tcBorders>
            <w:shd w:val="clear" w:color="auto" w:fill="C6EFCE"/>
            <w:noWrap/>
          </w:tcPr>
          <w:p w14:paraId="74EA8A04" w14:textId="77777777" w:rsidR="00A00259" w:rsidRDefault="00371282">
            <w:pPr>
              <w:pStyle w:val="P68B1DB1-Normal12"/>
              <w:spacing w:after="0" w:line="240" w:lineRule="auto"/>
              <w:rPr>
                <w:rFonts w:eastAsia="Times New Roman"/>
                <w:noProof/>
              </w:rPr>
            </w:pPr>
            <w:r>
              <w:rPr>
                <w:noProof/>
              </w:rPr>
              <w:t>0</w:t>
            </w:r>
          </w:p>
        </w:tc>
        <w:tc>
          <w:tcPr>
            <w:tcW w:w="1149" w:type="dxa"/>
            <w:gridSpan w:val="2"/>
            <w:tcBorders>
              <w:bottom w:val="single" w:sz="4" w:space="0" w:color="auto"/>
            </w:tcBorders>
            <w:shd w:val="clear" w:color="auto" w:fill="C6EFCE"/>
            <w:noWrap/>
          </w:tcPr>
          <w:p w14:paraId="64BDB5CF" w14:textId="77777777" w:rsidR="00A00259" w:rsidRDefault="00371282">
            <w:pPr>
              <w:pStyle w:val="P68B1DB1-Normal12"/>
              <w:spacing w:after="0" w:line="240" w:lineRule="auto"/>
              <w:rPr>
                <w:rFonts w:eastAsia="Times New Roman"/>
                <w:noProof/>
              </w:rPr>
            </w:pPr>
            <w:r>
              <w:rPr>
                <w:noProof/>
              </w:rPr>
              <w:t>11 580</w:t>
            </w:r>
          </w:p>
        </w:tc>
        <w:tc>
          <w:tcPr>
            <w:tcW w:w="1134" w:type="dxa"/>
            <w:tcBorders>
              <w:bottom w:val="single" w:sz="4" w:space="0" w:color="auto"/>
            </w:tcBorders>
            <w:shd w:val="clear" w:color="auto" w:fill="C6EFCE"/>
            <w:noWrap/>
          </w:tcPr>
          <w:p w14:paraId="5CF4B7DD" w14:textId="77777777" w:rsidR="00A00259" w:rsidRDefault="00371282">
            <w:pPr>
              <w:pStyle w:val="P68B1DB1-Normal12"/>
              <w:spacing w:after="0" w:line="240" w:lineRule="auto"/>
              <w:rPr>
                <w:rFonts w:eastAsia="Times New Roman"/>
                <w:noProof/>
              </w:rPr>
            </w:pPr>
            <w:r>
              <w:rPr>
                <w:noProof/>
              </w:rPr>
              <w:t>T2</w:t>
            </w:r>
          </w:p>
        </w:tc>
        <w:tc>
          <w:tcPr>
            <w:tcW w:w="763" w:type="dxa"/>
            <w:tcBorders>
              <w:bottom w:val="single" w:sz="4" w:space="0" w:color="auto"/>
            </w:tcBorders>
            <w:shd w:val="clear" w:color="auto" w:fill="C6EFCE"/>
            <w:noWrap/>
          </w:tcPr>
          <w:p w14:paraId="333E882E" w14:textId="77777777" w:rsidR="00A00259" w:rsidRDefault="00371282">
            <w:pPr>
              <w:pStyle w:val="P68B1DB1-Normal12"/>
              <w:spacing w:after="0" w:line="240" w:lineRule="auto"/>
              <w:rPr>
                <w:rFonts w:eastAsia="Times New Roman"/>
                <w:noProof/>
              </w:rPr>
            </w:pPr>
            <w:r>
              <w:rPr>
                <w:noProof/>
              </w:rPr>
              <w:t>2024</w:t>
            </w:r>
          </w:p>
        </w:tc>
        <w:tc>
          <w:tcPr>
            <w:tcW w:w="2576" w:type="dxa"/>
            <w:tcBorders>
              <w:bottom w:val="single" w:sz="4" w:space="0" w:color="auto"/>
              <w:right w:val="single" w:sz="4" w:space="0" w:color="auto"/>
            </w:tcBorders>
            <w:shd w:val="clear" w:color="auto" w:fill="C6EFCE"/>
            <w:noWrap/>
          </w:tcPr>
          <w:p w14:paraId="00FB1FF6" w14:textId="77777777" w:rsidR="00A00259" w:rsidRDefault="00371282">
            <w:pPr>
              <w:pStyle w:val="P68B1DB1-Normal12"/>
              <w:spacing w:after="0" w:line="240" w:lineRule="auto"/>
              <w:rPr>
                <w:rFonts w:eastAsia="Times New Roman"/>
                <w:noProof/>
                <w:highlight w:val="yellow"/>
              </w:rPr>
            </w:pPr>
            <w:r>
              <w:rPr>
                <w:noProof/>
              </w:rPr>
              <w:t>Systèmes photovoltaïques (PV) pour l’autoconsommation dans les bâtiments résidentiels et le secteur agricole: 11 580 systèmes photovoltaïques installés, dont 900 pour les ménages en situation de précarité énergétique et 360 pour les agriculteurs.</w:t>
            </w:r>
          </w:p>
        </w:tc>
      </w:tr>
      <w:tr w:rsidR="00A00259" w14:paraId="37BB2A3F" w14:textId="77777777" w:rsidTr="0007083E">
        <w:trPr>
          <w:trHeight w:val="300"/>
        </w:trPr>
        <w:tc>
          <w:tcPr>
            <w:tcW w:w="578" w:type="dxa"/>
            <w:tcBorders>
              <w:left w:val="single" w:sz="4" w:space="0" w:color="auto"/>
              <w:bottom w:val="single" w:sz="4" w:space="0" w:color="auto"/>
            </w:tcBorders>
            <w:shd w:val="clear" w:color="auto" w:fill="C6EFCE"/>
            <w:noWrap/>
          </w:tcPr>
          <w:p w14:paraId="227A8435" w14:textId="77777777" w:rsidR="00A00259" w:rsidRDefault="00371282">
            <w:pPr>
              <w:pStyle w:val="P68B1DB1-Normal12"/>
              <w:spacing w:after="0" w:line="240" w:lineRule="auto"/>
              <w:rPr>
                <w:rFonts w:eastAsia="Times New Roman"/>
                <w:noProof/>
              </w:rPr>
            </w:pPr>
            <w:r>
              <w:rPr>
                <w:noProof/>
              </w:rPr>
              <w:t>369</w:t>
            </w:r>
          </w:p>
        </w:tc>
        <w:tc>
          <w:tcPr>
            <w:tcW w:w="2351" w:type="dxa"/>
            <w:tcBorders>
              <w:bottom w:val="single" w:sz="4" w:space="0" w:color="auto"/>
            </w:tcBorders>
            <w:shd w:val="clear" w:color="auto" w:fill="C6EFCE"/>
            <w:noWrap/>
          </w:tcPr>
          <w:p w14:paraId="512E9DF9" w14:textId="77777777" w:rsidR="00A00259" w:rsidRDefault="00371282">
            <w:pPr>
              <w:pStyle w:val="P68B1DB1-Normal12"/>
              <w:spacing w:after="0" w:line="240" w:lineRule="auto"/>
              <w:rPr>
                <w:rFonts w:eastAsia="Times New Roman"/>
                <w:noProof/>
              </w:rPr>
            </w:pPr>
            <w:r>
              <w:rPr>
                <w:noProof/>
              </w:rPr>
              <w:t>21 - 5.2 Investissements REPowerEU - 16994_Efficacité énergétique et promotion des SER pour l'autoconsommation</w:t>
            </w:r>
          </w:p>
        </w:tc>
        <w:tc>
          <w:tcPr>
            <w:tcW w:w="1097" w:type="dxa"/>
            <w:tcBorders>
              <w:bottom w:val="single" w:sz="4" w:space="0" w:color="auto"/>
            </w:tcBorders>
            <w:shd w:val="clear" w:color="auto" w:fill="C6EFCE"/>
            <w:noWrap/>
          </w:tcPr>
          <w:p w14:paraId="046F468E" w14:textId="77777777" w:rsidR="00A00259" w:rsidRDefault="00371282">
            <w:pPr>
              <w:pStyle w:val="P68B1DB1-Normal12"/>
              <w:spacing w:after="0" w:line="240" w:lineRule="auto"/>
              <w:rPr>
                <w:rFonts w:eastAsia="Times New Roman"/>
                <w:noProof/>
              </w:rPr>
            </w:pPr>
            <w:r>
              <w:rPr>
                <w:noProof/>
              </w:rPr>
              <w:t>Objectif</w:t>
            </w:r>
          </w:p>
        </w:tc>
        <w:tc>
          <w:tcPr>
            <w:tcW w:w="1652" w:type="dxa"/>
            <w:tcBorders>
              <w:bottom w:val="single" w:sz="4" w:space="0" w:color="auto"/>
            </w:tcBorders>
            <w:shd w:val="clear" w:color="auto" w:fill="C6EFCE"/>
            <w:noWrap/>
          </w:tcPr>
          <w:p w14:paraId="3BF27B0C" w14:textId="50C33231" w:rsidR="00A00259" w:rsidRDefault="00371282">
            <w:pPr>
              <w:pStyle w:val="P68B1DB1-Normal12"/>
              <w:spacing w:after="0" w:line="240" w:lineRule="auto"/>
              <w:rPr>
                <w:rFonts w:eastAsia="Times New Roman"/>
                <w:noProof/>
              </w:rPr>
            </w:pPr>
            <w:r>
              <w:rPr>
                <w:noProof/>
              </w:rPr>
              <w:t>Sous-investissements dans l'installation de systèmes photovoltaïques pour la consommation automobile, les rénovations d'efficacité énergétique, les chauffe-eau solaires et les pompes à chaleur.</w:t>
            </w:r>
          </w:p>
        </w:tc>
        <w:tc>
          <w:tcPr>
            <w:tcW w:w="1233" w:type="dxa"/>
            <w:tcBorders>
              <w:bottom w:val="single" w:sz="4" w:space="0" w:color="auto"/>
            </w:tcBorders>
            <w:shd w:val="clear" w:color="auto" w:fill="C6EFCE"/>
            <w:noWrap/>
          </w:tcPr>
          <w:p w14:paraId="60673D7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353" w:type="dxa"/>
            <w:tcBorders>
              <w:bottom w:val="single" w:sz="4" w:space="0" w:color="auto"/>
            </w:tcBorders>
            <w:shd w:val="clear" w:color="auto" w:fill="C6EFCE"/>
            <w:noWrap/>
          </w:tcPr>
          <w:p w14:paraId="53B8F993" w14:textId="3A1388C6" w:rsidR="00A00259" w:rsidRDefault="00371282">
            <w:pPr>
              <w:pStyle w:val="P68B1DB1-Normal12"/>
              <w:spacing w:after="0" w:line="240" w:lineRule="auto"/>
              <w:rPr>
                <w:noProof/>
              </w:rPr>
            </w:pPr>
            <w:r>
              <w:rPr>
                <w:noProof/>
              </w:rPr>
              <w:t>Nombre de systèmes photovoltaïques installés</w:t>
            </w:r>
          </w:p>
        </w:tc>
        <w:tc>
          <w:tcPr>
            <w:tcW w:w="901" w:type="dxa"/>
            <w:tcBorders>
              <w:bottom w:val="single" w:sz="4" w:space="0" w:color="auto"/>
            </w:tcBorders>
            <w:shd w:val="clear" w:color="auto" w:fill="C6EFCE"/>
            <w:noWrap/>
          </w:tcPr>
          <w:p w14:paraId="7A4B6D51" w14:textId="147A7F3C" w:rsidR="00A00259" w:rsidRDefault="00371282">
            <w:pPr>
              <w:pStyle w:val="P68B1DB1-Normal12"/>
              <w:spacing w:after="0" w:line="240" w:lineRule="auto"/>
              <w:rPr>
                <w:rFonts w:eastAsia="Times New Roman"/>
                <w:noProof/>
              </w:rPr>
            </w:pPr>
            <w:r>
              <w:rPr>
                <w:noProof/>
              </w:rPr>
              <w:t>11 580</w:t>
            </w:r>
          </w:p>
        </w:tc>
        <w:tc>
          <w:tcPr>
            <w:tcW w:w="1149" w:type="dxa"/>
            <w:gridSpan w:val="2"/>
            <w:tcBorders>
              <w:bottom w:val="single" w:sz="4" w:space="0" w:color="auto"/>
            </w:tcBorders>
            <w:shd w:val="clear" w:color="auto" w:fill="C6EFCE"/>
            <w:noWrap/>
          </w:tcPr>
          <w:p w14:paraId="663573FE" w14:textId="054087A9" w:rsidR="00A00259" w:rsidRDefault="00371282">
            <w:pPr>
              <w:pStyle w:val="P68B1DB1-Normal12"/>
              <w:spacing w:after="0" w:line="240" w:lineRule="auto"/>
              <w:rPr>
                <w:rFonts w:eastAsia="Times New Roman"/>
                <w:noProof/>
              </w:rPr>
            </w:pPr>
            <w:r>
              <w:rPr>
                <w:noProof/>
              </w:rPr>
              <w:t>13 700</w:t>
            </w:r>
          </w:p>
        </w:tc>
        <w:tc>
          <w:tcPr>
            <w:tcW w:w="1134" w:type="dxa"/>
            <w:tcBorders>
              <w:bottom w:val="single" w:sz="4" w:space="0" w:color="auto"/>
            </w:tcBorders>
            <w:shd w:val="clear" w:color="auto" w:fill="C6EFCE"/>
            <w:noWrap/>
          </w:tcPr>
          <w:p w14:paraId="2BAFB29D" w14:textId="77777777" w:rsidR="00A00259" w:rsidRDefault="00371282">
            <w:pPr>
              <w:pStyle w:val="P68B1DB1-Normal12"/>
              <w:spacing w:after="0" w:line="240" w:lineRule="auto"/>
              <w:rPr>
                <w:rFonts w:eastAsia="Times New Roman"/>
                <w:noProof/>
              </w:rPr>
            </w:pPr>
            <w:r>
              <w:rPr>
                <w:noProof/>
              </w:rPr>
              <w:t>T4</w:t>
            </w:r>
          </w:p>
        </w:tc>
        <w:tc>
          <w:tcPr>
            <w:tcW w:w="763" w:type="dxa"/>
            <w:tcBorders>
              <w:bottom w:val="single" w:sz="4" w:space="0" w:color="auto"/>
            </w:tcBorders>
            <w:shd w:val="clear" w:color="auto" w:fill="C6EFCE"/>
            <w:noWrap/>
          </w:tcPr>
          <w:p w14:paraId="0E63F4A0" w14:textId="77777777" w:rsidR="00A00259" w:rsidRDefault="00371282">
            <w:pPr>
              <w:pStyle w:val="P68B1DB1-Normal12"/>
              <w:spacing w:after="0" w:line="240" w:lineRule="auto"/>
              <w:rPr>
                <w:rFonts w:eastAsia="Times New Roman"/>
                <w:noProof/>
              </w:rPr>
            </w:pPr>
            <w:r>
              <w:rPr>
                <w:noProof/>
              </w:rPr>
              <w:t>2025</w:t>
            </w:r>
          </w:p>
        </w:tc>
        <w:tc>
          <w:tcPr>
            <w:tcW w:w="2576" w:type="dxa"/>
            <w:tcBorders>
              <w:bottom w:val="single" w:sz="4" w:space="0" w:color="auto"/>
              <w:right w:val="single" w:sz="4" w:space="0" w:color="auto"/>
            </w:tcBorders>
            <w:shd w:val="clear" w:color="auto" w:fill="C6EFCE"/>
            <w:noWrap/>
          </w:tcPr>
          <w:p w14:paraId="0EF23E43" w14:textId="3DA74996" w:rsidR="00A00259" w:rsidRDefault="00371282">
            <w:pPr>
              <w:pStyle w:val="P68B1DB1-ListParagraph34"/>
              <w:numPr>
                <w:ilvl w:val="0"/>
                <w:numId w:val="91"/>
              </w:numPr>
              <w:spacing w:after="0" w:line="240" w:lineRule="auto"/>
              <w:rPr>
                <w:rFonts w:eastAsia="Times New Roman"/>
                <w:noProof/>
              </w:rPr>
            </w:pPr>
            <w:r>
              <w:rPr>
                <w:noProof/>
              </w:rPr>
              <w:t>Systèmes photovoltaïques (PV) pour l’autoconsommation dans les bâtiments résidentiels et le secteur agricole: 13 700 systèmes photovoltaïques installés, dont 1 080 pour les ménages en situation de précarité énergétique et 430 pour les agriculteurs.</w:t>
            </w:r>
          </w:p>
          <w:p w14:paraId="2BAC4B75" w14:textId="15B2C2E8" w:rsidR="00A00259" w:rsidRDefault="00371282">
            <w:pPr>
              <w:pStyle w:val="P68B1DB1-ListParagraph34"/>
              <w:numPr>
                <w:ilvl w:val="0"/>
                <w:numId w:val="91"/>
              </w:numPr>
              <w:spacing w:after="0" w:line="240" w:lineRule="auto"/>
              <w:rPr>
                <w:rFonts w:eastAsia="Times New Roman"/>
                <w:noProof/>
              </w:rPr>
            </w:pPr>
            <w:r>
              <w:rPr>
                <w:noProof/>
              </w:rPr>
              <w:t>Rénovation énergétique des bâtiments résidentiels: rénovations en matière d’efficacité énergétique certifiées pour 22 740 bâtiments, avec des économies d’énergie primaire d’au moins 30 % en moyenne.</w:t>
            </w:r>
          </w:p>
          <w:p w14:paraId="0BD79D3A" w14:textId="74CCA1B1" w:rsidR="00A00259" w:rsidRDefault="00A00259">
            <w:pPr>
              <w:pStyle w:val="ListParagraph"/>
              <w:spacing w:after="0" w:line="240" w:lineRule="auto"/>
              <w:ind w:left="360"/>
              <w:rPr>
                <w:rFonts w:ascii="Times New Roman" w:eastAsia="Times New Roman" w:hAnsi="Times New Roman" w:cs="Times New Roman"/>
                <w:noProof/>
                <w:color w:val="006100"/>
                <w:sz w:val="18"/>
                <w:szCs w:val="18"/>
              </w:rPr>
            </w:pPr>
          </w:p>
          <w:p w14:paraId="69B765C0" w14:textId="44D32E32" w:rsidR="00A00259" w:rsidRDefault="00371282">
            <w:pPr>
              <w:pStyle w:val="P68B1DB1-ListParagraph34"/>
              <w:numPr>
                <w:ilvl w:val="0"/>
                <w:numId w:val="91"/>
              </w:numPr>
              <w:spacing w:after="0" w:line="240" w:lineRule="auto"/>
              <w:rPr>
                <w:rFonts w:eastAsia="Times New Roman"/>
                <w:noProof/>
              </w:rPr>
            </w:pPr>
            <w:r>
              <w:rPr>
                <w:noProof/>
              </w:rPr>
              <w:t xml:space="preserve">Systèmes de chauffage de l'eau renouvelables: 117 455 systèmes solaires de chauffage de l’eau et 22 500 pompes à chaleur achetées pour les ménages, dont 24 130 et 2 250 ménages vulnérables, respectivement. </w:t>
            </w:r>
          </w:p>
          <w:p w14:paraId="6D92E72A" w14:textId="0EFD1904" w:rsidR="00A00259" w:rsidRDefault="00A00259">
            <w:pPr>
              <w:spacing w:after="0" w:line="240" w:lineRule="auto"/>
              <w:rPr>
                <w:rFonts w:ascii="Times New Roman" w:eastAsia="Times New Roman" w:hAnsi="Times New Roman" w:cs="Times New Roman"/>
                <w:noProof/>
                <w:color w:val="006100"/>
                <w:sz w:val="18"/>
                <w:szCs w:val="18"/>
              </w:rPr>
            </w:pPr>
          </w:p>
        </w:tc>
      </w:tr>
    </w:tbl>
    <w:p w14:paraId="7A476302" w14:textId="77777777" w:rsidR="00A00259" w:rsidRDefault="00A00259">
      <w:pPr>
        <w:keepNext/>
        <w:keepLines/>
        <w:spacing w:before="240" w:after="240" w:line="240" w:lineRule="auto"/>
        <w:jc w:val="both"/>
        <w:outlineLvl w:val="4"/>
        <w:rPr>
          <w:rFonts w:ascii="Cambria" w:hAnsi="Cambria"/>
          <w:noProof/>
          <w:color w:val="365F91" w:themeColor="accent1" w:themeShade="BF"/>
          <w:sz w:val="24"/>
        </w:rPr>
      </w:pPr>
    </w:p>
    <w:p w14:paraId="2250939F" w14:textId="1FAE486D" w:rsidR="00A00259" w:rsidRDefault="00371282">
      <w:pPr>
        <w:rPr>
          <w:rFonts w:eastAsia="Times New Roman"/>
          <w:noProof/>
          <w:color w:val="365F91"/>
          <w:szCs w:val="24"/>
        </w:rPr>
      </w:pPr>
      <w:r>
        <w:rPr>
          <w:noProof/>
        </w:rPr>
        <w:br w:type="page"/>
      </w:r>
      <w:r>
        <w:rPr>
          <w:rFonts w:ascii="Cambria" w:hAnsi="Cambria"/>
          <w:noProof/>
          <w:color w:val="365F91"/>
          <w:sz w:val="24"/>
        </w:rPr>
        <w:t>Investissement 3: Projet de production d’hydrogène renouvelable (mesure ID: 16995)</w:t>
      </w:r>
    </w:p>
    <w:tbl>
      <w:tblPr>
        <w:tblW w:w="14341" w:type="dxa"/>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04"/>
        <w:gridCol w:w="2165"/>
        <w:gridCol w:w="1094"/>
        <w:gridCol w:w="1205"/>
        <w:gridCol w:w="1553"/>
        <w:gridCol w:w="1205"/>
        <w:gridCol w:w="936"/>
        <w:gridCol w:w="846"/>
        <w:gridCol w:w="986"/>
        <w:gridCol w:w="720"/>
        <w:gridCol w:w="3133"/>
      </w:tblGrid>
      <w:tr w:rsidR="00A00259" w14:paraId="1D9DAEB1" w14:textId="77777777">
        <w:trPr>
          <w:trHeight w:val="927"/>
          <w:tblHeader/>
        </w:trPr>
        <w:tc>
          <w:tcPr>
            <w:tcW w:w="704" w:type="dxa"/>
            <w:vMerge w:val="restart"/>
            <w:shd w:val="clear" w:color="auto" w:fill="BDD7EE"/>
            <w:vAlign w:val="center"/>
            <w:hideMark/>
          </w:tcPr>
          <w:p w14:paraId="083C0159" w14:textId="77777777" w:rsidR="00A00259" w:rsidRDefault="00371282">
            <w:pPr>
              <w:pStyle w:val="P68B1DB1-Normal15"/>
              <w:spacing w:after="0" w:line="240" w:lineRule="auto"/>
              <w:jc w:val="center"/>
              <w:rPr>
                <w:noProof/>
              </w:rPr>
            </w:pPr>
            <w:r>
              <w:rPr>
                <w:noProof/>
              </w:rPr>
              <w:t xml:space="preserve">Seq. </w:t>
            </w:r>
            <w:r>
              <w:rPr>
                <w:noProof/>
              </w:rPr>
              <w:br/>
              <w:t>Non.</w:t>
            </w:r>
          </w:p>
        </w:tc>
        <w:tc>
          <w:tcPr>
            <w:tcW w:w="2165" w:type="dxa"/>
            <w:vMerge w:val="restart"/>
            <w:shd w:val="clear" w:color="auto" w:fill="BDD7EE"/>
            <w:vAlign w:val="center"/>
            <w:hideMark/>
          </w:tcPr>
          <w:p w14:paraId="010C6ADC" w14:textId="77777777" w:rsidR="00A00259" w:rsidRDefault="00371282">
            <w:pPr>
              <w:pStyle w:val="P68B1DB1-Normal15"/>
              <w:spacing w:after="0" w:line="240" w:lineRule="auto"/>
              <w:jc w:val="center"/>
              <w:rPr>
                <w:rFonts w:ascii="Cambria" w:hAnsi="Cambria"/>
                <w:noProof/>
                <w:color w:val="365F91"/>
                <w:sz w:val="24"/>
              </w:rPr>
            </w:pPr>
            <w:r>
              <w:rPr>
                <w:noProof/>
              </w:rPr>
              <w:t>Mesure connexe (réforme ou investissement)</w:t>
            </w:r>
          </w:p>
        </w:tc>
        <w:tc>
          <w:tcPr>
            <w:tcW w:w="1094" w:type="dxa"/>
            <w:vMerge w:val="restart"/>
            <w:shd w:val="clear" w:color="auto" w:fill="BDD7EE"/>
            <w:vAlign w:val="center"/>
            <w:hideMark/>
          </w:tcPr>
          <w:p w14:paraId="546C1DE3" w14:textId="77777777" w:rsidR="00A00259" w:rsidRDefault="00371282">
            <w:pPr>
              <w:pStyle w:val="P68B1DB1-Normal15"/>
              <w:spacing w:after="0" w:line="240" w:lineRule="auto"/>
              <w:jc w:val="center"/>
              <w:rPr>
                <w:rFonts w:eastAsia="Times New Roman"/>
                <w:bCs/>
                <w:noProof/>
              </w:rPr>
            </w:pPr>
            <w:r>
              <w:rPr>
                <w:noProof/>
              </w:rPr>
              <w:t>Étape/cible</w:t>
            </w:r>
          </w:p>
        </w:tc>
        <w:tc>
          <w:tcPr>
            <w:tcW w:w="1205" w:type="dxa"/>
            <w:vMerge w:val="restart"/>
            <w:shd w:val="clear" w:color="auto" w:fill="BDD7EE"/>
            <w:vAlign w:val="center"/>
            <w:hideMark/>
          </w:tcPr>
          <w:p w14:paraId="52C36E7F" w14:textId="77777777" w:rsidR="00A00259" w:rsidRDefault="00371282">
            <w:pPr>
              <w:pStyle w:val="P68B1DB1-Normal15"/>
              <w:spacing w:after="0" w:line="240" w:lineRule="auto"/>
              <w:jc w:val="center"/>
              <w:rPr>
                <w:rFonts w:eastAsia="Times New Roman"/>
                <w:bCs/>
                <w:noProof/>
              </w:rPr>
            </w:pPr>
            <w:r>
              <w:rPr>
                <w:noProof/>
              </w:rPr>
              <w:t>Nom</w:t>
            </w:r>
          </w:p>
        </w:tc>
        <w:tc>
          <w:tcPr>
            <w:tcW w:w="1553" w:type="dxa"/>
            <w:vMerge w:val="restart"/>
            <w:shd w:val="clear" w:color="auto" w:fill="BDD7EE"/>
            <w:vAlign w:val="center"/>
            <w:hideMark/>
          </w:tcPr>
          <w:p w14:paraId="2E72EC0F" w14:textId="77777777" w:rsidR="00A00259" w:rsidRDefault="00371282">
            <w:pPr>
              <w:pStyle w:val="P68B1DB1-Normal15"/>
              <w:spacing w:after="0" w:line="240" w:lineRule="auto"/>
              <w:jc w:val="center"/>
              <w:rPr>
                <w:rFonts w:eastAsia="Times New Roman"/>
                <w:bCs/>
                <w:noProof/>
              </w:rPr>
            </w:pPr>
            <w:r>
              <w:rPr>
                <w:noProof/>
              </w:rPr>
              <w:t>Indicateurs qualitatifs (pour les jalons)</w:t>
            </w:r>
          </w:p>
        </w:tc>
        <w:tc>
          <w:tcPr>
            <w:tcW w:w="2845" w:type="dxa"/>
            <w:gridSpan w:val="3"/>
            <w:shd w:val="clear" w:color="auto" w:fill="BDD7EE"/>
            <w:vAlign w:val="center"/>
            <w:hideMark/>
          </w:tcPr>
          <w:p w14:paraId="09D6C0D6" w14:textId="77777777" w:rsidR="00A00259" w:rsidRDefault="00371282">
            <w:pPr>
              <w:pStyle w:val="P68B1DB1-Normal15"/>
              <w:spacing w:after="0" w:line="240" w:lineRule="auto"/>
              <w:jc w:val="center"/>
              <w:rPr>
                <w:rFonts w:eastAsia="Times New Roman"/>
                <w:bCs/>
                <w:noProof/>
              </w:rPr>
            </w:pPr>
            <w:r>
              <w:rPr>
                <w:noProof/>
              </w:rPr>
              <w:t>Indicateurs quantitatifs (pour les objectifs)</w:t>
            </w:r>
          </w:p>
        </w:tc>
        <w:tc>
          <w:tcPr>
            <w:tcW w:w="1642" w:type="dxa"/>
            <w:gridSpan w:val="2"/>
            <w:shd w:val="clear" w:color="auto" w:fill="BDD7EE"/>
            <w:vAlign w:val="center"/>
            <w:hideMark/>
          </w:tcPr>
          <w:p w14:paraId="0EB08CDD" w14:textId="77777777" w:rsidR="00A00259" w:rsidRDefault="00371282">
            <w:pPr>
              <w:pStyle w:val="P68B1DB1-Normal15"/>
              <w:spacing w:after="0" w:line="240" w:lineRule="auto"/>
              <w:jc w:val="center"/>
              <w:rPr>
                <w:rFonts w:eastAsia="Times New Roman"/>
                <w:bCs/>
                <w:noProof/>
              </w:rPr>
            </w:pPr>
            <w:r>
              <w:rPr>
                <w:noProof/>
              </w:rPr>
              <w:t xml:space="preserve">Calendrier indicatif d'achèvement </w:t>
            </w:r>
          </w:p>
        </w:tc>
        <w:tc>
          <w:tcPr>
            <w:tcW w:w="3133" w:type="dxa"/>
            <w:vMerge w:val="restart"/>
            <w:shd w:val="clear" w:color="auto" w:fill="BDD7EE"/>
            <w:vAlign w:val="center"/>
            <w:hideMark/>
          </w:tcPr>
          <w:p w14:paraId="2618B9D4" w14:textId="77777777" w:rsidR="00A00259" w:rsidRDefault="00371282">
            <w:pPr>
              <w:pStyle w:val="P68B1DB1-Normal15"/>
              <w:spacing w:after="0" w:line="240" w:lineRule="auto"/>
              <w:jc w:val="center"/>
              <w:rPr>
                <w:rFonts w:eastAsia="Times New Roman"/>
                <w:bCs/>
                <w:noProof/>
              </w:rPr>
            </w:pPr>
            <w:r>
              <w:rPr>
                <w:noProof/>
              </w:rPr>
              <w:t>Description de chaque jalon et cible</w:t>
            </w:r>
          </w:p>
        </w:tc>
      </w:tr>
      <w:tr w:rsidR="00A00259" w14:paraId="1627D3BF" w14:textId="77777777">
        <w:trPr>
          <w:trHeight w:val="1013"/>
        </w:trPr>
        <w:tc>
          <w:tcPr>
            <w:tcW w:w="704" w:type="dxa"/>
            <w:vMerge/>
            <w:vAlign w:val="center"/>
            <w:hideMark/>
          </w:tcPr>
          <w:p w14:paraId="45438A60" w14:textId="77777777" w:rsidR="00A00259" w:rsidRDefault="00A00259">
            <w:pPr>
              <w:spacing w:after="0" w:line="240" w:lineRule="auto"/>
              <w:rPr>
                <w:rFonts w:ascii="Times New Roman" w:eastAsia="Times New Roman" w:hAnsi="Times New Roman" w:cs="Times New Roman"/>
                <w:b/>
                <w:bCs/>
                <w:noProof/>
                <w:sz w:val="18"/>
                <w:szCs w:val="18"/>
              </w:rPr>
            </w:pPr>
          </w:p>
        </w:tc>
        <w:tc>
          <w:tcPr>
            <w:tcW w:w="2165" w:type="dxa"/>
            <w:vMerge/>
            <w:vAlign w:val="center"/>
            <w:hideMark/>
          </w:tcPr>
          <w:p w14:paraId="4B20690E" w14:textId="77777777" w:rsidR="00A00259" w:rsidRDefault="00A00259">
            <w:pPr>
              <w:spacing w:after="0" w:line="240" w:lineRule="auto"/>
              <w:rPr>
                <w:rFonts w:ascii="Times New Roman" w:eastAsia="Times New Roman" w:hAnsi="Times New Roman" w:cs="Times New Roman"/>
                <w:b/>
                <w:bCs/>
                <w:noProof/>
                <w:sz w:val="18"/>
                <w:szCs w:val="18"/>
              </w:rPr>
            </w:pPr>
          </w:p>
        </w:tc>
        <w:tc>
          <w:tcPr>
            <w:tcW w:w="1094" w:type="dxa"/>
            <w:vMerge/>
            <w:vAlign w:val="center"/>
            <w:hideMark/>
          </w:tcPr>
          <w:p w14:paraId="356B124E" w14:textId="77777777" w:rsidR="00A00259" w:rsidRDefault="00A00259">
            <w:pPr>
              <w:spacing w:after="0" w:line="240" w:lineRule="auto"/>
              <w:rPr>
                <w:rFonts w:ascii="Times New Roman" w:eastAsia="Times New Roman" w:hAnsi="Times New Roman" w:cs="Times New Roman"/>
                <w:b/>
                <w:bCs/>
                <w:noProof/>
                <w:sz w:val="18"/>
                <w:szCs w:val="18"/>
              </w:rPr>
            </w:pPr>
          </w:p>
        </w:tc>
        <w:tc>
          <w:tcPr>
            <w:tcW w:w="1205" w:type="dxa"/>
            <w:vMerge/>
            <w:vAlign w:val="center"/>
            <w:hideMark/>
          </w:tcPr>
          <w:p w14:paraId="67AA1A78" w14:textId="77777777" w:rsidR="00A00259" w:rsidRDefault="00A00259">
            <w:pPr>
              <w:spacing w:after="0" w:line="240" w:lineRule="auto"/>
              <w:rPr>
                <w:rFonts w:ascii="Times New Roman" w:eastAsia="Times New Roman" w:hAnsi="Times New Roman" w:cs="Times New Roman"/>
                <w:b/>
                <w:bCs/>
                <w:noProof/>
                <w:sz w:val="18"/>
                <w:szCs w:val="18"/>
              </w:rPr>
            </w:pPr>
          </w:p>
        </w:tc>
        <w:tc>
          <w:tcPr>
            <w:tcW w:w="1553" w:type="dxa"/>
            <w:vMerge/>
            <w:vAlign w:val="center"/>
            <w:hideMark/>
          </w:tcPr>
          <w:p w14:paraId="03C64929" w14:textId="77777777" w:rsidR="00A00259" w:rsidRDefault="00A00259">
            <w:pPr>
              <w:spacing w:after="0" w:line="240" w:lineRule="auto"/>
              <w:rPr>
                <w:rFonts w:ascii="Times New Roman" w:eastAsia="Times New Roman" w:hAnsi="Times New Roman" w:cs="Times New Roman"/>
                <w:b/>
                <w:bCs/>
                <w:noProof/>
                <w:sz w:val="18"/>
                <w:szCs w:val="18"/>
              </w:rPr>
            </w:pPr>
          </w:p>
        </w:tc>
        <w:tc>
          <w:tcPr>
            <w:tcW w:w="1205" w:type="dxa"/>
            <w:shd w:val="clear" w:color="auto" w:fill="BDD7EE"/>
            <w:vAlign w:val="center"/>
            <w:hideMark/>
          </w:tcPr>
          <w:p w14:paraId="68F15C05" w14:textId="77777777" w:rsidR="00A00259" w:rsidRDefault="00371282">
            <w:pPr>
              <w:pStyle w:val="P68B1DB1-Normal15"/>
              <w:spacing w:after="0" w:line="240" w:lineRule="auto"/>
              <w:jc w:val="center"/>
              <w:rPr>
                <w:rFonts w:eastAsia="Times New Roman"/>
                <w:bCs/>
                <w:noProof/>
              </w:rPr>
            </w:pPr>
            <w:r>
              <w:rPr>
                <w:noProof/>
              </w:rPr>
              <w:t>Unité de mesure</w:t>
            </w:r>
          </w:p>
        </w:tc>
        <w:tc>
          <w:tcPr>
            <w:tcW w:w="927" w:type="dxa"/>
            <w:shd w:val="clear" w:color="auto" w:fill="BDD7EE"/>
            <w:vAlign w:val="center"/>
            <w:hideMark/>
          </w:tcPr>
          <w:p w14:paraId="0E641984" w14:textId="77777777" w:rsidR="00A00259" w:rsidRDefault="00371282">
            <w:pPr>
              <w:pStyle w:val="P68B1DB1-Normal15"/>
              <w:spacing w:after="0" w:line="240" w:lineRule="auto"/>
              <w:jc w:val="center"/>
              <w:rPr>
                <w:rFonts w:eastAsia="Times New Roman"/>
                <w:bCs/>
                <w:noProof/>
              </w:rPr>
            </w:pPr>
            <w:r>
              <w:rPr>
                <w:noProof/>
              </w:rPr>
              <w:t xml:space="preserve">Données de référence </w:t>
            </w:r>
          </w:p>
        </w:tc>
        <w:tc>
          <w:tcPr>
            <w:tcW w:w="713" w:type="dxa"/>
            <w:shd w:val="clear" w:color="auto" w:fill="BDD7EE"/>
            <w:vAlign w:val="center"/>
            <w:hideMark/>
          </w:tcPr>
          <w:p w14:paraId="31338D6F" w14:textId="77777777" w:rsidR="00A00259" w:rsidRDefault="00371282">
            <w:pPr>
              <w:pStyle w:val="P68B1DB1-Normal15"/>
              <w:spacing w:after="0" w:line="240" w:lineRule="auto"/>
              <w:jc w:val="center"/>
              <w:rPr>
                <w:rFonts w:eastAsia="Times New Roman"/>
                <w:bCs/>
                <w:noProof/>
              </w:rPr>
            </w:pPr>
            <w:r>
              <w:rPr>
                <w:noProof/>
              </w:rPr>
              <w:t xml:space="preserve">Objectif </w:t>
            </w:r>
          </w:p>
        </w:tc>
        <w:tc>
          <w:tcPr>
            <w:tcW w:w="922" w:type="dxa"/>
            <w:shd w:val="clear" w:color="auto" w:fill="BDD7EE"/>
            <w:vAlign w:val="center"/>
            <w:hideMark/>
          </w:tcPr>
          <w:p w14:paraId="21C5A2CF" w14:textId="77777777" w:rsidR="00A00259" w:rsidRDefault="00371282">
            <w:pPr>
              <w:pStyle w:val="P68B1DB1-Normal15"/>
              <w:spacing w:after="0" w:line="240" w:lineRule="auto"/>
              <w:jc w:val="center"/>
              <w:rPr>
                <w:rFonts w:eastAsia="Times New Roman"/>
                <w:bCs/>
                <w:noProof/>
              </w:rPr>
            </w:pPr>
            <w:r>
              <w:rPr>
                <w:noProof/>
              </w:rPr>
              <w:t>Trimestre</w:t>
            </w:r>
          </w:p>
        </w:tc>
        <w:tc>
          <w:tcPr>
            <w:tcW w:w="720" w:type="dxa"/>
            <w:shd w:val="clear" w:color="auto" w:fill="BDD7EE"/>
            <w:vAlign w:val="center"/>
            <w:hideMark/>
          </w:tcPr>
          <w:p w14:paraId="36039D9E" w14:textId="77777777" w:rsidR="00A00259" w:rsidRDefault="00371282">
            <w:pPr>
              <w:pStyle w:val="P68B1DB1-Normal15"/>
              <w:spacing w:after="0" w:line="240" w:lineRule="auto"/>
              <w:jc w:val="center"/>
              <w:rPr>
                <w:rFonts w:eastAsia="Times New Roman"/>
                <w:bCs/>
                <w:noProof/>
              </w:rPr>
            </w:pPr>
            <w:r>
              <w:rPr>
                <w:noProof/>
              </w:rPr>
              <w:t>Année</w:t>
            </w:r>
          </w:p>
        </w:tc>
        <w:tc>
          <w:tcPr>
            <w:tcW w:w="3133" w:type="dxa"/>
            <w:vMerge/>
            <w:vAlign w:val="center"/>
            <w:hideMark/>
          </w:tcPr>
          <w:p w14:paraId="43C275A3"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73039A7B" w14:textId="77777777">
        <w:tc>
          <w:tcPr>
            <w:tcW w:w="704" w:type="dxa"/>
            <w:shd w:val="clear" w:color="auto" w:fill="C6EFCE"/>
            <w:noWrap/>
          </w:tcPr>
          <w:p w14:paraId="10F2FE96" w14:textId="77777777" w:rsidR="00A00259" w:rsidRDefault="00371282">
            <w:pPr>
              <w:pStyle w:val="P68B1DB1-Normal12"/>
              <w:spacing w:after="0" w:line="240" w:lineRule="auto"/>
              <w:rPr>
                <w:rFonts w:eastAsia="Times New Roman"/>
                <w:noProof/>
              </w:rPr>
            </w:pPr>
            <w:r>
              <w:rPr>
                <w:noProof/>
              </w:rPr>
              <w:t>370</w:t>
            </w:r>
          </w:p>
        </w:tc>
        <w:tc>
          <w:tcPr>
            <w:tcW w:w="2165" w:type="dxa"/>
            <w:shd w:val="clear" w:color="auto" w:fill="C6EFCE"/>
            <w:noWrap/>
          </w:tcPr>
          <w:p w14:paraId="551D7CCF" w14:textId="77777777" w:rsidR="00A00259" w:rsidRDefault="00371282">
            <w:pPr>
              <w:pStyle w:val="P68B1DB1-Normal12"/>
              <w:spacing w:after="0" w:line="240" w:lineRule="auto"/>
              <w:rPr>
                <w:noProof/>
              </w:rPr>
            </w:pPr>
            <w:r>
              <w:rPr>
                <w:noProof/>
              </w:rPr>
              <w:t>21 - 5.2 Investissements REPowerEU - 16995_Projet de production d'hydrogène renouvelable</w:t>
            </w:r>
          </w:p>
        </w:tc>
        <w:tc>
          <w:tcPr>
            <w:tcW w:w="1094" w:type="dxa"/>
            <w:shd w:val="clear" w:color="auto" w:fill="C6EFCE"/>
            <w:noWrap/>
          </w:tcPr>
          <w:p w14:paraId="6749F381" w14:textId="77777777" w:rsidR="00A00259" w:rsidRDefault="00371282">
            <w:pPr>
              <w:pStyle w:val="P68B1DB1-Normal12"/>
              <w:spacing w:after="0" w:line="240" w:lineRule="auto"/>
              <w:rPr>
                <w:rFonts w:eastAsia="Times New Roman"/>
                <w:noProof/>
              </w:rPr>
            </w:pPr>
            <w:r>
              <w:rPr>
                <w:noProof/>
              </w:rPr>
              <w:t>Étape</w:t>
            </w:r>
          </w:p>
        </w:tc>
        <w:tc>
          <w:tcPr>
            <w:tcW w:w="1205" w:type="dxa"/>
            <w:shd w:val="clear" w:color="auto" w:fill="C6EFCE"/>
            <w:noWrap/>
          </w:tcPr>
          <w:p w14:paraId="1B0F81B2" w14:textId="77777777" w:rsidR="00A00259" w:rsidRDefault="00371282">
            <w:pPr>
              <w:pStyle w:val="P68B1DB1-Normal12"/>
              <w:spacing w:after="0" w:line="240" w:lineRule="auto"/>
              <w:rPr>
                <w:rFonts w:eastAsia="Times New Roman"/>
                <w:noProof/>
              </w:rPr>
            </w:pPr>
            <w:r>
              <w:rPr>
                <w:noProof/>
              </w:rPr>
              <w:t>Délivrance d’une décision ministérielle conjointe pour l’octroi de la subvention au bénéficiaire</w:t>
            </w:r>
          </w:p>
        </w:tc>
        <w:tc>
          <w:tcPr>
            <w:tcW w:w="1553" w:type="dxa"/>
            <w:shd w:val="clear" w:color="auto" w:fill="C6EFCE"/>
            <w:noWrap/>
          </w:tcPr>
          <w:p w14:paraId="3CEF375F" w14:textId="77777777" w:rsidR="00A00259" w:rsidRDefault="00371282">
            <w:pPr>
              <w:pStyle w:val="P68B1DB1-Normal12"/>
              <w:spacing w:after="0" w:line="240" w:lineRule="auto"/>
              <w:rPr>
                <w:rFonts w:eastAsia="Times New Roman"/>
                <w:noProof/>
              </w:rPr>
            </w:pPr>
            <w:r>
              <w:rPr>
                <w:noProof/>
              </w:rPr>
              <w:t>Publication d'une décision ministérielle conjointe</w:t>
            </w:r>
          </w:p>
        </w:tc>
        <w:tc>
          <w:tcPr>
            <w:tcW w:w="1205" w:type="dxa"/>
            <w:shd w:val="clear" w:color="auto" w:fill="C6EFCE"/>
            <w:noWrap/>
          </w:tcPr>
          <w:p w14:paraId="402C09B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27" w:type="dxa"/>
            <w:shd w:val="clear" w:color="auto" w:fill="C6EFCE"/>
            <w:noWrap/>
          </w:tcPr>
          <w:p w14:paraId="747D488E"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05556DB2"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22" w:type="dxa"/>
            <w:shd w:val="clear" w:color="auto" w:fill="C6EFCE"/>
            <w:noWrap/>
          </w:tcPr>
          <w:p w14:paraId="395DEDC0" w14:textId="77777777" w:rsidR="00A00259" w:rsidRDefault="00371282">
            <w:pPr>
              <w:pStyle w:val="P68B1DB1-Normal12"/>
              <w:spacing w:after="0" w:line="240" w:lineRule="auto"/>
              <w:rPr>
                <w:rFonts w:eastAsia="Times New Roman"/>
                <w:noProof/>
              </w:rPr>
            </w:pPr>
            <w:r>
              <w:rPr>
                <w:noProof/>
              </w:rPr>
              <w:t>T2</w:t>
            </w:r>
          </w:p>
        </w:tc>
        <w:tc>
          <w:tcPr>
            <w:tcW w:w="720" w:type="dxa"/>
            <w:shd w:val="clear" w:color="auto" w:fill="C6EFCE"/>
            <w:noWrap/>
          </w:tcPr>
          <w:p w14:paraId="6376BF68" w14:textId="77777777" w:rsidR="00A00259" w:rsidRDefault="00371282">
            <w:pPr>
              <w:pStyle w:val="P68B1DB1-Normal12"/>
              <w:spacing w:after="0" w:line="240" w:lineRule="auto"/>
              <w:rPr>
                <w:rFonts w:eastAsia="Times New Roman"/>
                <w:noProof/>
              </w:rPr>
            </w:pPr>
            <w:r>
              <w:rPr>
                <w:noProof/>
              </w:rPr>
              <w:t>2024</w:t>
            </w:r>
          </w:p>
        </w:tc>
        <w:tc>
          <w:tcPr>
            <w:tcW w:w="3133" w:type="dxa"/>
            <w:shd w:val="clear" w:color="auto" w:fill="C6EFCE"/>
            <w:noWrap/>
          </w:tcPr>
          <w:p w14:paraId="5D99DEC2" w14:textId="77777777" w:rsidR="00A00259" w:rsidRDefault="00371282">
            <w:pPr>
              <w:pStyle w:val="P68B1DB1-Normal12"/>
              <w:spacing w:after="0" w:line="240" w:lineRule="auto"/>
              <w:rPr>
                <w:rFonts w:eastAsia="Times New Roman"/>
                <w:noProof/>
              </w:rPr>
            </w:pPr>
            <w:r>
              <w:rPr>
                <w:noProof/>
              </w:rPr>
              <w:t>Délivrance d’une décision ministérielle conjointe pour l’octroi d’une subvention au bénéficiaire pour au moins 45 MW d’hydrogène renouvelable installé neuf.</w:t>
            </w:r>
          </w:p>
        </w:tc>
      </w:tr>
      <w:tr w:rsidR="00A00259" w14:paraId="4E227898" w14:textId="77777777">
        <w:trPr>
          <w:trHeight w:val="2505"/>
        </w:trPr>
        <w:tc>
          <w:tcPr>
            <w:tcW w:w="704" w:type="dxa"/>
            <w:shd w:val="clear" w:color="auto" w:fill="C6EFCE"/>
            <w:noWrap/>
          </w:tcPr>
          <w:p w14:paraId="6C4A5100" w14:textId="77777777" w:rsidR="00A00259" w:rsidRDefault="00371282">
            <w:pPr>
              <w:pStyle w:val="P68B1DB1-Normal12"/>
              <w:spacing w:after="0" w:line="240" w:lineRule="auto"/>
              <w:rPr>
                <w:rFonts w:eastAsia="Times New Roman"/>
                <w:noProof/>
              </w:rPr>
            </w:pPr>
            <w:r>
              <w:rPr>
                <w:noProof/>
              </w:rPr>
              <w:t>371</w:t>
            </w:r>
          </w:p>
        </w:tc>
        <w:tc>
          <w:tcPr>
            <w:tcW w:w="2165" w:type="dxa"/>
            <w:shd w:val="clear" w:color="auto" w:fill="C6EFCE"/>
            <w:noWrap/>
          </w:tcPr>
          <w:p w14:paraId="7A1251A0" w14:textId="77777777" w:rsidR="00A00259" w:rsidRDefault="00371282">
            <w:pPr>
              <w:pStyle w:val="P68B1DB1-Normal12"/>
              <w:spacing w:after="0" w:line="240" w:lineRule="auto"/>
              <w:rPr>
                <w:rFonts w:eastAsia="Times New Roman"/>
                <w:noProof/>
              </w:rPr>
            </w:pPr>
            <w:r>
              <w:rPr>
                <w:noProof/>
              </w:rPr>
              <w:t>21 - 5.2 Investissements REPowerEU - 16995_Projet de production d'hydrogène renouvelable</w:t>
            </w:r>
          </w:p>
        </w:tc>
        <w:tc>
          <w:tcPr>
            <w:tcW w:w="1094" w:type="dxa"/>
            <w:shd w:val="clear" w:color="auto" w:fill="C6EFCE"/>
            <w:noWrap/>
          </w:tcPr>
          <w:p w14:paraId="2BD2653B" w14:textId="77777777" w:rsidR="00A00259" w:rsidRDefault="00371282">
            <w:pPr>
              <w:pStyle w:val="P68B1DB1-Normal12"/>
              <w:spacing w:after="0" w:line="240" w:lineRule="auto"/>
              <w:rPr>
                <w:rFonts w:eastAsia="Times New Roman"/>
                <w:noProof/>
              </w:rPr>
            </w:pPr>
            <w:r>
              <w:rPr>
                <w:noProof/>
              </w:rPr>
              <w:t>Étape</w:t>
            </w:r>
          </w:p>
        </w:tc>
        <w:tc>
          <w:tcPr>
            <w:tcW w:w="1205" w:type="dxa"/>
            <w:shd w:val="clear" w:color="auto" w:fill="C6EFCE"/>
            <w:noWrap/>
          </w:tcPr>
          <w:p w14:paraId="418256E2" w14:textId="77777777" w:rsidR="00A00259" w:rsidRDefault="00371282">
            <w:pPr>
              <w:pStyle w:val="P68B1DB1-Normal12"/>
              <w:spacing w:after="0" w:line="240" w:lineRule="auto"/>
              <w:rPr>
                <w:rFonts w:eastAsia="Times New Roman"/>
                <w:noProof/>
              </w:rPr>
            </w:pPr>
            <w:r>
              <w:rPr>
                <w:noProof/>
              </w:rPr>
              <w:t>Capacité de production d’hydrogène renouvelable</w:t>
            </w:r>
          </w:p>
        </w:tc>
        <w:tc>
          <w:tcPr>
            <w:tcW w:w="1553" w:type="dxa"/>
            <w:shd w:val="clear" w:color="auto" w:fill="C6EFCE"/>
            <w:noWrap/>
          </w:tcPr>
          <w:p w14:paraId="404BFCC2" w14:textId="77777777" w:rsidR="00A00259" w:rsidRDefault="00371282">
            <w:pPr>
              <w:pStyle w:val="P68B1DB1-Normal23"/>
              <w:spacing w:after="0" w:line="240" w:lineRule="auto"/>
              <w:rPr>
                <w:noProof/>
              </w:rPr>
            </w:pPr>
            <w:r>
              <w:rPr>
                <w:noProof/>
              </w:rPr>
              <w:t xml:space="preserve">Rapport technique de l’organisme de certification indépendant </w:t>
            </w:r>
          </w:p>
        </w:tc>
        <w:tc>
          <w:tcPr>
            <w:tcW w:w="1205" w:type="dxa"/>
            <w:shd w:val="clear" w:color="auto" w:fill="C6EFCE"/>
            <w:noWrap/>
          </w:tcPr>
          <w:p w14:paraId="3E2C8474"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27" w:type="dxa"/>
            <w:shd w:val="clear" w:color="auto" w:fill="C6EFCE"/>
            <w:noWrap/>
          </w:tcPr>
          <w:p w14:paraId="4CE2382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1D90D3C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922" w:type="dxa"/>
            <w:shd w:val="clear" w:color="auto" w:fill="C6EFCE"/>
            <w:noWrap/>
          </w:tcPr>
          <w:p w14:paraId="58189E07" w14:textId="77777777" w:rsidR="00A00259" w:rsidRDefault="00371282">
            <w:pPr>
              <w:pStyle w:val="P68B1DB1-Normal12"/>
              <w:spacing w:after="0" w:line="240" w:lineRule="auto"/>
              <w:rPr>
                <w:rFonts w:eastAsia="Times New Roman"/>
                <w:noProof/>
              </w:rPr>
            </w:pPr>
            <w:r>
              <w:rPr>
                <w:noProof/>
              </w:rPr>
              <w:t xml:space="preserve">T4 </w:t>
            </w:r>
          </w:p>
        </w:tc>
        <w:tc>
          <w:tcPr>
            <w:tcW w:w="720" w:type="dxa"/>
            <w:shd w:val="clear" w:color="auto" w:fill="C6EFCE"/>
            <w:noWrap/>
          </w:tcPr>
          <w:p w14:paraId="4373699B" w14:textId="77777777" w:rsidR="00A00259" w:rsidRDefault="00371282">
            <w:pPr>
              <w:pStyle w:val="P68B1DB1-Normal12"/>
              <w:spacing w:after="0" w:line="240" w:lineRule="auto"/>
              <w:rPr>
                <w:rFonts w:eastAsia="Times New Roman"/>
                <w:noProof/>
              </w:rPr>
            </w:pPr>
            <w:r>
              <w:rPr>
                <w:noProof/>
              </w:rPr>
              <w:t>2025</w:t>
            </w:r>
          </w:p>
        </w:tc>
        <w:tc>
          <w:tcPr>
            <w:tcW w:w="3133" w:type="dxa"/>
            <w:shd w:val="clear" w:color="auto" w:fill="C6EFCE"/>
            <w:noWrap/>
          </w:tcPr>
          <w:p w14:paraId="5123312D" w14:textId="284E9977" w:rsidR="00A00259" w:rsidRDefault="00371282">
            <w:pPr>
              <w:pStyle w:val="P68B1DB1-Normal12"/>
              <w:spacing w:after="0" w:line="240" w:lineRule="auto"/>
              <w:rPr>
                <w:rFonts w:eastAsia="Times New Roman"/>
                <w:noProof/>
              </w:rPr>
            </w:pPr>
            <w:r>
              <w:rPr>
                <w:noProof/>
              </w:rPr>
              <w:t>Rapport technique de l’organisme de certification indépendant qui certifie l’installation d’équipements pour la production d’hydrogène renouvelable par électrolyse d’une capacité d’au moins 45 MW. Cela comprend l'installation d'électrolyseurs, d'équipements auxiliaires et d'une sous-station électrique, ainsi que l'installation d'un réseau d'hydrogène au sein de la raffinerie pour la compression, le conditionnement, le comptage, la purification et la distribution de l'hydrogène avec l'installation d'injection.</w:t>
            </w:r>
          </w:p>
        </w:tc>
      </w:tr>
    </w:tbl>
    <w:p w14:paraId="5F8C17A2" w14:textId="3EE11BF6" w:rsidR="00A00259" w:rsidRDefault="00A00259">
      <w:pPr>
        <w:keepNext/>
        <w:spacing w:before="40" w:after="0" w:line="259" w:lineRule="auto"/>
        <w:ind w:left="130" w:firstLine="720"/>
        <w:jc w:val="both"/>
        <w:outlineLvl w:val="1"/>
        <w:rPr>
          <w:rFonts w:ascii="Times New Roman" w:hAnsi="Times New Roman" w:cs="Times New Roman"/>
          <w:noProof/>
          <w:sz w:val="24"/>
          <w:szCs w:val="24"/>
        </w:rPr>
        <w:sectPr w:rsidR="00A00259">
          <w:headerReference w:type="even" r:id="rId414"/>
          <w:headerReference w:type="default" r:id="rId415"/>
          <w:footerReference w:type="even" r:id="rId416"/>
          <w:footerReference w:type="default" r:id="rId417"/>
          <w:headerReference w:type="first" r:id="rId418"/>
          <w:footerReference w:type="first" r:id="rId419"/>
          <w:pgSz w:w="16839" w:h="11907" w:orient="landscape"/>
          <w:pgMar w:top="1134" w:right="1134" w:bottom="1134" w:left="1134" w:header="567" w:footer="567" w:gutter="0"/>
          <w:cols w:space="720"/>
          <w:docGrid w:linePitch="360"/>
        </w:sectPr>
      </w:pPr>
    </w:p>
    <w:p w14:paraId="1397913F" w14:textId="77777777" w:rsidR="00A00259" w:rsidRDefault="00371282">
      <w:pPr>
        <w:pStyle w:val="P68B1DB1-Normal17"/>
        <w:spacing w:before="120" w:after="120" w:line="240" w:lineRule="auto"/>
        <w:ind w:firstLine="6"/>
        <w:jc w:val="both"/>
        <w:outlineLvl w:val="3"/>
        <w:rPr>
          <w:rFonts w:cs="Times New Roman"/>
          <w:bCs/>
          <w:noProof/>
        </w:rPr>
      </w:pPr>
      <w:r>
        <w:rPr>
          <w:noProof/>
        </w:rPr>
        <w:t>S. ASSISTANCE TECHNIQUE</w:t>
      </w:r>
    </w:p>
    <w:p w14:paraId="38ABDA0E" w14:textId="77777777" w:rsidR="00A00259" w:rsidRDefault="00371282">
      <w:pPr>
        <w:pStyle w:val="P68B1DB1-Normal5"/>
        <w:spacing w:before="120" w:after="120" w:line="240" w:lineRule="auto"/>
        <w:jc w:val="both"/>
        <w:rPr>
          <w:rFonts w:cs="Times New Roman"/>
          <w:noProof/>
        </w:rPr>
      </w:pPr>
      <w:r>
        <w:rPr>
          <w:noProof/>
        </w:rPr>
        <w:t>Ce volet du plan grec pour la reprise et la résilience consiste en des mesures visant à renforcer la capacité administrative de l’Agence pour la reprise et la résilience, qui est la nouvelle structure exclusivement consacrée à la coordination et à la mise en œuvre du plan grec pour la reprise et la résilience. La mesure vise à fournir l’assistance nécessaire à l’administration grecque pour piloter avec succès la mise en œuvre du PRR. Il devrait donc contribuer indirectement à la réalisation des objectifs du PRR, tels que étayés par les mesures incluses dans les quatre piliers, et contribuer à la mise en œuvre des recommandations par pays pertinentes pour la Grèce, à savoir les investissements publics et privés (recommandation par pays no 2 de 2019 et recommandation par pays no 3 de 2020), les finances publiques et les soins de santé (recommandation par pays no 1 de 2020) et la politique sociale et du marché du travail (recommandation par pays no 2 de 2020).</w:t>
      </w:r>
    </w:p>
    <w:p w14:paraId="33D91F75" w14:textId="77777777" w:rsidR="00A00259" w:rsidRDefault="00371282">
      <w:pPr>
        <w:pStyle w:val="P68B1DB1-Normal6"/>
        <w:spacing w:before="120" w:after="120" w:line="240" w:lineRule="auto"/>
        <w:jc w:val="both"/>
        <w:rPr>
          <w:rFonts w:cs="Times New Roman"/>
          <w:i/>
          <w:noProof/>
          <w:color w:val="4F81BD"/>
        </w:rPr>
      </w:pPr>
      <w:r>
        <w:rPr>
          <w:noProof/>
        </w:rPr>
        <w:t>S.1. Description des réformes et des investissements pour le soutien financier non remboursable</w:t>
      </w:r>
    </w:p>
    <w:p w14:paraId="2B989336" w14:textId="77777777" w:rsidR="00A00259" w:rsidRDefault="00371282">
      <w:pPr>
        <w:pStyle w:val="P68B1DB1-Normal7"/>
        <w:spacing w:before="120" w:after="120" w:line="240" w:lineRule="auto"/>
        <w:jc w:val="both"/>
        <w:rPr>
          <w:rFonts w:cs="Times New Roman"/>
          <w:noProof/>
        </w:rPr>
      </w:pPr>
      <w:r>
        <w:rPr>
          <w:b/>
          <w:noProof/>
        </w:rPr>
        <w:t>Investissement:</w:t>
      </w:r>
      <w:r>
        <w:rPr>
          <w:noProof/>
        </w:rPr>
        <w:t xml:space="preserve"> Assistance technique (mesure ID 16968)</w:t>
      </w:r>
    </w:p>
    <w:p w14:paraId="175451F1" w14:textId="77777777" w:rsidR="00A00259" w:rsidRDefault="00371282">
      <w:pPr>
        <w:pStyle w:val="P68B1DB1-Normal7"/>
        <w:spacing w:before="120" w:after="120" w:line="240" w:lineRule="auto"/>
        <w:jc w:val="both"/>
        <w:rPr>
          <w:rFonts w:cs="Times New Roman"/>
          <w:i/>
          <w:iCs/>
          <w:noProof/>
          <w:color w:val="4F81BD"/>
        </w:rPr>
      </w:pPr>
      <w:r>
        <w:rPr>
          <w:noProof/>
        </w:rPr>
        <w:t xml:space="preserve">L'investissement se compose de six sous-projets, à savoir: 1) le développement de systèmes et d’outils pour l’organisation du travail, 2) l’achat de services auprès d’auditeurs externes pour effectuer des audits, des inspections et des certifications en cas d’expertise spécifique requise et l’élaboration d’un cadre méthodologique global pour les audits, les inspections et les certifications afin de soutenir la fonction de supervision de l’Agence de la facilité pour la reprise et la résilience en ce qui concerne la mise en œuvre des mesures du plan, 3) des actions d’information et de publicité en ce qui concerne les investissements et les réformes clés dans le cadre du plan, 4) la réalisation d’études et l’acquisition d’expertise externe et d’un soutien technique dans le cadre de projets spécialisés, 5) le financement des dépenses pour le fonctionnement quotidien de l’Agence (loyer de bureau, acquisition d’équipements de bureau, couverture des factures de services publics) et 6) l’achat de services de contrôle de la qualité pour les projets de construction publique afin d’évaluer le respect des conditions contractuelles de construction, de la réglementation et des normes techniques. La mise en œuvre du sous-projet 3 s'inscrit dans le cadre de l'établissement de pratiques de bonne gouvernance. Les actions pertinentes deviennent un élément intégral et permanent de la procédure de consultation publique et sont utilisées comme un outil pour faciliter l’adhésion des parties prenantes et garantir la mise en œuvre durable de réformes et d’investissements spécifiques au titre du plan. Le financement du sous-projet 5 revêt un caractère temporaire, c’est-à-dire dans la mesure où il est rendu nécessaire pour aider l’Agence de la facilité pour la reprise et la résilience à s’acquitter efficacement de son mandat. La mesure concerne également la mise en place des systèmes de gestion, d'audit et de contrôle. La mise en œuvre de l’investissement est achevée au plus tard le 30 juin 2026. </w:t>
      </w:r>
    </w:p>
    <w:p w14:paraId="18D83D6E" w14:textId="77777777" w:rsidR="00A00259" w:rsidRDefault="00A00259">
      <w:pPr>
        <w:rPr>
          <w:rFonts w:ascii="Times New Roman" w:hAnsi="Times New Roman"/>
          <w:b/>
          <w:noProof/>
          <w:sz w:val="24"/>
          <w:u w:val="single"/>
        </w:rPr>
        <w:sectPr w:rsidR="00A00259">
          <w:headerReference w:type="even" r:id="rId420"/>
          <w:headerReference w:type="default" r:id="rId421"/>
          <w:footerReference w:type="even" r:id="rId422"/>
          <w:footerReference w:type="default" r:id="rId423"/>
          <w:headerReference w:type="first" r:id="rId424"/>
          <w:footerReference w:type="first" r:id="rId425"/>
          <w:pgSz w:w="11906" w:h="16838"/>
          <w:pgMar w:top="1134" w:right="1134" w:bottom="1134" w:left="1134" w:header="567" w:footer="567" w:gutter="0"/>
          <w:cols w:space="708"/>
          <w:docGrid w:linePitch="360"/>
        </w:sectPr>
      </w:pPr>
    </w:p>
    <w:p w14:paraId="3AB96540" w14:textId="77777777" w:rsidR="00A00259" w:rsidRDefault="00371282">
      <w:pPr>
        <w:pStyle w:val="P68B1DB1-Normal6"/>
        <w:spacing w:before="120" w:after="120" w:line="240" w:lineRule="auto"/>
        <w:jc w:val="both"/>
        <w:rPr>
          <w:rFonts w:cs="Times New Roman"/>
          <w:bCs/>
          <w:noProof/>
        </w:rPr>
      </w:pPr>
      <w:r>
        <w:rPr>
          <w:noProof/>
        </w:rPr>
        <w:t>S.2. Étapes, cibles, indicateurs et calendrier pour le suivi et la mise en œuvre du soutien financier non remboursable</w:t>
      </w:r>
    </w:p>
    <w:p w14:paraId="756E1C3E" w14:textId="77777777" w:rsidR="00A00259" w:rsidRDefault="00371282">
      <w:pPr>
        <w:pStyle w:val="P68B1DB1-Normal9"/>
        <w:keepNext/>
        <w:keepLines/>
        <w:spacing w:before="40" w:after="0" w:line="240" w:lineRule="auto"/>
        <w:jc w:val="both"/>
        <w:outlineLvl w:val="4"/>
        <w:rPr>
          <w:rFonts w:eastAsia="Times New Roman"/>
          <w:noProof/>
        </w:rPr>
      </w:pPr>
      <w:r>
        <w:rPr>
          <w:noProof/>
        </w:rPr>
        <w:t>Assistance technique</w:t>
      </w:r>
    </w:p>
    <w:tbl>
      <w:tblPr>
        <w:tblW w:w="157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2375"/>
        <w:gridCol w:w="1076"/>
        <w:gridCol w:w="1648"/>
        <w:gridCol w:w="1620"/>
        <w:gridCol w:w="866"/>
        <w:gridCol w:w="1035"/>
        <w:gridCol w:w="846"/>
        <w:gridCol w:w="986"/>
        <w:gridCol w:w="764"/>
        <w:gridCol w:w="4263"/>
      </w:tblGrid>
      <w:tr w:rsidR="00A00259" w14:paraId="236754D4" w14:textId="77777777">
        <w:trPr>
          <w:trHeight w:val="706"/>
          <w:tblHeader/>
        </w:trPr>
        <w:tc>
          <w:tcPr>
            <w:tcW w:w="5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3E681E" w14:textId="77777777" w:rsidR="00A00259" w:rsidRDefault="00371282">
            <w:pPr>
              <w:pStyle w:val="P68B1DB1-Normal15"/>
              <w:spacing w:after="0" w:line="240" w:lineRule="auto"/>
              <w:jc w:val="center"/>
              <w:rPr>
                <w:rFonts w:eastAsia="Times New Roman"/>
                <w:noProof/>
              </w:rPr>
            </w:pPr>
            <w:r>
              <w:rPr>
                <w:noProof/>
              </w:rPr>
              <w:t xml:space="preserve">Seq. </w:t>
            </w:r>
            <w:r>
              <w:rPr>
                <w:noProof/>
              </w:rPr>
              <w:br/>
              <w:t>Non.</w:t>
            </w:r>
          </w:p>
        </w:tc>
        <w:tc>
          <w:tcPr>
            <w:tcW w:w="23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12D0877" w14:textId="77777777" w:rsidR="00A00259" w:rsidRDefault="00371282">
            <w:pPr>
              <w:pStyle w:val="P68B1DB1-Normal10"/>
              <w:spacing w:after="0" w:line="240" w:lineRule="auto"/>
              <w:jc w:val="center"/>
              <w:rPr>
                <w:rFonts w:eastAsia="Times New Roman" w:cs="Times New Roman"/>
                <w:noProof/>
                <w:szCs w:val="18"/>
              </w:rPr>
            </w:pPr>
            <w:r>
              <w:rPr>
                <w:noProof/>
              </w:rPr>
              <w:t>Mesure connexe (réforme ou investissement)</w:t>
            </w:r>
          </w:p>
        </w:tc>
        <w:tc>
          <w:tcPr>
            <w:tcW w:w="96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7AA6E3C" w14:textId="77777777" w:rsidR="00A00259" w:rsidRDefault="00371282">
            <w:pPr>
              <w:pStyle w:val="P68B1DB1-Normal10"/>
              <w:spacing w:after="0" w:line="240" w:lineRule="auto"/>
              <w:jc w:val="center"/>
              <w:rPr>
                <w:rFonts w:eastAsia="Times New Roman" w:cs="Times New Roman"/>
                <w:noProof/>
                <w:szCs w:val="18"/>
              </w:rPr>
            </w:pPr>
            <w:r>
              <w:rPr>
                <w:noProof/>
              </w:rPr>
              <w:t>Étape/cible</w:t>
            </w:r>
          </w:p>
        </w:tc>
        <w:tc>
          <w:tcPr>
            <w:tcW w:w="164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053C5B2" w14:textId="77777777" w:rsidR="00A00259" w:rsidRDefault="00371282">
            <w:pPr>
              <w:pStyle w:val="P68B1DB1-Normal10"/>
              <w:spacing w:after="0" w:line="240" w:lineRule="auto"/>
              <w:jc w:val="center"/>
              <w:rPr>
                <w:rFonts w:eastAsia="Times New Roman" w:cs="Times New Roman"/>
                <w:noProof/>
                <w:szCs w:val="18"/>
              </w:rPr>
            </w:pPr>
            <w:r>
              <w:rPr>
                <w:noProof/>
              </w:rPr>
              <w:t>Nom</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8D40598" w14:textId="77777777" w:rsidR="00A00259" w:rsidRDefault="00371282">
            <w:pPr>
              <w:pStyle w:val="P68B1DB1-Normal10"/>
              <w:spacing w:after="0" w:line="240" w:lineRule="auto"/>
              <w:jc w:val="center"/>
              <w:rPr>
                <w:rFonts w:eastAsia="Times New Roman" w:cs="Times New Roman"/>
                <w:noProof/>
                <w:szCs w:val="18"/>
              </w:rPr>
            </w:pPr>
            <w:r>
              <w:rPr>
                <w:noProof/>
              </w:rPr>
              <w:t>Indicateurs qualitatifs (pour les jalons)</w:t>
            </w:r>
          </w:p>
        </w:tc>
        <w:tc>
          <w:tcPr>
            <w:tcW w:w="274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8E78072" w14:textId="77777777" w:rsidR="00A00259" w:rsidRDefault="00371282">
            <w:pPr>
              <w:pStyle w:val="P68B1DB1-Normal10"/>
              <w:spacing w:after="0" w:line="240" w:lineRule="auto"/>
              <w:jc w:val="center"/>
              <w:rPr>
                <w:rFonts w:eastAsia="Times New Roman" w:cs="Times New Roman"/>
                <w:noProof/>
                <w:szCs w:val="18"/>
              </w:rPr>
            </w:pPr>
            <w:r>
              <w:rPr>
                <w:noProof/>
              </w:rPr>
              <w:t>Indicateurs quantitatifs (pour les objectifs)</w:t>
            </w:r>
          </w:p>
        </w:tc>
        <w:tc>
          <w:tcPr>
            <w:tcW w:w="161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5437624A" w14:textId="77777777" w:rsidR="00A00259" w:rsidRDefault="00371282">
            <w:pPr>
              <w:pStyle w:val="P68B1DB1-Normal10"/>
              <w:spacing w:after="0" w:line="240" w:lineRule="auto"/>
              <w:jc w:val="center"/>
              <w:rPr>
                <w:rFonts w:eastAsia="Times New Roman" w:cs="Times New Roman"/>
                <w:noProof/>
                <w:szCs w:val="18"/>
              </w:rPr>
            </w:pPr>
            <w:r>
              <w:rPr>
                <w:noProof/>
              </w:rPr>
              <w:t xml:space="preserve">Calendrier indicatif d'achèvement </w:t>
            </w:r>
          </w:p>
        </w:tc>
        <w:tc>
          <w:tcPr>
            <w:tcW w:w="42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C298A8" w14:textId="77777777" w:rsidR="00A00259" w:rsidRDefault="00371282">
            <w:pPr>
              <w:pStyle w:val="P68B1DB1-Normal10"/>
              <w:spacing w:after="0" w:line="240" w:lineRule="auto"/>
              <w:jc w:val="center"/>
              <w:rPr>
                <w:rFonts w:eastAsia="Times New Roman" w:cs="Times New Roman"/>
                <w:noProof/>
                <w:szCs w:val="18"/>
              </w:rPr>
            </w:pPr>
            <w:r>
              <w:rPr>
                <w:noProof/>
              </w:rPr>
              <w:t>Description de chaque jalon et cible</w:t>
            </w:r>
          </w:p>
        </w:tc>
      </w:tr>
      <w:tr w:rsidR="00A00259" w14:paraId="0D2810E9" w14:textId="77777777">
        <w:trPr>
          <w:trHeight w:val="620"/>
        </w:trPr>
        <w:tc>
          <w:tcPr>
            <w:tcW w:w="568" w:type="dxa"/>
            <w:vMerge/>
            <w:tcBorders>
              <w:top w:val="single" w:sz="4" w:space="0" w:color="auto"/>
            </w:tcBorders>
            <w:vAlign w:val="center"/>
            <w:hideMark/>
          </w:tcPr>
          <w:p w14:paraId="4E2DFCCA" w14:textId="77777777" w:rsidR="00A00259" w:rsidRDefault="00A00259">
            <w:pPr>
              <w:spacing w:after="0" w:line="240" w:lineRule="auto"/>
              <w:rPr>
                <w:rFonts w:ascii="Times New Roman" w:eastAsia="Times New Roman" w:hAnsi="Times New Roman" w:cs="Times New Roman"/>
                <w:b/>
                <w:bCs/>
                <w:noProof/>
                <w:sz w:val="18"/>
                <w:szCs w:val="18"/>
              </w:rPr>
            </w:pPr>
          </w:p>
        </w:tc>
        <w:tc>
          <w:tcPr>
            <w:tcW w:w="2375" w:type="dxa"/>
            <w:vMerge/>
            <w:tcBorders>
              <w:top w:val="single" w:sz="4" w:space="0" w:color="auto"/>
            </w:tcBorders>
            <w:vAlign w:val="center"/>
            <w:hideMark/>
          </w:tcPr>
          <w:p w14:paraId="5547BEED" w14:textId="77777777" w:rsidR="00A00259" w:rsidRDefault="00A00259">
            <w:pPr>
              <w:spacing w:after="0" w:line="240" w:lineRule="auto"/>
              <w:rPr>
                <w:rFonts w:ascii="Times New Roman" w:eastAsia="Times New Roman" w:hAnsi="Times New Roman" w:cs="Times New Roman"/>
                <w:b/>
                <w:bCs/>
                <w:noProof/>
                <w:sz w:val="18"/>
                <w:szCs w:val="18"/>
              </w:rPr>
            </w:pPr>
          </w:p>
        </w:tc>
        <w:tc>
          <w:tcPr>
            <w:tcW w:w="967" w:type="dxa"/>
            <w:vMerge/>
            <w:tcBorders>
              <w:top w:val="single" w:sz="4" w:space="0" w:color="auto"/>
            </w:tcBorders>
            <w:vAlign w:val="center"/>
            <w:hideMark/>
          </w:tcPr>
          <w:p w14:paraId="3C74795E" w14:textId="77777777" w:rsidR="00A00259" w:rsidRDefault="00A00259">
            <w:pPr>
              <w:spacing w:after="0" w:line="240" w:lineRule="auto"/>
              <w:rPr>
                <w:rFonts w:ascii="Times New Roman" w:eastAsia="Times New Roman" w:hAnsi="Times New Roman" w:cs="Times New Roman"/>
                <w:b/>
                <w:bCs/>
                <w:noProof/>
                <w:sz w:val="18"/>
                <w:szCs w:val="18"/>
              </w:rPr>
            </w:pPr>
          </w:p>
        </w:tc>
        <w:tc>
          <w:tcPr>
            <w:tcW w:w="1648" w:type="dxa"/>
            <w:vMerge/>
            <w:tcBorders>
              <w:top w:val="single" w:sz="4" w:space="0" w:color="auto"/>
            </w:tcBorders>
            <w:vAlign w:val="center"/>
            <w:hideMark/>
          </w:tcPr>
          <w:p w14:paraId="5B60DADF" w14:textId="77777777" w:rsidR="00A00259" w:rsidRDefault="00A00259">
            <w:pPr>
              <w:spacing w:after="0" w:line="240" w:lineRule="auto"/>
              <w:rPr>
                <w:rFonts w:ascii="Times New Roman" w:eastAsia="Times New Roman" w:hAnsi="Times New Roman" w:cs="Times New Roman"/>
                <w:b/>
                <w:bCs/>
                <w:noProof/>
                <w:sz w:val="18"/>
                <w:szCs w:val="18"/>
              </w:rPr>
            </w:pPr>
          </w:p>
        </w:tc>
        <w:tc>
          <w:tcPr>
            <w:tcW w:w="1620" w:type="dxa"/>
            <w:vMerge/>
            <w:tcBorders>
              <w:top w:val="single" w:sz="4" w:space="0" w:color="auto"/>
            </w:tcBorders>
            <w:vAlign w:val="center"/>
            <w:hideMark/>
          </w:tcPr>
          <w:p w14:paraId="2DB9810B" w14:textId="77777777" w:rsidR="00A00259" w:rsidRDefault="00A00259">
            <w:pPr>
              <w:spacing w:after="0" w:line="240" w:lineRule="auto"/>
              <w:rPr>
                <w:rFonts w:ascii="Times New Roman" w:eastAsia="Times New Roman" w:hAnsi="Times New Roman" w:cs="Times New Roman"/>
                <w:b/>
                <w:bCs/>
                <w:noProof/>
                <w:sz w:val="18"/>
                <w:szCs w:val="18"/>
              </w:rPr>
            </w:pPr>
          </w:p>
        </w:tc>
        <w:tc>
          <w:tcPr>
            <w:tcW w:w="866" w:type="dxa"/>
            <w:tcBorders>
              <w:top w:val="single" w:sz="4" w:space="0" w:color="auto"/>
            </w:tcBorders>
            <w:shd w:val="clear" w:color="auto" w:fill="BDD7EE"/>
            <w:vAlign w:val="center"/>
            <w:hideMark/>
          </w:tcPr>
          <w:p w14:paraId="40984947" w14:textId="77777777" w:rsidR="00A00259" w:rsidRDefault="00371282">
            <w:pPr>
              <w:pStyle w:val="P68B1DB1-Normal10"/>
              <w:spacing w:after="0" w:line="240" w:lineRule="auto"/>
              <w:jc w:val="center"/>
              <w:rPr>
                <w:rFonts w:eastAsia="Times New Roman" w:cs="Times New Roman"/>
                <w:noProof/>
                <w:szCs w:val="18"/>
              </w:rPr>
            </w:pPr>
            <w:r>
              <w:rPr>
                <w:noProof/>
              </w:rPr>
              <w:t>Unité de mesure</w:t>
            </w:r>
          </w:p>
        </w:tc>
        <w:tc>
          <w:tcPr>
            <w:tcW w:w="1035" w:type="dxa"/>
            <w:tcBorders>
              <w:top w:val="single" w:sz="4" w:space="0" w:color="auto"/>
            </w:tcBorders>
            <w:shd w:val="clear" w:color="auto" w:fill="BDD7EE"/>
            <w:vAlign w:val="center"/>
            <w:hideMark/>
          </w:tcPr>
          <w:p w14:paraId="2D40112B" w14:textId="77777777" w:rsidR="00A00259" w:rsidRDefault="00371282">
            <w:pPr>
              <w:pStyle w:val="P68B1DB1-Normal10"/>
              <w:spacing w:after="0" w:line="240" w:lineRule="auto"/>
              <w:jc w:val="center"/>
              <w:rPr>
                <w:rFonts w:eastAsia="Times New Roman" w:cs="Times New Roman"/>
                <w:noProof/>
                <w:szCs w:val="18"/>
              </w:rPr>
            </w:pPr>
            <w:r>
              <w:rPr>
                <w:noProof/>
              </w:rPr>
              <w:t xml:space="preserve">Données de référence </w:t>
            </w:r>
          </w:p>
        </w:tc>
        <w:tc>
          <w:tcPr>
            <w:tcW w:w="839" w:type="dxa"/>
            <w:tcBorders>
              <w:top w:val="single" w:sz="4" w:space="0" w:color="auto"/>
            </w:tcBorders>
            <w:shd w:val="clear" w:color="auto" w:fill="BDD7EE"/>
            <w:vAlign w:val="center"/>
            <w:hideMark/>
          </w:tcPr>
          <w:p w14:paraId="0DDF7970" w14:textId="77777777" w:rsidR="00A00259" w:rsidRDefault="00371282">
            <w:pPr>
              <w:pStyle w:val="P68B1DB1-Normal10"/>
              <w:spacing w:after="0" w:line="240" w:lineRule="auto"/>
              <w:jc w:val="center"/>
              <w:rPr>
                <w:rFonts w:eastAsia="Times New Roman" w:cs="Times New Roman"/>
                <w:noProof/>
                <w:szCs w:val="18"/>
              </w:rPr>
            </w:pPr>
            <w:r>
              <w:rPr>
                <w:noProof/>
              </w:rPr>
              <w:t xml:space="preserve">Objectif </w:t>
            </w:r>
          </w:p>
        </w:tc>
        <w:tc>
          <w:tcPr>
            <w:tcW w:w="846" w:type="dxa"/>
            <w:tcBorders>
              <w:top w:val="single" w:sz="4" w:space="0" w:color="auto"/>
            </w:tcBorders>
            <w:shd w:val="clear" w:color="auto" w:fill="BDD7EE"/>
            <w:vAlign w:val="center"/>
            <w:hideMark/>
          </w:tcPr>
          <w:p w14:paraId="514276DB" w14:textId="77777777" w:rsidR="00A00259" w:rsidRDefault="00371282">
            <w:pPr>
              <w:pStyle w:val="P68B1DB1-Normal10"/>
              <w:spacing w:after="0" w:line="240" w:lineRule="auto"/>
              <w:jc w:val="center"/>
              <w:rPr>
                <w:rFonts w:eastAsia="Times New Roman" w:cs="Times New Roman"/>
                <w:noProof/>
                <w:szCs w:val="18"/>
              </w:rPr>
            </w:pPr>
            <w:r>
              <w:rPr>
                <w:noProof/>
              </w:rPr>
              <w:t>Trimestre</w:t>
            </w:r>
          </w:p>
        </w:tc>
        <w:tc>
          <w:tcPr>
            <w:tcW w:w="764" w:type="dxa"/>
            <w:tcBorders>
              <w:top w:val="single" w:sz="4" w:space="0" w:color="auto"/>
            </w:tcBorders>
            <w:shd w:val="clear" w:color="auto" w:fill="BDD7EE"/>
            <w:vAlign w:val="center"/>
            <w:hideMark/>
          </w:tcPr>
          <w:p w14:paraId="7DD6A019" w14:textId="77777777" w:rsidR="00A00259" w:rsidRDefault="00371282">
            <w:pPr>
              <w:pStyle w:val="P68B1DB1-Normal10"/>
              <w:spacing w:after="0" w:line="240" w:lineRule="auto"/>
              <w:jc w:val="center"/>
              <w:rPr>
                <w:rFonts w:eastAsia="Times New Roman" w:cs="Times New Roman"/>
                <w:noProof/>
                <w:szCs w:val="18"/>
              </w:rPr>
            </w:pPr>
            <w:r>
              <w:rPr>
                <w:noProof/>
              </w:rPr>
              <w:t>Année</w:t>
            </w:r>
          </w:p>
        </w:tc>
        <w:tc>
          <w:tcPr>
            <w:tcW w:w="4263" w:type="dxa"/>
            <w:vMerge/>
            <w:tcBorders>
              <w:top w:val="single" w:sz="4" w:space="0" w:color="auto"/>
            </w:tcBorders>
            <w:vAlign w:val="center"/>
            <w:hideMark/>
          </w:tcPr>
          <w:p w14:paraId="2DC8D88B" w14:textId="77777777" w:rsidR="00A00259" w:rsidRDefault="00A00259">
            <w:pPr>
              <w:spacing w:after="0" w:line="240" w:lineRule="auto"/>
              <w:rPr>
                <w:rFonts w:ascii="Times New Roman" w:eastAsia="Times New Roman" w:hAnsi="Times New Roman" w:cs="Times New Roman"/>
                <w:b/>
                <w:bCs/>
                <w:noProof/>
                <w:sz w:val="18"/>
                <w:szCs w:val="18"/>
              </w:rPr>
            </w:pPr>
          </w:p>
        </w:tc>
      </w:tr>
      <w:tr w:rsidR="00A00259" w14:paraId="74C0DD5E" w14:textId="77777777">
        <w:trPr>
          <w:trHeight w:val="309"/>
        </w:trPr>
        <w:tc>
          <w:tcPr>
            <w:tcW w:w="568" w:type="dxa"/>
            <w:shd w:val="clear" w:color="auto" w:fill="C6EFCE"/>
            <w:noWrap/>
          </w:tcPr>
          <w:p w14:paraId="551D67E6" w14:textId="77777777" w:rsidR="00A00259" w:rsidRDefault="00371282">
            <w:pPr>
              <w:pStyle w:val="P68B1DB1-Normal12"/>
              <w:spacing w:after="0" w:line="240" w:lineRule="auto"/>
              <w:rPr>
                <w:rFonts w:eastAsia="Times New Roman"/>
                <w:noProof/>
              </w:rPr>
            </w:pPr>
            <w:r>
              <w:rPr>
                <w:noProof/>
              </w:rPr>
              <w:t>331</w:t>
            </w:r>
          </w:p>
        </w:tc>
        <w:tc>
          <w:tcPr>
            <w:tcW w:w="2375" w:type="dxa"/>
            <w:shd w:val="clear" w:color="auto" w:fill="C6EFCE"/>
            <w:noWrap/>
          </w:tcPr>
          <w:p w14:paraId="6427D7AA" w14:textId="77777777" w:rsidR="00A00259" w:rsidRDefault="00371282">
            <w:pPr>
              <w:pStyle w:val="P68B1DB1-Normal12"/>
              <w:spacing w:after="0" w:line="240" w:lineRule="auto"/>
              <w:rPr>
                <w:rFonts w:eastAsia="Times New Roman"/>
                <w:noProof/>
              </w:rPr>
            </w:pPr>
            <w:r>
              <w:rPr>
                <w:noProof/>
              </w:rPr>
              <w:t>19 - 16968_Assistance technique</w:t>
            </w:r>
          </w:p>
        </w:tc>
        <w:tc>
          <w:tcPr>
            <w:tcW w:w="967" w:type="dxa"/>
            <w:shd w:val="clear" w:color="auto" w:fill="C6EFCE"/>
            <w:noWrap/>
          </w:tcPr>
          <w:p w14:paraId="67899149" w14:textId="77777777" w:rsidR="00A00259" w:rsidRDefault="00371282">
            <w:pPr>
              <w:pStyle w:val="P68B1DB1-Normal12"/>
              <w:spacing w:after="0" w:line="240" w:lineRule="auto"/>
              <w:rPr>
                <w:rFonts w:eastAsia="Times New Roman"/>
                <w:noProof/>
              </w:rPr>
            </w:pPr>
            <w:r>
              <w:rPr>
                <w:noProof/>
              </w:rPr>
              <w:t>Étape</w:t>
            </w:r>
          </w:p>
        </w:tc>
        <w:tc>
          <w:tcPr>
            <w:tcW w:w="1648" w:type="dxa"/>
            <w:shd w:val="clear" w:color="auto" w:fill="C6EFCE"/>
            <w:noWrap/>
          </w:tcPr>
          <w:p w14:paraId="23979961" w14:textId="77777777" w:rsidR="00A00259" w:rsidRDefault="00371282">
            <w:pPr>
              <w:pStyle w:val="P68B1DB1-Normal12"/>
              <w:spacing w:after="0" w:line="240" w:lineRule="auto"/>
              <w:rPr>
                <w:rFonts w:eastAsia="Times New Roman"/>
                <w:noProof/>
              </w:rPr>
            </w:pPr>
            <w:r>
              <w:rPr>
                <w:noProof/>
              </w:rPr>
              <w:t xml:space="preserve">Mandat juridique de l’EDEL et mise en place des systèmes de gestion, de contrôle et d’audit </w:t>
            </w:r>
          </w:p>
        </w:tc>
        <w:tc>
          <w:tcPr>
            <w:tcW w:w="1620" w:type="dxa"/>
            <w:shd w:val="clear" w:color="auto" w:fill="C6EFCE"/>
            <w:noWrap/>
          </w:tcPr>
          <w:p w14:paraId="09E3DB62" w14:textId="77777777" w:rsidR="00A00259" w:rsidRDefault="00371282">
            <w:pPr>
              <w:pStyle w:val="P68B1DB1-Normal12"/>
              <w:spacing w:after="0" w:line="240" w:lineRule="auto"/>
              <w:rPr>
                <w:rFonts w:eastAsia="Times New Roman"/>
                <w:noProof/>
              </w:rPr>
            </w:pPr>
            <w:r>
              <w:rPr>
                <w:noProof/>
              </w:rPr>
              <w:t xml:space="preserve">Mandat légal de l’EDEL en vigueur et mise en place des systèmes de gestion, de contrôle et d’audit </w:t>
            </w:r>
          </w:p>
        </w:tc>
        <w:tc>
          <w:tcPr>
            <w:tcW w:w="866" w:type="dxa"/>
            <w:shd w:val="clear" w:color="auto" w:fill="C6EFCE"/>
            <w:noWrap/>
          </w:tcPr>
          <w:p w14:paraId="0563FA79"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1035" w:type="dxa"/>
            <w:shd w:val="clear" w:color="auto" w:fill="C6EFCE"/>
            <w:noWrap/>
          </w:tcPr>
          <w:p w14:paraId="678CAC73"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39" w:type="dxa"/>
            <w:shd w:val="clear" w:color="auto" w:fill="C6EFCE"/>
            <w:noWrap/>
          </w:tcPr>
          <w:p w14:paraId="1AC0B655" w14:textId="77777777" w:rsidR="00A00259" w:rsidRDefault="00A002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6E1FACB3" w14:textId="77777777" w:rsidR="00A00259" w:rsidRDefault="00371282">
            <w:pPr>
              <w:pStyle w:val="P68B1DB1-Normal12"/>
              <w:spacing w:after="0" w:line="240" w:lineRule="auto"/>
              <w:rPr>
                <w:rFonts w:eastAsia="Times New Roman"/>
                <w:noProof/>
              </w:rPr>
            </w:pPr>
            <w:r>
              <w:rPr>
                <w:noProof/>
              </w:rPr>
              <w:t>T3</w:t>
            </w:r>
          </w:p>
        </w:tc>
        <w:tc>
          <w:tcPr>
            <w:tcW w:w="764" w:type="dxa"/>
            <w:shd w:val="clear" w:color="auto" w:fill="C6EFCE"/>
            <w:noWrap/>
          </w:tcPr>
          <w:p w14:paraId="5031365A" w14:textId="77777777" w:rsidR="00A00259" w:rsidRDefault="00371282">
            <w:pPr>
              <w:pStyle w:val="P68B1DB1-Normal12"/>
              <w:spacing w:after="0" w:line="240" w:lineRule="auto"/>
              <w:rPr>
                <w:rFonts w:eastAsia="Times New Roman"/>
                <w:noProof/>
              </w:rPr>
            </w:pPr>
            <w:r>
              <w:rPr>
                <w:noProof/>
              </w:rPr>
              <w:t>2021</w:t>
            </w:r>
          </w:p>
        </w:tc>
        <w:tc>
          <w:tcPr>
            <w:tcW w:w="4263" w:type="dxa"/>
            <w:shd w:val="clear" w:color="auto" w:fill="C6EFCE"/>
            <w:noWrap/>
          </w:tcPr>
          <w:p w14:paraId="0AFF071F" w14:textId="77777777" w:rsidR="00A00259" w:rsidRDefault="00371282">
            <w:pPr>
              <w:pStyle w:val="P68B1DB1-Normal12"/>
              <w:spacing w:after="0" w:line="240" w:lineRule="auto"/>
              <w:rPr>
                <w:rFonts w:eastAsia="Times New Roman"/>
                <w:noProof/>
              </w:rPr>
            </w:pPr>
            <w:r>
              <w:rPr>
                <w:noProof/>
              </w:rPr>
              <w:t>Entrée en vigueur du mandat juridique de l’EDEL et mise en place du système d’audit et de contrôle qui a) assure la collecte de données et le suivi de la réalisation des jalons et cibles; b) permettre la préparation des déclarations de gestion et du résumé de l’audit ainsi que des demandes de paiement et c) établir les procédures nécessaires pour collecter et stocker des données sur les bénéficiaires, les contractants, les sous-traitants et les bénéficiaires effectifs conformément à l’article 22 du règlement (UE) 2021/241, avant l’introduction de la première demande de paiement. Un rapport d'audit spécifique sur le système mis en place est établi. Si le rapport relève des faiblesses, le rapport d’audit recommande des mesures correctives.</w:t>
            </w:r>
          </w:p>
        </w:tc>
      </w:tr>
    </w:tbl>
    <w:p w14:paraId="25F94654" w14:textId="77777777" w:rsidR="00A00259" w:rsidRDefault="00A00259">
      <w:pPr>
        <w:spacing w:before="120" w:after="120" w:line="240" w:lineRule="auto"/>
        <w:ind w:left="709"/>
        <w:jc w:val="both"/>
        <w:rPr>
          <w:rFonts w:ascii="Times New Roman" w:hAnsi="Times New Roman" w:cs="Times New Roman"/>
          <w:noProof/>
          <w:sz w:val="24"/>
          <w:szCs w:val="24"/>
        </w:rPr>
      </w:pPr>
    </w:p>
    <w:p w14:paraId="670BBCA3" w14:textId="77777777" w:rsidR="00A00259" w:rsidRDefault="00A00259">
      <w:pPr>
        <w:spacing w:before="120" w:after="120" w:line="240" w:lineRule="auto"/>
        <w:jc w:val="both"/>
        <w:rPr>
          <w:rFonts w:ascii="Times New Roman" w:hAnsi="Times New Roman" w:cs="Times New Roman"/>
          <w:noProof/>
          <w:sz w:val="24"/>
        </w:rPr>
        <w:sectPr w:rsidR="00A00259">
          <w:headerReference w:type="even" r:id="rId426"/>
          <w:headerReference w:type="default" r:id="rId427"/>
          <w:footerReference w:type="even" r:id="rId428"/>
          <w:footerReference w:type="default" r:id="rId429"/>
          <w:headerReference w:type="first" r:id="rId430"/>
          <w:footerReference w:type="first" r:id="rId431"/>
          <w:pgSz w:w="16839" w:h="11907" w:orient="landscape"/>
          <w:pgMar w:top="1134" w:right="1134" w:bottom="1134" w:left="1134" w:header="567" w:footer="567" w:gutter="0"/>
          <w:cols w:space="720"/>
          <w:docGrid w:linePitch="360"/>
        </w:sectPr>
      </w:pPr>
    </w:p>
    <w:p w14:paraId="485094ED" w14:textId="77777777" w:rsidR="00A00259" w:rsidRDefault="00371282">
      <w:pPr>
        <w:pStyle w:val="P68B1DB1-Normal6"/>
        <w:keepNext/>
        <w:spacing w:before="40" w:after="0" w:line="259" w:lineRule="auto"/>
        <w:jc w:val="both"/>
        <w:outlineLvl w:val="1"/>
        <w:rPr>
          <w:rFonts w:eastAsia="Times New Roman" w:cs="Times New Roman"/>
          <w:noProof/>
        </w:rPr>
      </w:pPr>
      <w:r>
        <w:rPr>
          <w:noProof/>
        </w:rPr>
        <w:t>2. Coût total estimé du plan pour la reprise et la résilience</w:t>
      </w:r>
    </w:p>
    <w:p w14:paraId="566E2E86" w14:textId="270B430F" w:rsidR="00A00259" w:rsidRDefault="00371282">
      <w:pPr>
        <w:pStyle w:val="P68B1DB1-Normal8"/>
        <w:keepNext/>
        <w:spacing w:before="40" w:after="0" w:line="259" w:lineRule="auto"/>
        <w:jc w:val="both"/>
        <w:rPr>
          <w:rFonts w:ascii="Times New Roman" w:hAnsi="Times New Roman"/>
          <w:noProof/>
        </w:rPr>
      </w:pPr>
      <w:r>
        <w:rPr>
          <w:rFonts w:ascii="Times New Roman" w:hAnsi="Times New Roman"/>
          <w:noProof/>
        </w:rPr>
        <w:t>Le coût total du plan pour la reprise et la résilience comprenant le chapitre REPowerEU de la Grèce est estimé à</w:t>
      </w:r>
      <w:r>
        <w:rPr>
          <w:rFonts w:ascii="Times New Roman" w:hAnsi="Times New Roman" w:cs="Times New Roman"/>
          <w:noProof/>
          <w:color w:val="006100"/>
        </w:rPr>
        <w:t> </w:t>
      </w:r>
      <w:r>
        <w:rPr>
          <w:rFonts w:ascii="Times New Roman" w:hAnsi="Times New Roman"/>
          <w:noProof/>
        </w:rPr>
        <w:t>36 113 375 270 EUR. Le coût total du chapitre REPowerEU est estimé à</w:t>
      </w:r>
      <w:r>
        <w:rPr>
          <w:rFonts w:ascii="Times New Roman" w:hAnsi="Times New Roman" w:cs="Times New Roman"/>
          <w:noProof/>
          <w:color w:val="006100"/>
        </w:rPr>
        <w:t> </w:t>
      </w:r>
      <w:r>
        <w:rPr>
          <w:rFonts w:ascii="Times New Roman" w:hAnsi="Times New Roman"/>
          <w:noProof/>
        </w:rPr>
        <w:t>794 921 705 EUR. En particulier, le coût total estimé des mesures visées à l’article 21 quater, paragraphe 3, point a), du règlement (UE) 2023/435 est de 0 EUR, tandis que le coût des autres mesures du chapitre REPowerEU est de</w:t>
      </w:r>
      <w:r>
        <w:rPr>
          <w:rFonts w:ascii="Times New Roman" w:hAnsi="Times New Roman" w:cs="Times New Roman"/>
          <w:noProof/>
          <w:color w:val="006100"/>
        </w:rPr>
        <w:t> </w:t>
      </w:r>
      <w:r>
        <w:rPr>
          <w:rFonts w:ascii="Times New Roman" w:hAnsi="Times New Roman"/>
          <w:noProof/>
        </w:rPr>
        <w:t>794 921 705 EUR.</w:t>
      </w:r>
    </w:p>
    <w:p w14:paraId="5BFBB022" w14:textId="77777777" w:rsidR="00A00259" w:rsidRDefault="00371282">
      <w:pPr>
        <w:pStyle w:val="P68B1DB1-Normal2"/>
        <w:keepNext/>
        <w:tabs>
          <w:tab w:val="num" w:pos="850"/>
        </w:tabs>
        <w:spacing w:before="360" w:after="0" w:line="259" w:lineRule="auto"/>
        <w:jc w:val="both"/>
        <w:outlineLvl w:val="0"/>
        <w:rPr>
          <w:noProof/>
        </w:rPr>
      </w:pPr>
      <w:r>
        <w:rPr>
          <w:noProof/>
        </w:rPr>
        <w:t xml:space="preserve">SECTION 2: SOUTIEN FINANCIER </w:t>
      </w:r>
    </w:p>
    <w:p w14:paraId="1E208C07" w14:textId="77777777" w:rsidR="00A00259" w:rsidRDefault="00A00259">
      <w:pPr>
        <w:keepNext/>
        <w:tabs>
          <w:tab w:val="num" w:pos="850"/>
        </w:tabs>
        <w:spacing w:before="360" w:after="0" w:line="259" w:lineRule="auto"/>
        <w:jc w:val="both"/>
        <w:outlineLvl w:val="0"/>
        <w:rPr>
          <w:rFonts w:ascii="Times New Roman" w:eastAsia="Times New Roman" w:hAnsi="Times New Roman" w:cs="Times New Roman"/>
          <w:b/>
          <w:smallCaps/>
          <w:noProof/>
          <w:sz w:val="24"/>
        </w:rPr>
      </w:pPr>
    </w:p>
    <w:p w14:paraId="61A0DFF1" w14:textId="77777777" w:rsidR="00A00259" w:rsidRDefault="00371282">
      <w:pPr>
        <w:pStyle w:val="P68B1DB1-Normal6"/>
        <w:keepNext/>
        <w:numPr>
          <w:ilvl w:val="1"/>
          <w:numId w:val="92"/>
        </w:numPr>
        <w:spacing w:before="40" w:after="0" w:line="259" w:lineRule="auto"/>
        <w:ind w:left="0"/>
        <w:jc w:val="both"/>
        <w:outlineLvl w:val="1"/>
        <w:rPr>
          <w:rFonts w:eastAsia="Times New Roman" w:cs="Times New Roman"/>
          <w:noProof/>
        </w:rPr>
      </w:pPr>
      <w:r>
        <w:rPr>
          <w:noProof/>
        </w:rPr>
        <w:t xml:space="preserve">Contribution financière </w:t>
      </w:r>
    </w:p>
    <w:p w14:paraId="73BC0759" w14:textId="77777777" w:rsidR="00A00259" w:rsidRDefault="00371282">
      <w:pPr>
        <w:pStyle w:val="P68B1DB1-Normal5"/>
        <w:keepNext/>
        <w:spacing w:before="40" w:after="0" w:line="259" w:lineRule="auto"/>
        <w:jc w:val="both"/>
        <w:rPr>
          <w:noProof/>
        </w:rPr>
      </w:pPr>
      <w:r>
        <w:rPr>
          <w:noProof/>
        </w:rPr>
        <w:t>Les tranches visées à l'article 2, paragraphe 2, sont organisées de la manière suivante:</w:t>
      </w:r>
    </w:p>
    <w:p w14:paraId="0F72E9A1" w14:textId="77777777" w:rsidR="00A00259" w:rsidRDefault="00A00259">
      <w:pPr>
        <w:keepNext/>
        <w:spacing w:before="40" w:after="0" w:line="259" w:lineRule="auto"/>
        <w:jc w:val="both"/>
        <w:rPr>
          <w:rFonts w:ascii="Times New Roman" w:hAnsi="Times New Roman"/>
          <w:noProof/>
          <w:sz w:val="24"/>
        </w:rPr>
      </w:pPr>
    </w:p>
    <w:p w14:paraId="4679888D" w14:textId="77777777" w:rsidR="00A00259" w:rsidRDefault="00371282">
      <w:pPr>
        <w:pStyle w:val="P68B1DB1-Normal5"/>
        <w:keepNext/>
        <w:numPr>
          <w:ilvl w:val="1"/>
          <w:numId w:val="93"/>
        </w:numPr>
        <w:spacing w:before="40" w:after="160" w:line="259" w:lineRule="auto"/>
        <w:ind w:left="0"/>
        <w:contextualSpacing/>
        <w:jc w:val="both"/>
        <w:rPr>
          <w:rFonts w:eastAsia="Times New Roman" w:cs="Times New Roman"/>
          <w:noProof/>
        </w:rPr>
      </w:pPr>
      <w:r>
        <w:rPr>
          <w:noProof/>
        </w:rPr>
        <w:t>Première demande de paiement (soutien non remboursable):</w:t>
      </w:r>
    </w:p>
    <w:tbl>
      <w:tblPr>
        <w:tblW w:w="9941" w:type="dxa"/>
        <w:jc w:val="center"/>
        <w:tblLook w:val="04A0" w:firstRow="1" w:lastRow="0" w:firstColumn="1" w:lastColumn="0" w:noHBand="0" w:noVBand="1"/>
      </w:tblPr>
      <w:tblGrid>
        <w:gridCol w:w="817"/>
        <w:gridCol w:w="5270"/>
        <w:gridCol w:w="1186"/>
        <w:gridCol w:w="2985"/>
      </w:tblGrid>
      <w:tr w:rsidR="00A00259" w14:paraId="129EB237" w14:textId="77777777">
        <w:trPr>
          <w:trHeight w:val="509"/>
          <w:tblHeader/>
          <w:jc w:val="center"/>
        </w:trPr>
        <w:tc>
          <w:tcPr>
            <w:tcW w:w="8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F785281" w14:textId="77777777" w:rsidR="00A00259" w:rsidRDefault="00371282">
            <w:pPr>
              <w:pStyle w:val="P68B1DB1-Normal15"/>
              <w:keepNext/>
              <w:spacing w:before="40" w:after="0" w:line="259" w:lineRule="auto"/>
              <w:jc w:val="center"/>
              <w:rPr>
                <w:rFonts w:eastAsia="Times New Roman"/>
                <w:bCs/>
                <w:noProof/>
              </w:rPr>
            </w:pPr>
            <w:r>
              <w:rPr>
                <w:noProof/>
              </w:rPr>
              <w:t>Seq. Non.</w:t>
            </w:r>
          </w:p>
        </w:tc>
        <w:tc>
          <w:tcPr>
            <w:tcW w:w="52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01EB12"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Mesure connexe (réforme ou investissement)</w:t>
            </w:r>
          </w:p>
        </w:tc>
        <w:tc>
          <w:tcPr>
            <w:tcW w:w="8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A3BA9A"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Étape/cible</w:t>
            </w:r>
          </w:p>
        </w:tc>
        <w:tc>
          <w:tcPr>
            <w:tcW w:w="29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E3A6E1A"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Nom</w:t>
            </w:r>
          </w:p>
        </w:tc>
      </w:tr>
      <w:tr w:rsidR="00A00259" w14:paraId="4FA8AE6C" w14:textId="77777777">
        <w:trPr>
          <w:trHeight w:val="509"/>
          <w:jc w:val="center"/>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6D27A87E"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5270" w:type="dxa"/>
            <w:vMerge/>
            <w:tcBorders>
              <w:top w:val="single" w:sz="4" w:space="0" w:color="auto"/>
              <w:left w:val="single" w:sz="4" w:space="0" w:color="auto"/>
              <w:bottom w:val="single" w:sz="4" w:space="0" w:color="auto"/>
              <w:right w:val="single" w:sz="4" w:space="0" w:color="auto"/>
            </w:tcBorders>
            <w:vAlign w:val="center"/>
            <w:hideMark/>
          </w:tcPr>
          <w:p w14:paraId="2577D2AD"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869" w:type="dxa"/>
            <w:vMerge/>
            <w:tcBorders>
              <w:top w:val="single" w:sz="4" w:space="0" w:color="auto"/>
              <w:left w:val="single" w:sz="4" w:space="0" w:color="auto"/>
              <w:bottom w:val="single" w:sz="4" w:space="0" w:color="auto"/>
              <w:right w:val="single" w:sz="4" w:space="0" w:color="auto"/>
            </w:tcBorders>
            <w:vAlign w:val="center"/>
            <w:hideMark/>
          </w:tcPr>
          <w:p w14:paraId="00D9F5B7"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2985" w:type="dxa"/>
            <w:vMerge/>
            <w:tcBorders>
              <w:top w:val="single" w:sz="4" w:space="0" w:color="auto"/>
              <w:left w:val="single" w:sz="4" w:space="0" w:color="auto"/>
              <w:bottom w:val="single" w:sz="4" w:space="0" w:color="auto"/>
              <w:right w:val="single" w:sz="4" w:space="0" w:color="auto"/>
            </w:tcBorders>
            <w:vAlign w:val="center"/>
            <w:hideMark/>
          </w:tcPr>
          <w:p w14:paraId="44B4302B"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r>
      <w:tr w:rsidR="00A00259" w14:paraId="270F6722"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15385182" w14:textId="77777777" w:rsidR="00A00259" w:rsidRDefault="00371282">
            <w:pPr>
              <w:pStyle w:val="P68B1DB1-Normal55"/>
              <w:keepNext/>
              <w:spacing w:before="40" w:after="0" w:line="240" w:lineRule="auto"/>
              <w:jc w:val="both"/>
              <w:rPr>
                <w:rFonts w:eastAsia="Times New Roman" w:cs="Times New Roman"/>
                <w:noProof/>
                <w:szCs w:val="18"/>
              </w:rPr>
            </w:pPr>
            <w:r>
              <w:rPr>
                <w:noProof/>
              </w:rPr>
              <w:t>20</w:t>
            </w:r>
          </w:p>
        </w:tc>
        <w:tc>
          <w:tcPr>
            <w:tcW w:w="5270" w:type="dxa"/>
            <w:tcBorders>
              <w:top w:val="single" w:sz="4" w:space="0" w:color="auto"/>
              <w:left w:val="nil"/>
              <w:bottom w:val="single" w:sz="4" w:space="0" w:color="auto"/>
              <w:right w:val="single" w:sz="4" w:space="0" w:color="auto"/>
            </w:tcBorders>
            <w:shd w:val="clear" w:color="000000" w:fill="C6EFCE"/>
            <w:noWrap/>
            <w:vAlign w:val="center"/>
          </w:tcPr>
          <w:p w14:paraId="2C9BADC3" w14:textId="77777777" w:rsidR="00A00259" w:rsidRDefault="00371282">
            <w:pPr>
              <w:pStyle w:val="P68B1DB1-Normal55"/>
              <w:keepNext/>
              <w:spacing w:before="40" w:after="0" w:line="240" w:lineRule="auto"/>
              <w:rPr>
                <w:rFonts w:eastAsia="Times New Roman" w:cs="Times New Roman"/>
                <w:bCs/>
                <w:noProof/>
                <w:szCs w:val="18"/>
              </w:rPr>
            </w:pPr>
            <w:r>
              <w:rPr>
                <w:noProof/>
              </w:rPr>
              <w:t>2 - 1.2. Rénovation - 16872_Rénovation énergétique des bâtiments résidentiels</w:t>
            </w:r>
          </w:p>
        </w:tc>
        <w:tc>
          <w:tcPr>
            <w:tcW w:w="869" w:type="dxa"/>
            <w:tcBorders>
              <w:top w:val="single" w:sz="4" w:space="0" w:color="auto"/>
              <w:left w:val="nil"/>
              <w:bottom w:val="single" w:sz="4" w:space="0" w:color="auto"/>
              <w:right w:val="single" w:sz="4" w:space="0" w:color="auto"/>
            </w:tcBorders>
            <w:shd w:val="clear" w:color="000000" w:fill="C6EFCE"/>
            <w:noWrap/>
            <w:vAlign w:val="center"/>
          </w:tcPr>
          <w:p w14:paraId="6B65DAE5" w14:textId="77777777" w:rsidR="00A00259" w:rsidRDefault="00371282">
            <w:pPr>
              <w:pStyle w:val="P68B1DB1-Normal55"/>
              <w:keepNext/>
              <w:spacing w:before="40" w:after="0" w:line="240" w:lineRule="auto"/>
              <w:rPr>
                <w:rFonts w:eastAsia="Times New Roman" w:cs="Times New Roman"/>
                <w:bCs/>
                <w:noProof/>
                <w:szCs w:val="18"/>
              </w:rPr>
            </w:pPr>
            <w:r>
              <w:rPr>
                <w:noProof/>
              </w:rPr>
              <w:t>Étape</w:t>
            </w:r>
          </w:p>
        </w:tc>
        <w:tc>
          <w:tcPr>
            <w:tcW w:w="2985" w:type="dxa"/>
            <w:tcBorders>
              <w:top w:val="single" w:sz="4" w:space="0" w:color="auto"/>
              <w:left w:val="nil"/>
              <w:bottom w:val="single" w:sz="4" w:space="0" w:color="auto"/>
              <w:right w:val="single" w:sz="4" w:space="0" w:color="auto"/>
            </w:tcBorders>
            <w:shd w:val="clear" w:color="000000" w:fill="C6EFCE"/>
            <w:noWrap/>
            <w:vAlign w:val="center"/>
          </w:tcPr>
          <w:p w14:paraId="3D8B60DA" w14:textId="77777777" w:rsidR="00A00259" w:rsidRDefault="00371282">
            <w:pPr>
              <w:pStyle w:val="P68B1DB1-Normal55"/>
              <w:keepNext/>
              <w:spacing w:before="40" w:after="0" w:line="240" w:lineRule="auto"/>
              <w:rPr>
                <w:rFonts w:eastAsia="Times New Roman" w:cs="Times New Roman"/>
                <w:bCs/>
                <w:noProof/>
                <w:szCs w:val="18"/>
              </w:rPr>
            </w:pPr>
            <w:r>
              <w:rPr>
                <w:noProof/>
              </w:rPr>
              <w:t>Rénovation résidentielle – 1er cycle de lancement</w:t>
            </w:r>
          </w:p>
        </w:tc>
      </w:tr>
      <w:tr w:rsidR="00A00259" w14:paraId="351C6BB8"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hideMark/>
          </w:tcPr>
          <w:p w14:paraId="14F45853" w14:textId="77777777" w:rsidR="00A00259" w:rsidRDefault="00371282">
            <w:pPr>
              <w:pStyle w:val="P68B1DB1-Normal55"/>
              <w:keepNext/>
              <w:spacing w:before="40" w:after="0" w:line="240" w:lineRule="auto"/>
              <w:jc w:val="both"/>
              <w:rPr>
                <w:rFonts w:eastAsia="Times New Roman" w:cs="Times New Roman"/>
                <w:noProof/>
                <w:szCs w:val="18"/>
              </w:rPr>
            </w:pPr>
            <w:r>
              <w:rPr>
                <w:noProof/>
              </w:rPr>
              <w:t>32</w:t>
            </w:r>
          </w:p>
        </w:tc>
        <w:tc>
          <w:tcPr>
            <w:tcW w:w="5270" w:type="dxa"/>
            <w:tcBorders>
              <w:top w:val="nil"/>
              <w:left w:val="nil"/>
              <w:bottom w:val="single" w:sz="4" w:space="0" w:color="auto"/>
              <w:right w:val="single" w:sz="4" w:space="0" w:color="auto"/>
            </w:tcBorders>
            <w:shd w:val="clear" w:color="000000" w:fill="C6EFCE"/>
            <w:noWrap/>
            <w:vAlign w:val="center"/>
          </w:tcPr>
          <w:p w14:paraId="7CED1AE0" w14:textId="77777777" w:rsidR="00A00259" w:rsidRDefault="00371282">
            <w:pPr>
              <w:pStyle w:val="P68B1DB1-Normal55"/>
              <w:keepNext/>
              <w:spacing w:before="40" w:after="0" w:line="240" w:lineRule="auto"/>
              <w:rPr>
                <w:rFonts w:eastAsia="Times New Roman" w:cs="Times New Roman"/>
                <w:bCs/>
                <w:noProof/>
                <w:szCs w:val="18"/>
              </w:rPr>
            </w:pPr>
            <w:r>
              <w:rPr>
                <w:noProof/>
              </w:rPr>
              <w:t>2 - 1.2. Rénover - 16920_Plan d'action contre la pauvreté énergétique</w:t>
            </w:r>
          </w:p>
        </w:tc>
        <w:tc>
          <w:tcPr>
            <w:tcW w:w="869" w:type="dxa"/>
            <w:tcBorders>
              <w:top w:val="nil"/>
              <w:left w:val="nil"/>
              <w:bottom w:val="single" w:sz="4" w:space="0" w:color="auto"/>
              <w:right w:val="single" w:sz="4" w:space="0" w:color="auto"/>
            </w:tcBorders>
            <w:shd w:val="clear" w:color="000000" w:fill="C6EFCE"/>
            <w:noWrap/>
            <w:vAlign w:val="center"/>
          </w:tcPr>
          <w:p w14:paraId="2F2D0274" w14:textId="77777777" w:rsidR="00A00259" w:rsidRDefault="00371282">
            <w:pPr>
              <w:pStyle w:val="P68B1DB1-Normal55"/>
              <w:keepNext/>
              <w:spacing w:before="40" w:after="0" w:line="240" w:lineRule="auto"/>
              <w:rPr>
                <w:rFonts w:eastAsia="Times New Roman" w:cs="Times New Roman"/>
                <w:bCs/>
                <w:noProof/>
                <w:szCs w:val="18"/>
              </w:rPr>
            </w:pPr>
            <w:r>
              <w:rPr>
                <w:noProof/>
              </w:rPr>
              <w:t>Étape</w:t>
            </w:r>
          </w:p>
        </w:tc>
        <w:tc>
          <w:tcPr>
            <w:tcW w:w="2985" w:type="dxa"/>
            <w:tcBorders>
              <w:top w:val="nil"/>
              <w:left w:val="nil"/>
              <w:bottom w:val="single" w:sz="4" w:space="0" w:color="auto"/>
              <w:right w:val="single" w:sz="4" w:space="0" w:color="auto"/>
            </w:tcBorders>
            <w:shd w:val="clear" w:color="000000" w:fill="C6EFCE"/>
            <w:noWrap/>
            <w:vAlign w:val="center"/>
          </w:tcPr>
          <w:p w14:paraId="6CC3F860" w14:textId="77777777" w:rsidR="00A00259" w:rsidRDefault="00371282">
            <w:pPr>
              <w:pStyle w:val="P68B1DB1-Normal55"/>
              <w:keepNext/>
              <w:spacing w:before="40" w:after="0" w:line="240" w:lineRule="auto"/>
              <w:rPr>
                <w:rFonts w:eastAsia="Times New Roman" w:cs="Times New Roman"/>
                <w:bCs/>
                <w:noProof/>
                <w:szCs w:val="18"/>
              </w:rPr>
            </w:pPr>
            <w:r>
              <w:rPr>
                <w:noProof/>
              </w:rPr>
              <w:t>Précarité énergétique – adoption d’un plan d’action</w:t>
            </w:r>
          </w:p>
        </w:tc>
      </w:tr>
      <w:tr w:rsidR="00A00259" w14:paraId="4215914F"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hideMark/>
          </w:tcPr>
          <w:p w14:paraId="1E5D3A9A" w14:textId="77777777" w:rsidR="00A00259" w:rsidRDefault="00371282">
            <w:pPr>
              <w:pStyle w:val="P68B1DB1-Normal55"/>
              <w:keepNext/>
              <w:spacing w:before="40" w:after="0" w:line="240" w:lineRule="auto"/>
              <w:jc w:val="both"/>
              <w:rPr>
                <w:rFonts w:eastAsia="Times New Roman" w:cs="Times New Roman"/>
                <w:noProof/>
                <w:szCs w:val="18"/>
              </w:rPr>
            </w:pPr>
            <w:r>
              <w:rPr>
                <w:noProof/>
              </w:rPr>
              <w:t>42</w:t>
            </w:r>
          </w:p>
        </w:tc>
        <w:tc>
          <w:tcPr>
            <w:tcW w:w="5270" w:type="dxa"/>
            <w:tcBorders>
              <w:top w:val="nil"/>
              <w:left w:val="nil"/>
              <w:bottom w:val="single" w:sz="4" w:space="0" w:color="auto"/>
              <w:right w:val="single" w:sz="4" w:space="0" w:color="auto"/>
            </w:tcBorders>
            <w:shd w:val="clear" w:color="000000" w:fill="C6EFCE"/>
            <w:noWrap/>
            <w:vAlign w:val="center"/>
          </w:tcPr>
          <w:p w14:paraId="799DE7BB" w14:textId="77777777" w:rsidR="00A00259" w:rsidRDefault="00371282">
            <w:pPr>
              <w:pStyle w:val="P68B1DB1-Normal55"/>
              <w:keepNext/>
              <w:spacing w:before="40" w:after="0" w:line="240" w:lineRule="auto"/>
              <w:rPr>
                <w:rFonts w:eastAsia="Times New Roman" w:cs="Times New Roman"/>
                <w:bCs/>
                <w:noProof/>
                <w:szCs w:val="18"/>
              </w:rPr>
            </w:pPr>
            <w:r>
              <w:rPr>
                <w:noProof/>
              </w:rPr>
              <w:t>3 - 1.3. 16281_Cadre pour l'installation et l'exploitation de l'infrastructure de recharge des véhicules électriques</w:t>
            </w:r>
          </w:p>
        </w:tc>
        <w:tc>
          <w:tcPr>
            <w:tcW w:w="869" w:type="dxa"/>
            <w:tcBorders>
              <w:top w:val="nil"/>
              <w:left w:val="nil"/>
              <w:bottom w:val="single" w:sz="4" w:space="0" w:color="auto"/>
              <w:right w:val="single" w:sz="4" w:space="0" w:color="auto"/>
            </w:tcBorders>
            <w:shd w:val="clear" w:color="000000" w:fill="C6EFCE"/>
            <w:noWrap/>
            <w:vAlign w:val="center"/>
          </w:tcPr>
          <w:p w14:paraId="39CFDD35" w14:textId="77777777" w:rsidR="00A00259" w:rsidRDefault="00371282">
            <w:pPr>
              <w:pStyle w:val="P68B1DB1-Normal55"/>
              <w:keepNext/>
              <w:spacing w:before="40" w:after="0" w:line="240" w:lineRule="auto"/>
              <w:rPr>
                <w:rFonts w:eastAsia="Times New Roman" w:cs="Times New Roman"/>
                <w:bCs/>
                <w:noProof/>
                <w:szCs w:val="18"/>
              </w:rPr>
            </w:pPr>
            <w:r>
              <w:rPr>
                <w:noProof/>
              </w:rPr>
              <w:t>Étape</w:t>
            </w:r>
          </w:p>
        </w:tc>
        <w:tc>
          <w:tcPr>
            <w:tcW w:w="2985" w:type="dxa"/>
            <w:tcBorders>
              <w:top w:val="nil"/>
              <w:left w:val="nil"/>
              <w:bottom w:val="single" w:sz="4" w:space="0" w:color="auto"/>
              <w:right w:val="single" w:sz="4" w:space="0" w:color="auto"/>
            </w:tcBorders>
            <w:shd w:val="clear" w:color="000000" w:fill="C6EFCE"/>
            <w:noWrap/>
            <w:vAlign w:val="center"/>
          </w:tcPr>
          <w:p w14:paraId="7665FFDC" w14:textId="77777777" w:rsidR="00A00259" w:rsidRDefault="00371282">
            <w:pPr>
              <w:pStyle w:val="P68B1DB1-Normal55"/>
              <w:keepNext/>
              <w:spacing w:before="40" w:after="0" w:line="240" w:lineRule="auto"/>
              <w:rPr>
                <w:rFonts w:eastAsia="Times New Roman" w:cs="Times New Roman"/>
                <w:bCs/>
                <w:noProof/>
                <w:szCs w:val="18"/>
              </w:rPr>
            </w:pPr>
            <w:r>
              <w:rPr>
                <w:noProof/>
              </w:rPr>
              <w:t>Points de recharge pour véhicules électriques – Entrée en vigueur du cadre juridique</w:t>
            </w:r>
          </w:p>
        </w:tc>
      </w:tr>
      <w:tr w:rsidR="00A00259" w14:paraId="6CB3D4E2"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50745D3D" w14:textId="77777777" w:rsidR="00A00259" w:rsidRDefault="00371282">
            <w:pPr>
              <w:pStyle w:val="P68B1DB1-Normal55"/>
              <w:keepNext/>
              <w:spacing w:before="40" w:after="0" w:line="240" w:lineRule="auto"/>
              <w:jc w:val="both"/>
              <w:rPr>
                <w:rFonts w:eastAsia="Times New Roman" w:cs="Times New Roman"/>
                <w:noProof/>
                <w:szCs w:val="18"/>
              </w:rPr>
            </w:pPr>
            <w:r>
              <w:rPr>
                <w:noProof/>
              </w:rPr>
              <w:t>56</w:t>
            </w:r>
          </w:p>
        </w:tc>
        <w:tc>
          <w:tcPr>
            <w:tcW w:w="5270" w:type="dxa"/>
            <w:tcBorders>
              <w:top w:val="nil"/>
              <w:left w:val="nil"/>
              <w:bottom w:val="single" w:sz="4" w:space="0" w:color="auto"/>
              <w:right w:val="single" w:sz="4" w:space="0" w:color="auto"/>
            </w:tcBorders>
            <w:shd w:val="clear" w:color="000000" w:fill="C6EFCE"/>
            <w:noWrap/>
            <w:vAlign w:val="center"/>
          </w:tcPr>
          <w:p w14:paraId="1B29C953" w14:textId="77777777" w:rsidR="00A00259" w:rsidRDefault="00371282">
            <w:pPr>
              <w:pStyle w:val="P68B1DB1-Normal55"/>
              <w:keepNext/>
              <w:spacing w:before="40" w:after="0" w:line="240" w:lineRule="auto"/>
              <w:rPr>
                <w:rFonts w:eastAsia="Times New Roman" w:cs="Times New Roman"/>
                <w:bCs/>
                <w:noProof/>
                <w:szCs w:val="18"/>
              </w:rPr>
            </w:pPr>
            <w:r>
              <w:rPr>
                <w:noProof/>
              </w:rPr>
              <w:t>4 - 1.4. «Utilisation durable des ressources, résilience au changement climatique et protection de l’environnement» - 16772_Loi sur la gestion des déchets pour la mise en œuvre d’une mise en décharge et d’un recyclage durables</w:t>
            </w:r>
          </w:p>
        </w:tc>
        <w:tc>
          <w:tcPr>
            <w:tcW w:w="869" w:type="dxa"/>
            <w:tcBorders>
              <w:top w:val="nil"/>
              <w:left w:val="nil"/>
              <w:bottom w:val="single" w:sz="4" w:space="0" w:color="auto"/>
              <w:right w:val="single" w:sz="4" w:space="0" w:color="auto"/>
            </w:tcBorders>
            <w:shd w:val="clear" w:color="000000" w:fill="C6EFCE"/>
            <w:noWrap/>
            <w:vAlign w:val="center"/>
          </w:tcPr>
          <w:p w14:paraId="2D1D38AA" w14:textId="77777777" w:rsidR="00A00259" w:rsidRDefault="00371282">
            <w:pPr>
              <w:pStyle w:val="P68B1DB1-Normal55"/>
              <w:keepNext/>
              <w:spacing w:before="40" w:after="0" w:line="240" w:lineRule="auto"/>
              <w:rPr>
                <w:rFonts w:eastAsia="Times New Roman" w:cs="Times New Roman"/>
                <w:bCs/>
                <w:noProof/>
                <w:szCs w:val="18"/>
              </w:rPr>
            </w:pPr>
            <w:r>
              <w:rPr>
                <w:noProof/>
              </w:rPr>
              <w:t>Étape</w:t>
            </w:r>
          </w:p>
        </w:tc>
        <w:tc>
          <w:tcPr>
            <w:tcW w:w="2985" w:type="dxa"/>
            <w:tcBorders>
              <w:top w:val="nil"/>
              <w:left w:val="nil"/>
              <w:bottom w:val="single" w:sz="4" w:space="0" w:color="auto"/>
              <w:right w:val="single" w:sz="4" w:space="0" w:color="auto"/>
            </w:tcBorders>
            <w:shd w:val="clear" w:color="000000" w:fill="C6EFCE"/>
            <w:noWrap/>
            <w:vAlign w:val="center"/>
          </w:tcPr>
          <w:p w14:paraId="55139E7C" w14:textId="77777777" w:rsidR="00A00259" w:rsidRDefault="00371282">
            <w:pPr>
              <w:pStyle w:val="P68B1DB1-Normal55"/>
              <w:keepNext/>
              <w:spacing w:before="40" w:after="0" w:line="240" w:lineRule="auto"/>
              <w:rPr>
                <w:rFonts w:eastAsia="Times New Roman" w:cs="Times New Roman"/>
                <w:bCs/>
                <w:noProof/>
                <w:szCs w:val="18"/>
              </w:rPr>
            </w:pPr>
            <w:r>
              <w:rPr>
                <w:noProof/>
              </w:rPr>
              <w:t>Entrée en vigueur de la loi sur la gestion des déchets</w:t>
            </w:r>
          </w:p>
        </w:tc>
      </w:tr>
      <w:tr w:rsidR="00A00259" w14:paraId="6C115F8F"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49FADA23" w14:textId="77777777" w:rsidR="00A00259" w:rsidRDefault="00371282">
            <w:pPr>
              <w:pStyle w:val="P68B1DB1-Normal55"/>
              <w:keepNext/>
              <w:spacing w:before="40" w:after="0" w:line="240" w:lineRule="auto"/>
              <w:jc w:val="both"/>
              <w:rPr>
                <w:rFonts w:eastAsia="Times New Roman" w:cs="Times New Roman"/>
                <w:noProof/>
                <w:szCs w:val="18"/>
              </w:rPr>
            </w:pPr>
            <w:r>
              <w:rPr>
                <w:noProof/>
              </w:rPr>
              <w:t>77</w:t>
            </w:r>
          </w:p>
        </w:tc>
        <w:tc>
          <w:tcPr>
            <w:tcW w:w="5270" w:type="dxa"/>
            <w:tcBorders>
              <w:top w:val="nil"/>
              <w:left w:val="nil"/>
              <w:bottom w:val="single" w:sz="4" w:space="0" w:color="auto"/>
              <w:right w:val="single" w:sz="4" w:space="0" w:color="auto"/>
            </w:tcBorders>
            <w:shd w:val="clear" w:color="000000" w:fill="C6EFCE"/>
            <w:noWrap/>
            <w:vAlign w:val="center"/>
          </w:tcPr>
          <w:p w14:paraId="378F4A41" w14:textId="77777777" w:rsidR="00A00259" w:rsidRDefault="00371282">
            <w:pPr>
              <w:pStyle w:val="P68B1DB1-Normal55"/>
              <w:keepNext/>
              <w:spacing w:before="40" w:after="0" w:line="240" w:lineRule="auto"/>
              <w:rPr>
                <w:rFonts w:eastAsia="Times New Roman" w:cs="Times New Roman"/>
                <w:bCs/>
                <w:noProof/>
                <w:szCs w:val="18"/>
              </w:rPr>
            </w:pPr>
            <w:r>
              <w:rPr>
                <w:noProof/>
              </w:rPr>
              <w:t>4 - 1.4. 16283_Mise en œuvre de centres régionaux de protection civile (PEKEPP) par le biais de partenariats public-privé</w:t>
            </w:r>
          </w:p>
        </w:tc>
        <w:tc>
          <w:tcPr>
            <w:tcW w:w="869" w:type="dxa"/>
            <w:tcBorders>
              <w:top w:val="nil"/>
              <w:left w:val="nil"/>
              <w:bottom w:val="single" w:sz="4" w:space="0" w:color="auto"/>
              <w:right w:val="single" w:sz="4" w:space="0" w:color="auto"/>
            </w:tcBorders>
            <w:shd w:val="clear" w:color="000000" w:fill="C6EFCE"/>
            <w:noWrap/>
            <w:vAlign w:val="center"/>
          </w:tcPr>
          <w:p w14:paraId="0F207BC7" w14:textId="77777777" w:rsidR="00A00259" w:rsidRDefault="00371282">
            <w:pPr>
              <w:pStyle w:val="P68B1DB1-Normal55"/>
              <w:keepNext/>
              <w:spacing w:before="40" w:after="0" w:line="240" w:lineRule="auto"/>
              <w:rPr>
                <w:rFonts w:eastAsia="Times New Roman" w:cs="Times New Roman"/>
                <w:bCs/>
                <w:noProof/>
                <w:szCs w:val="18"/>
              </w:rPr>
            </w:pPr>
            <w:r>
              <w:rPr>
                <w:noProof/>
              </w:rPr>
              <w:t>Étape</w:t>
            </w:r>
          </w:p>
        </w:tc>
        <w:tc>
          <w:tcPr>
            <w:tcW w:w="2985" w:type="dxa"/>
            <w:tcBorders>
              <w:top w:val="nil"/>
              <w:left w:val="nil"/>
              <w:bottom w:val="single" w:sz="4" w:space="0" w:color="auto"/>
              <w:right w:val="single" w:sz="4" w:space="0" w:color="auto"/>
            </w:tcBorders>
            <w:shd w:val="clear" w:color="000000" w:fill="C6EFCE"/>
            <w:noWrap/>
            <w:vAlign w:val="center"/>
          </w:tcPr>
          <w:p w14:paraId="6C3944CD" w14:textId="77777777" w:rsidR="00A00259" w:rsidRDefault="00371282">
            <w:pPr>
              <w:pStyle w:val="P68B1DB1-Normal55"/>
              <w:keepNext/>
              <w:spacing w:before="40" w:after="0" w:line="240" w:lineRule="auto"/>
              <w:rPr>
                <w:rFonts w:eastAsia="Times New Roman" w:cs="Times New Roman"/>
                <w:bCs/>
                <w:noProof/>
                <w:szCs w:val="18"/>
              </w:rPr>
            </w:pPr>
            <w:r>
              <w:rPr>
                <w:noProof/>
              </w:rPr>
              <w:t>Appel d'offres pour 13 centres régionaux</w:t>
            </w:r>
          </w:p>
        </w:tc>
      </w:tr>
      <w:tr w:rsidR="00A00259" w14:paraId="738D9AC7"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718BF126" w14:textId="77777777" w:rsidR="00A00259" w:rsidRDefault="00371282">
            <w:pPr>
              <w:pStyle w:val="P68B1DB1-Normal55"/>
              <w:keepNext/>
              <w:spacing w:before="40" w:after="0" w:line="240" w:lineRule="auto"/>
              <w:jc w:val="both"/>
              <w:rPr>
                <w:rFonts w:eastAsia="Times New Roman" w:cs="Times New Roman"/>
                <w:noProof/>
                <w:szCs w:val="18"/>
              </w:rPr>
            </w:pPr>
            <w:r>
              <w:rPr>
                <w:noProof/>
              </w:rPr>
              <w:t>133</w:t>
            </w:r>
          </w:p>
        </w:tc>
        <w:tc>
          <w:tcPr>
            <w:tcW w:w="5270" w:type="dxa"/>
            <w:tcBorders>
              <w:top w:val="nil"/>
              <w:left w:val="nil"/>
              <w:bottom w:val="single" w:sz="4" w:space="0" w:color="auto"/>
              <w:right w:val="single" w:sz="4" w:space="0" w:color="auto"/>
            </w:tcBorders>
            <w:shd w:val="clear" w:color="000000" w:fill="C6EFCE"/>
            <w:noWrap/>
            <w:vAlign w:val="center"/>
          </w:tcPr>
          <w:p w14:paraId="20AF36EB" w14:textId="77777777" w:rsidR="00A00259" w:rsidRDefault="00371282">
            <w:pPr>
              <w:pStyle w:val="P68B1DB1-Normal55"/>
              <w:keepNext/>
              <w:spacing w:before="40" w:after="0" w:line="240" w:lineRule="auto"/>
              <w:rPr>
                <w:rFonts w:eastAsia="Times New Roman" w:cs="Times New Roman"/>
                <w:bCs/>
                <w:noProof/>
                <w:szCs w:val="18"/>
              </w:rPr>
            </w:pPr>
            <w:r>
              <w:rPr>
                <w:noProof/>
              </w:rPr>
              <w:t>8 - 3.1. Promouvoir la création d'emplois et la participation au marché du travail - 16744_Modernisation et simplification du droit du travail</w:t>
            </w:r>
          </w:p>
        </w:tc>
        <w:tc>
          <w:tcPr>
            <w:tcW w:w="869" w:type="dxa"/>
            <w:tcBorders>
              <w:top w:val="nil"/>
              <w:left w:val="nil"/>
              <w:bottom w:val="single" w:sz="4" w:space="0" w:color="auto"/>
              <w:right w:val="single" w:sz="4" w:space="0" w:color="auto"/>
            </w:tcBorders>
            <w:shd w:val="clear" w:color="000000" w:fill="C6EFCE"/>
            <w:noWrap/>
            <w:vAlign w:val="center"/>
          </w:tcPr>
          <w:p w14:paraId="7CDA8F70" w14:textId="77777777" w:rsidR="00A00259" w:rsidRDefault="00371282">
            <w:pPr>
              <w:pStyle w:val="P68B1DB1-Normal55"/>
              <w:keepNext/>
              <w:spacing w:before="40" w:after="0" w:line="240" w:lineRule="auto"/>
              <w:rPr>
                <w:rFonts w:eastAsia="Times New Roman" w:cs="Times New Roman"/>
                <w:bCs/>
                <w:noProof/>
                <w:szCs w:val="18"/>
              </w:rPr>
            </w:pPr>
            <w:r>
              <w:rPr>
                <w:noProof/>
              </w:rPr>
              <w:t>Étape</w:t>
            </w:r>
          </w:p>
        </w:tc>
        <w:tc>
          <w:tcPr>
            <w:tcW w:w="2985" w:type="dxa"/>
            <w:tcBorders>
              <w:top w:val="nil"/>
              <w:left w:val="nil"/>
              <w:bottom w:val="single" w:sz="4" w:space="0" w:color="auto"/>
              <w:right w:val="single" w:sz="4" w:space="0" w:color="auto"/>
            </w:tcBorders>
            <w:shd w:val="clear" w:color="000000" w:fill="C6EFCE"/>
            <w:noWrap/>
            <w:vAlign w:val="center"/>
          </w:tcPr>
          <w:p w14:paraId="67BDB31F" w14:textId="77777777" w:rsidR="00A00259" w:rsidRDefault="00371282">
            <w:pPr>
              <w:pStyle w:val="P68B1DB1-Normal55"/>
              <w:keepNext/>
              <w:spacing w:before="40" w:after="0" w:line="240" w:lineRule="auto"/>
              <w:rPr>
                <w:rFonts w:eastAsia="Times New Roman" w:cs="Times New Roman"/>
                <w:bCs/>
                <w:noProof/>
                <w:szCs w:val="18"/>
              </w:rPr>
            </w:pPr>
            <w:r>
              <w:rPr>
                <w:noProof/>
              </w:rPr>
              <w:t>Entrée en vigueur Droit du travail</w:t>
            </w:r>
          </w:p>
        </w:tc>
      </w:tr>
      <w:tr w:rsidR="00A00259" w14:paraId="1A66B57A"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1A77C16D" w14:textId="77777777" w:rsidR="00A00259" w:rsidRDefault="00371282">
            <w:pPr>
              <w:pStyle w:val="P68B1DB1-Normal55"/>
              <w:keepNext/>
              <w:spacing w:before="40" w:after="0" w:line="240" w:lineRule="auto"/>
              <w:jc w:val="both"/>
              <w:rPr>
                <w:rFonts w:eastAsia="Times New Roman" w:cs="Times New Roman"/>
                <w:noProof/>
                <w:szCs w:val="18"/>
              </w:rPr>
            </w:pPr>
            <w:r>
              <w:rPr>
                <w:noProof/>
              </w:rPr>
              <w:t>141</w:t>
            </w:r>
          </w:p>
        </w:tc>
        <w:tc>
          <w:tcPr>
            <w:tcW w:w="5270" w:type="dxa"/>
            <w:tcBorders>
              <w:top w:val="nil"/>
              <w:left w:val="nil"/>
              <w:bottom w:val="single" w:sz="4" w:space="0" w:color="auto"/>
              <w:right w:val="single" w:sz="4" w:space="0" w:color="auto"/>
            </w:tcBorders>
            <w:shd w:val="clear" w:color="000000" w:fill="C6EFCE"/>
            <w:noWrap/>
            <w:vAlign w:val="center"/>
          </w:tcPr>
          <w:p w14:paraId="7F443342" w14:textId="77777777" w:rsidR="00A00259" w:rsidRDefault="00371282">
            <w:pPr>
              <w:pStyle w:val="P68B1DB1-Normal55"/>
              <w:keepNext/>
              <w:spacing w:before="40" w:after="0" w:line="240" w:lineRule="auto"/>
              <w:rPr>
                <w:rFonts w:eastAsia="Times New Roman" w:cs="Times New Roman"/>
                <w:bCs/>
                <w:noProof/>
                <w:szCs w:val="18"/>
              </w:rPr>
            </w:pPr>
            <w:r>
              <w:rPr>
                <w:noProof/>
              </w:rPr>
              <w:t>8 - 3.1. Promouvoir la création d'emplois et la participation au marché du travail - 16941_Restructuration et rebranding des SPE locaux DYPA (KPA2)</w:t>
            </w:r>
          </w:p>
        </w:tc>
        <w:tc>
          <w:tcPr>
            <w:tcW w:w="869" w:type="dxa"/>
            <w:tcBorders>
              <w:top w:val="nil"/>
              <w:left w:val="nil"/>
              <w:bottom w:val="single" w:sz="4" w:space="0" w:color="auto"/>
              <w:right w:val="single" w:sz="4" w:space="0" w:color="auto"/>
            </w:tcBorders>
            <w:shd w:val="clear" w:color="000000" w:fill="C6EFCE"/>
            <w:noWrap/>
            <w:vAlign w:val="center"/>
          </w:tcPr>
          <w:p w14:paraId="766F61CF" w14:textId="77777777" w:rsidR="00A00259" w:rsidRDefault="00371282">
            <w:pPr>
              <w:pStyle w:val="P68B1DB1-Normal55"/>
              <w:keepNext/>
              <w:spacing w:before="40" w:after="0" w:line="240" w:lineRule="auto"/>
              <w:rPr>
                <w:rFonts w:eastAsia="Times New Roman" w:cs="Times New Roman"/>
                <w:bCs/>
                <w:noProof/>
                <w:szCs w:val="18"/>
              </w:rPr>
            </w:pPr>
            <w:r>
              <w:rPr>
                <w:noProof/>
              </w:rPr>
              <w:t>Étape</w:t>
            </w:r>
          </w:p>
        </w:tc>
        <w:tc>
          <w:tcPr>
            <w:tcW w:w="2985" w:type="dxa"/>
            <w:tcBorders>
              <w:top w:val="nil"/>
              <w:left w:val="nil"/>
              <w:bottom w:val="single" w:sz="4" w:space="0" w:color="auto"/>
              <w:right w:val="single" w:sz="4" w:space="0" w:color="auto"/>
            </w:tcBorders>
            <w:shd w:val="clear" w:color="000000" w:fill="C6EFCE"/>
            <w:noWrap/>
            <w:vAlign w:val="center"/>
          </w:tcPr>
          <w:p w14:paraId="2A0845B3" w14:textId="77777777" w:rsidR="00A00259" w:rsidRDefault="00371282">
            <w:pPr>
              <w:pStyle w:val="P68B1DB1-Normal55"/>
              <w:keepNext/>
              <w:spacing w:before="40" w:after="0" w:line="240" w:lineRule="auto"/>
              <w:rPr>
                <w:rFonts w:eastAsia="Times New Roman" w:cs="Times New Roman"/>
                <w:bCs/>
                <w:noProof/>
                <w:szCs w:val="18"/>
              </w:rPr>
            </w:pPr>
            <w:r>
              <w:rPr>
                <w:noProof/>
              </w:rPr>
              <w:t xml:space="preserve">DYPA Réforme organisationnelle Entrée en vigueur de la législation </w:t>
            </w:r>
          </w:p>
        </w:tc>
      </w:tr>
      <w:tr w:rsidR="00A00259" w14:paraId="6E55E7E5"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714CCDCD" w14:textId="77777777" w:rsidR="00A00259" w:rsidRDefault="00371282">
            <w:pPr>
              <w:pStyle w:val="P68B1DB1-Normal55"/>
              <w:keepNext/>
              <w:spacing w:before="40" w:after="0" w:line="240" w:lineRule="auto"/>
              <w:jc w:val="both"/>
              <w:rPr>
                <w:rFonts w:eastAsia="Times New Roman" w:cs="Times New Roman"/>
                <w:noProof/>
                <w:szCs w:val="18"/>
              </w:rPr>
            </w:pPr>
            <w:r>
              <w:rPr>
                <w:noProof/>
              </w:rPr>
              <w:t>153</w:t>
            </w:r>
          </w:p>
        </w:tc>
        <w:tc>
          <w:tcPr>
            <w:tcW w:w="5270" w:type="dxa"/>
            <w:tcBorders>
              <w:top w:val="nil"/>
              <w:left w:val="nil"/>
              <w:bottom w:val="single" w:sz="4" w:space="0" w:color="auto"/>
              <w:right w:val="single" w:sz="4" w:space="0" w:color="auto"/>
            </w:tcBorders>
            <w:shd w:val="clear" w:color="000000" w:fill="C6EFCE"/>
            <w:noWrap/>
            <w:vAlign w:val="center"/>
          </w:tcPr>
          <w:p w14:paraId="2A80326D" w14:textId="77777777" w:rsidR="00A00259" w:rsidRDefault="00371282">
            <w:pPr>
              <w:pStyle w:val="P68B1DB1-Normal55"/>
              <w:keepNext/>
              <w:spacing w:before="40" w:after="0" w:line="240" w:lineRule="auto"/>
              <w:rPr>
                <w:rFonts w:eastAsia="Times New Roman" w:cs="Times New Roman"/>
                <w:bCs/>
                <w:noProof/>
                <w:szCs w:val="18"/>
              </w:rPr>
            </w:pPr>
            <w:r>
              <w:rPr>
                <w:noProof/>
              </w:rPr>
              <w:t>10 - 3.3. Améliorer la résilience, l'accessibilité et la durabilité des soins de santé - 16816_Clawback Réduction et rationalisation des dépenses de santé</w:t>
            </w:r>
          </w:p>
        </w:tc>
        <w:tc>
          <w:tcPr>
            <w:tcW w:w="869" w:type="dxa"/>
            <w:tcBorders>
              <w:top w:val="nil"/>
              <w:left w:val="nil"/>
              <w:bottom w:val="single" w:sz="4" w:space="0" w:color="auto"/>
              <w:right w:val="single" w:sz="4" w:space="0" w:color="auto"/>
            </w:tcBorders>
            <w:shd w:val="clear" w:color="000000" w:fill="C6EFCE"/>
            <w:noWrap/>
            <w:vAlign w:val="center"/>
          </w:tcPr>
          <w:p w14:paraId="131B4A4E" w14:textId="77777777" w:rsidR="00A00259" w:rsidRDefault="00371282">
            <w:pPr>
              <w:pStyle w:val="P68B1DB1-Normal55"/>
              <w:keepNext/>
              <w:spacing w:before="40" w:after="0" w:line="240" w:lineRule="auto"/>
              <w:rPr>
                <w:rFonts w:eastAsia="Times New Roman" w:cs="Times New Roman"/>
                <w:bCs/>
                <w:noProof/>
                <w:szCs w:val="18"/>
              </w:rPr>
            </w:pPr>
            <w:r>
              <w:rPr>
                <w:noProof/>
              </w:rPr>
              <w:t>Étape</w:t>
            </w:r>
          </w:p>
        </w:tc>
        <w:tc>
          <w:tcPr>
            <w:tcW w:w="2985" w:type="dxa"/>
            <w:tcBorders>
              <w:top w:val="nil"/>
              <w:left w:val="nil"/>
              <w:bottom w:val="single" w:sz="4" w:space="0" w:color="auto"/>
              <w:right w:val="single" w:sz="4" w:space="0" w:color="auto"/>
            </w:tcBorders>
            <w:shd w:val="clear" w:color="000000" w:fill="C6EFCE"/>
            <w:noWrap/>
            <w:vAlign w:val="center"/>
          </w:tcPr>
          <w:p w14:paraId="18FE497C" w14:textId="77777777" w:rsidR="00A00259" w:rsidRDefault="00371282">
            <w:pPr>
              <w:pStyle w:val="P68B1DB1-Normal55"/>
              <w:keepNext/>
              <w:spacing w:before="40" w:after="0" w:line="240" w:lineRule="auto"/>
              <w:rPr>
                <w:rFonts w:eastAsia="Times New Roman" w:cs="Times New Roman"/>
                <w:bCs/>
                <w:noProof/>
                <w:szCs w:val="18"/>
              </w:rPr>
            </w:pPr>
            <w:r>
              <w:rPr>
                <w:noProof/>
              </w:rPr>
              <w:t>Récupération – entrée en vigueur de la législation</w:t>
            </w:r>
          </w:p>
        </w:tc>
      </w:tr>
      <w:tr w:rsidR="00A00259" w14:paraId="3E48AB6C"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70AE31D4" w14:textId="77777777" w:rsidR="00A00259" w:rsidRDefault="00371282">
            <w:pPr>
              <w:pStyle w:val="P68B1DB1-Normal55"/>
              <w:keepNext/>
              <w:spacing w:before="40" w:after="0" w:line="240" w:lineRule="auto"/>
              <w:jc w:val="both"/>
              <w:rPr>
                <w:rFonts w:eastAsia="Times New Roman" w:cs="Times New Roman"/>
                <w:noProof/>
                <w:szCs w:val="18"/>
              </w:rPr>
            </w:pPr>
            <w:r>
              <w:rPr>
                <w:noProof/>
              </w:rPr>
              <w:t>199</w:t>
            </w:r>
          </w:p>
        </w:tc>
        <w:tc>
          <w:tcPr>
            <w:tcW w:w="5270" w:type="dxa"/>
            <w:tcBorders>
              <w:top w:val="nil"/>
              <w:left w:val="nil"/>
              <w:bottom w:val="single" w:sz="4" w:space="0" w:color="auto"/>
              <w:right w:val="single" w:sz="4" w:space="0" w:color="auto"/>
            </w:tcBorders>
            <w:shd w:val="clear" w:color="000000" w:fill="C6EFCE"/>
            <w:noWrap/>
            <w:vAlign w:val="center"/>
          </w:tcPr>
          <w:p w14:paraId="65BA72BF" w14:textId="77777777" w:rsidR="00A00259" w:rsidRDefault="00371282">
            <w:pPr>
              <w:pStyle w:val="P68B1DB1-Normal55"/>
              <w:keepNext/>
              <w:spacing w:before="40" w:after="0" w:line="240" w:lineRule="auto"/>
              <w:rPr>
                <w:rFonts w:eastAsia="Times New Roman" w:cs="Times New Roman"/>
                <w:bCs/>
                <w:noProof/>
                <w:szCs w:val="18"/>
              </w:rPr>
            </w:pPr>
            <w:r>
              <w:rPr>
                <w:noProof/>
              </w:rPr>
              <w:t>12 - 4.1. Rendre les impôts plus propices à la croissance et améliorer l'administration fiscale et la perception des impôts - 16643_Codification et simplification de la législation fiscale</w:t>
            </w:r>
          </w:p>
        </w:tc>
        <w:tc>
          <w:tcPr>
            <w:tcW w:w="869" w:type="dxa"/>
            <w:tcBorders>
              <w:top w:val="nil"/>
              <w:left w:val="nil"/>
              <w:bottom w:val="single" w:sz="4" w:space="0" w:color="auto"/>
              <w:right w:val="single" w:sz="4" w:space="0" w:color="auto"/>
            </w:tcBorders>
            <w:shd w:val="clear" w:color="000000" w:fill="C6EFCE"/>
            <w:noWrap/>
            <w:vAlign w:val="center"/>
          </w:tcPr>
          <w:p w14:paraId="3CD0F668" w14:textId="77777777" w:rsidR="00A00259" w:rsidRDefault="00371282">
            <w:pPr>
              <w:pStyle w:val="P68B1DB1-Normal55"/>
              <w:keepNext/>
              <w:spacing w:before="40" w:after="0" w:line="240" w:lineRule="auto"/>
              <w:rPr>
                <w:rFonts w:eastAsia="Times New Roman" w:cs="Times New Roman"/>
                <w:bCs/>
                <w:noProof/>
                <w:szCs w:val="18"/>
              </w:rPr>
            </w:pPr>
            <w:r>
              <w:rPr>
                <w:noProof/>
              </w:rPr>
              <w:t>Étape</w:t>
            </w:r>
          </w:p>
        </w:tc>
        <w:tc>
          <w:tcPr>
            <w:tcW w:w="2985" w:type="dxa"/>
            <w:tcBorders>
              <w:top w:val="nil"/>
              <w:left w:val="nil"/>
              <w:bottom w:val="single" w:sz="4" w:space="0" w:color="auto"/>
              <w:right w:val="single" w:sz="4" w:space="0" w:color="auto"/>
            </w:tcBorders>
            <w:shd w:val="clear" w:color="000000" w:fill="C6EFCE"/>
            <w:noWrap/>
            <w:vAlign w:val="center"/>
          </w:tcPr>
          <w:p w14:paraId="3789D8A3" w14:textId="77777777" w:rsidR="00A00259" w:rsidRDefault="00371282">
            <w:pPr>
              <w:pStyle w:val="P68B1DB1-Normal55"/>
              <w:keepNext/>
              <w:spacing w:before="40" w:after="0" w:line="240" w:lineRule="auto"/>
              <w:rPr>
                <w:rFonts w:eastAsia="Times New Roman" w:cs="Times New Roman"/>
                <w:bCs/>
                <w:noProof/>
                <w:szCs w:val="18"/>
              </w:rPr>
            </w:pPr>
            <w:r>
              <w:rPr>
                <w:noProof/>
              </w:rPr>
              <w:t>Calendrier pour la codification fiscale</w:t>
            </w:r>
          </w:p>
        </w:tc>
      </w:tr>
      <w:tr w:rsidR="00A00259" w14:paraId="43DEA37A"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04E52FA5" w14:textId="77777777" w:rsidR="00A00259" w:rsidRDefault="00371282">
            <w:pPr>
              <w:pStyle w:val="P68B1DB1-Normal55"/>
              <w:keepNext/>
              <w:spacing w:before="40" w:after="0" w:line="240" w:lineRule="auto"/>
              <w:jc w:val="both"/>
              <w:rPr>
                <w:rFonts w:eastAsia="Times New Roman" w:cs="Times New Roman"/>
                <w:noProof/>
                <w:szCs w:val="18"/>
              </w:rPr>
            </w:pPr>
            <w:r>
              <w:rPr>
                <w:noProof/>
              </w:rPr>
              <w:t>200</w:t>
            </w:r>
          </w:p>
        </w:tc>
        <w:tc>
          <w:tcPr>
            <w:tcW w:w="5270" w:type="dxa"/>
            <w:tcBorders>
              <w:top w:val="nil"/>
              <w:left w:val="nil"/>
              <w:bottom w:val="single" w:sz="4" w:space="0" w:color="auto"/>
              <w:right w:val="single" w:sz="4" w:space="0" w:color="auto"/>
            </w:tcBorders>
            <w:shd w:val="clear" w:color="000000" w:fill="C6EFCE"/>
            <w:noWrap/>
            <w:vAlign w:val="center"/>
          </w:tcPr>
          <w:p w14:paraId="67618583" w14:textId="77777777" w:rsidR="00A00259" w:rsidRDefault="00371282">
            <w:pPr>
              <w:pStyle w:val="P68B1DB1-Normal55"/>
              <w:keepNext/>
              <w:spacing w:before="40" w:after="0" w:line="240" w:lineRule="auto"/>
              <w:rPr>
                <w:rFonts w:eastAsia="Times New Roman" w:cs="Times New Roman"/>
                <w:bCs/>
                <w:noProof/>
                <w:szCs w:val="18"/>
              </w:rPr>
            </w:pPr>
            <w:r>
              <w:rPr>
                <w:noProof/>
              </w:rPr>
              <w:t>18 - 4.7. Améliorer la compétitivité et promouvoir les investissements privés et le commerce - 16598_Régime d'incitation à la productivité et à l'extraversion des entreprises (augmentation de la taille des entreprises)</w:t>
            </w:r>
          </w:p>
        </w:tc>
        <w:tc>
          <w:tcPr>
            <w:tcW w:w="869" w:type="dxa"/>
            <w:tcBorders>
              <w:top w:val="nil"/>
              <w:left w:val="nil"/>
              <w:bottom w:val="single" w:sz="4" w:space="0" w:color="auto"/>
              <w:right w:val="single" w:sz="4" w:space="0" w:color="auto"/>
            </w:tcBorders>
            <w:shd w:val="clear" w:color="000000" w:fill="C6EFCE"/>
            <w:noWrap/>
            <w:vAlign w:val="center"/>
          </w:tcPr>
          <w:p w14:paraId="234BD1C0" w14:textId="77777777" w:rsidR="00A00259" w:rsidRDefault="00371282">
            <w:pPr>
              <w:pStyle w:val="P68B1DB1-Normal55"/>
              <w:keepNext/>
              <w:spacing w:before="40" w:after="0" w:line="240" w:lineRule="auto"/>
              <w:rPr>
                <w:rFonts w:eastAsia="Times New Roman" w:cs="Times New Roman"/>
                <w:bCs/>
                <w:noProof/>
                <w:szCs w:val="18"/>
              </w:rPr>
            </w:pPr>
            <w:r>
              <w:rPr>
                <w:noProof/>
              </w:rPr>
              <w:t>Étape</w:t>
            </w:r>
          </w:p>
        </w:tc>
        <w:tc>
          <w:tcPr>
            <w:tcW w:w="2985" w:type="dxa"/>
            <w:tcBorders>
              <w:top w:val="nil"/>
              <w:left w:val="nil"/>
              <w:bottom w:val="single" w:sz="4" w:space="0" w:color="auto"/>
              <w:right w:val="single" w:sz="4" w:space="0" w:color="auto"/>
            </w:tcBorders>
            <w:shd w:val="clear" w:color="000000" w:fill="C6EFCE"/>
            <w:noWrap/>
            <w:vAlign w:val="center"/>
          </w:tcPr>
          <w:p w14:paraId="2EBA8074" w14:textId="77777777" w:rsidR="00A00259" w:rsidRDefault="00371282">
            <w:pPr>
              <w:pStyle w:val="P68B1DB1-Normal55"/>
              <w:keepNext/>
              <w:spacing w:before="40" w:after="0" w:line="240" w:lineRule="auto"/>
              <w:rPr>
                <w:rFonts w:eastAsia="Times New Roman" w:cs="Times New Roman"/>
                <w:bCs/>
                <w:noProof/>
                <w:szCs w:val="18"/>
              </w:rPr>
            </w:pPr>
            <w:r>
              <w:rPr>
                <w:noProof/>
              </w:rPr>
              <w:t>Projet de loi visant à encourager l'extraversion des entreprises</w:t>
            </w:r>
          </w:p>
        </w:tc>
      </w:tr>
      <w:tr w:rsidR="00A00259" w14:paraId="4996D9F8"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4F326825" w14:textId="77777777" w:rsidR="00A00259" w:rsidRDefault="00371282">
            <w:pPr>
              <w:pStyle w:val="P68B1DB1-Normal55"/>
              <w:keepNext/>
              <w:spacing w:before="40" w:after="0" w:line="240" w:lineRule="auto"/>
              <w:jc w:val="both"/>
              <w:rPr>
                <w:rFonts w:eastAsia="Times New Roman" w:cs="Times New Roman"/>
                <w:noProof/>
                <w:szCs w:val="18"/>
              </w:rPr>
            </w:pPr>
            <w:r>
              <w:rPr>
                <w:noProof/>
              </w:rPr>
              <w:t>222</w:t>
            </w:r>
          </w:p>
        </w:tc>
        <w:tc>
          <w:tcPr>
            <w:tcW w:w="5270" w:type="dxa"/>
            <w:tcBorders>
              <w:top w:val="nil"/>
              <w:left w:val="nil"/>
              <w:bottom w:val="single" w:sz="4" w:space="0" w:color="auto"/>
              <w:right w:val="single" w:sz="4" w:space="0" w:color="auto"/>
            </w:tcBorders>
            <w:shd w:val="clear" w:color="000000" w:fill="C6EFCE"/>
            <w:noWrap/>
            <w:vAlign w:val="center"/>
          </w:tcPr>
          <w:p w14:paraId="5BD231B3" w14:textId="77777777" w:rsidR="00A00259" w:rsidRDefault="00371282">
            <w:pPr>
              <w:pStyle w:val="P68B1DB1-Normal55"/>
              <w:keepNext/>
              <w:spacing w:before="40" w:after="0" w:line="240" w:lineRule="auto"/>
              <w:rPr>
                <w:rFonts w:eastAsia="Times New Roman" w:cs="Times New Roman"/>
                <w:bCs/>
                <w:noProof/>
                <w:szCs w:val="18"/>
              </w:rPr>
            </w:pPr>
            <w:r>
              <w:rPr>
                <w:noProof/>
              </w:rPr>
              <w:t>14 - 4.3. Améliorer l'efficacité du système judiciaire - 16292_Nouveaux bâtiments judiciaires</w:t>
            </w:r>
          </w:p>
        </w:tc>
        <w:tc>
          <w:tcPr>
            <w:tcW w:w="869" w:type="dxa"/>
            <w:tcBorders>
              <w:top w:val="nil"/>
              <w:left w:val="nil"/>
              <w:bottom w:val="single" w:sz="4" w:space="0" w:color="auto"/>
              <w:right w:val="single" w:sz="4" w:space="0" w:color="auto"/>
            </w:tcBorders>
            <w:shd w:val="clear" w:color="000000" w:fill="C6EFCE"/>
            <w:noWrap/>
            <w:vAlign w:val="center"/>
          </w:tcPr>
          <w:p w14:paraId="29C98D33" w14:textId="77777777" w:rsidR="00A00259" w:rsidRDefault="00371282">
            <w:pPr>
              <w:pStyle w:val="P68B1DB1-Normal55"/>
              <w:keepNext/>
              <w:spacing w:before="40" w:after="0" w:line="240" w:lineRule="auto"/>
              <w:rPr>
                <w:rFonts w:eastAsia="Times New Roman" w:cs="Times New Roman"/>
                <w:bCs/>
                <w:noProof/>
                <w:szCs w:val="18"/>
              </w:rPr>
            </w:pPr>
            <w:r>
              <w:rPr>
                <w:noProof/>
              </w:rPr>
              <w:t>Étape</w:t>
            </w:r>
          </w:p>
        </w:tc>
        <w:tc>
          <w:tcPr>
            <w:tcW w:w="2985" w:type="dxa"/>
            <w:tcBorders>
              <w:top w:val="nil"/>
              <w:left w:val="nil"/>
              <w:bottom w:val="single" w:sz="4" w:space="0" w:color="auto"/>
              <w:right w:val="single" w:sz="4" w:space="0" w:color="auto"/>
            </w:tcBorders>
            <w:shd w:val="clear" w:color="000000" w:fill="C6EFCE"/>
            <w:noWrap/>
            <w:vAlign w:val="center"/>
          </w:tcPr>
          <w:p w14:paraId="343AA9F5" w14:textId="77777777" w:rsidR="00A00259" w:rsidRDefault="00371282">
            <w:pPr>
              <w:pStyle w:val="P68B1DB1-Normal55"/>
              <w:keepNext/>
              <w:spacing w:before="40" w:after="0" w:line="240" w:lineRule="auto"/>
              <w:rPr>
                <w:rFonts w:eastAsia="Times New Roman" w:cs="Times New Roman"/>
                <w:bCs/>
                <w:noProof/>
                <w:szCs w:val="18"/>
              </w:rPr>
            </w:pPr>
            <w:r>
              <w:rPr>
                <w:noProof/>
              </w:rPr>
              <w:t>Identification – Bâtiments éligibles</w:t>
            </w:r>
          </w:p>
        </w:tc>
      </w:tr>
      <w:tr w:rsidR="00A00259" w14:paraId="16DEF4C8"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3B34E140" w14:textId="77777777" w:rsidR="00A00259" w:rsidRDefault="00371282">
            <w:pPr>
              <w:pStyle w:val="P68B1DB1-Normal55"/>
              <w:keepNext/>
              <w:spacing w:before="40" w:after="0" w:line="240" w:lineRule="auto"/>
              <w:jc w:val="both"/>
              <w:rPr>
                <w:rFonts w:eastAsia="Times New Roman" w:cs="Times New Roman"/>
                <w:noProof/>
                <w:szCs w:val="18"/>
              </w:rPr>
            </w:pPr>
            <w:r>
              <w:rPr>
                <w:noProof/>
              </w:rPr>
              <w:t>263</w:t>
            </w:r>
          </w:p>
        </w:tc>
        <w:tc>
          <w:tcPr>
            <w:tcW w:w="5270" w:type="dxa"/>
            <w:tcBorders>
              <w:top w:val="nil"/>
              <w:left w:val="nil"/>
              <w:bottom w:val="single" w:sz="4" w:space="0" w:color="auto"/>
              <w:right w:val="single" w:sz="4" w:space="0" w:color="auto"/>
            </w:tcBorders>
            <w:shd w:val="clear" w:color="000000" w:fill="C6EFCE"/>
            <w:noWrap/>
            <w:vAlign w:val="center"/>
          </w:tcPr>
          <w:p w14:paraId="76B22C23" w14:textId="77777777" w:rsidR="00A00259" w:rsidRDefault="00371282">
            <w:pPr>
              <w:pStyle w:val="P68B1DB1-Normal55"/>
              <w:keepNext/>
              <w:spacing w:before="40" w:after="0" w:line="240" w:lineRule="auto"/>
              <w:rPr>
                <w:rFonts w:eastAsia="Times New Roman" w:cs="Times New Roman"/>
                <w:bCs/>
                <w:noProof/>
                <w:szCs w:val="18"/>
              </w:rPr>
            </w:pPr>
            <w:r>
              <w:rPr>
                <w:noProof/>
              </w:rPr>
              <w:t>17 - 4.6. Moderniser et améliorer la résilience des secteurs économiques clés - 16982_Réforme organisationnelle dans le secteur ferroviaire</w:t>
            </w:r>
          </w:p>
        </w:tc>
        <w:tc>
          <w:tcPr>
            <w:tcW w:w="869" w:type="dxa"/>
            <w:tcBorders>
              <w:top w:val="nil"/>
              <w:left w:val="nil"/>
              <w:bottom w:val="single" w:sz="4" w:space="0" w:color="auto"/>
              <w:right w:val="single" w:sz="4" w:space="0" w:color="auto"/>
            </w:tcBorders>
            <w:shd w:val="clear" w:color="000000" w:fill="C6EFCE"/>
            <w:noWrap/>
            <w:vAlign w:val="center"/>
          </w:tcPr>
          <w:p w14:paraId="2C543D64" w14:textId="77777777" w:rsidR="00A00259" w:rsidRDefault="00371282">
            <w:pPr>
              <w:pStyle w:val="P68B1DB1-Normal55"/>
              <w:keepNext/>
              <w:spacing w:before="40" w:after="0" w:line="240" w:lineRule="auto"/>
              <w:rPr>
                <w:rFonts w:eastAsia="Times New Roman" w:cs="Times New Roman"/>
                <w:bCs/>
                <w:noProof/>
                <w:szCs w:val="18"/>
              </w:rPr>
            </w:pPr>
            <w:r>
              <w:rPr>
                <w:noProof/>
              </w:rPr>
              <w:t>Étape</w:t>
            </w:r>
          </w:p>
        </w:tc>
        <w:tc>
          <w:tcPr>
            <w:tcW w:w="2985" w:type="dxa"/>
            <w:tcBorders>
              <w:top w:val="nil"/>
              <w:left w:val="nil"/>
              <w:bottom w:val="single" w:sz="4" w:space="0" w:color="auto"/>
              <w:right w:val="single" w:sz="4" w:space="0" w:color="auto"/>
            </w:tcBorders>
            <w:shd w:val="clear" w:color="000000" w:fill="C6EFCE"/>
            <w:noWrap/>
            <w:vAlign w:val="center"/>
          </w:tcPr>
          <w:p w14:paraId="36C3F6C7" w14:textId="77777777" w:rsidR="00A00259" w:rsidRDefault="00371282">
            <w:pPr>
              <w:pStyle w:val="P68B1DB1-Normal55"/>
              <w:keepNext/>
              <w:spacing w:before="40" w:after="0" w:line="240" w:lineRule="auto"/>
              <w:rPr>
                <w:rFonts w:eastAsia="Times New Roman" w:cs="Times New Roman"/>
                <w:bCs/>
                <w:noProof/>
                <w:szCs w:val="18"/>
              </w:rPr>
            </w:pPr>
            <w:r>
              <w:rPr>
                <w:noProof/>
              </w:rPr>
              <w:t>Feuille de route pour la réforme des chemins de fer</w:t>
            </w:r>
          </w:p>
        </w:tc>
      </w:tr>
      <w:tr w:rsidR="00A00259" w14:paraId="43FF4A71"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026150E3" w14:textId="77777777" w:rsidR="00A00259" w:rsidRDefault="00371282">
            <w:pPr>
              <w:pStyle w:val="P68B1DB1-Normal55"/>
              <w:keepNext/>
              <w:spacing w:before="40" w:after="0" w:line="240" w:lineRule="auto"/>
              <w:jc w:val="both"/>
              <w:rPr>
                <w:rFonts w:eastAsia="Times New Roman" w:cs="Times New Roman"/>
                <w:noProof/>
                <w:szCs w:val="18"/>
              </w:rPr>
            </w:pPr>
            <w:r>
              <w:rPr>
                <w:noProof/>
              </w:rPr>
              <w:t>331</w:t>
            </w:r>
          </w:p>
        </w:tc>
        <w:tc>
          <w:tcPr>
            <w:tcW w:w="5270" w:type="dxa"/>
            <w:tcBorders>
              <w:top w:val="nil"/>
              <w:left w:val="nil"/>
              <w:bottom w:val="single" w:sz="4" w:space="0" w:color="auto"/>
              <w:right w:val="single" w:sz="4" w:space="0" w:color="auto"/>
            </w:tcBorders>
            <w:shd w:val="clear" w:color="000000" w:fill="C6EFCE"/>
            <w:noWrap/>
            <w:vAlign w:val="center"/>
          </w:tcPr>
          <w:p w14:paraId="6A68B8BA" w14:textId="77777777" w:rsidR="00A00259" w:rsidRDefault="00371282">
            <w:pPr>
              <w:pStyle w:val="P68B1DB1-Normal55"/>
              <w:keepNext/>
              <w:spacing w:before="40" w:after="0" w:line="240" w:lineRule="auto"/>
              <w:rPr>
                <w:rFonts w:eastAsia="Times New Roman" w:cs="Times New Roman"/>
                <w:bCs/>
                <w:noProof/>
                <w:szCs w:val="18"/>
              </w:rPr>
            </w:pPr>
            <w:r>
              <w:rPr>
                <w:noProof/>
              </w:rPr>
              <w:t>19 - 16968_Assistance technique</w:t>
            </w:r>
          </w:p>
        </w:tc>
        <w:tc>
          <w:tcPr>
            <w:tcW w:w="869" w:type="dxa"/>
            <w:tcBorders>
              <w:top w:val="nil"/>
              <w:left w:val="nil"/>
              <w:bottom w:val="single" w:sz="4" w:space="0" w:color="auto"/>
              <w:right w:val="single" w:sz="4" w:space="0" w:color="auto"/>
            </w:tcBorders>
            <w:shd w:val="clear" w:color="000000" w:fill="C6EFCE"/>
            <w:noWrap/>
            <w:vAlign w:val="center"/>
          </w:tcPr>
          <w:p w14:paraId="4E83B47A" w14:textId="77777777" w:rsidR="00A00259" w:rsidRDefault="00371282">
            <w:pPr>
              <w:pStyle w:val="P68B1DB1-Normal55"/>
              <w:keepNext/>
              <w:spacing w:before="40" w:after="0" w:line="240" w:lineRule="auto"/>
              <w:rPr>
                <w:rFonts w:eastAsia="Times New Roman" w:cs="Times New Roman"/>
                <w:bCs/>
                <w:noProof/>
                <w:szCs w:val="18"/>
              </w:rPr>
            </w:pPr>
            <w:r>
              <w:rPr>
                <w:noProof/>
              </w:rPr>
              <w:t>Étape</w:t>
            </w:r>
          </w:p>
        </w:tc>
        <w:tc>
          <w:tcPr>
            <w:tcW w:w="2985" w:type="dxa"/>
            <w:tcBorders>
              <w:top w:val="nil"/>
              <w:left w:val="nil"/>
              <w:bottom w:val="single" w:sz="4" w:space="0" w:color="auto"/>
              <w:right w:val="single" w:sz="4" w:space="0" w:color="auto"/>
            </w:tcBorders>
            <w:shd w:val="clear" w:color="000000" w:fill="C6EFCE"/>
            <w:noWrap/>
            <w:vAlign w:val="center"/>
          </w:tcPr>
          <w:p w14:paraId="2DAF954C" w14:textId="77777777" w:rsidR="00A00259" w:rsidRDefault="00371282">
            <w:pPr>
              <w:pStyle w:val="P68B1DB1-Normal55"/>
              <w:keepNext/>
              <w:spacing w:before="40" w:after="0" w:line="240" w:lineRule="auto"/>
              <w:rPr>
                <w:rFonts w:eastAsia="Times New Roman" w:cs="Times New Roman"/>
                <w:bCs/>
                <w:noProof/>
                <w:szCs w:val="18"/>
              </w:rPr>
            </w:pPr>
            <w:r>
              <w:rPr>
                <w:noProof/>
              </w:rPr>
              <w:t xml:space="preserve">Mandat juridique de l’EDEL et mise en place des systèmes de gestion, de contrôle et d’audit </w:t>
            </w:r>
          </w:p>
        </w:tc>
      </w:tr>
      <w:tr w:rsidR="00A00259" w14:paraId="3CA7F165"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3D7B5FB" w14:textId="77777777" w:rsidR="00A00259" w:rsidRDefault="00A00259">
            <w:pPr>
              <w:keepNext/>
              <w:spacing w:before="40" w:after="0" w:line="259" w:lineRule="auto"/>
              <w:jc w:val="both"/>
              <w:rPr>
                <w:rFonts w:ascii="Times New Roman" w:eastAsia="Times New Roman" w:hAnsi="Times New Roman" w:cs="Times New Roman"/>
                <w:noProof/>
                <w:sz w:val="18"/>
                <w:szCs w:val="18"/>
              </w:rPr>
            </w:pPr>
          </w:p>
        </w:tc>
        <w:tc>
          <w:tcPr>
            <w:tcW w:w="5270" w:type="dxa"/>
            <w:tcBorders>
              <w:top w:val="single" w:sz="4" w:space="0" w:color="auto"/>
              <w:left w:val="nil"/>
              <w:bottom w:val="single" w:sz="4" w:space="0" w:color="auto"/>
              <w:right w:val="single" w:sz="4" w:space="0" w:color="auto"/>
            </w:tcBorders>
            <w:shd w:val="clear" w:color="auto" w:fill="C6EFCE"/>
            <w:noWrap/>
            <w:vAlign w:val="bottom"/>
          </w:tcPr>
          <w:p w14:paraId="756D2B5B" w14:textId="77777777" w:rsidR="00A00259" w:rsidRDefault="00A00259">
            <w:pPr>
              <w:keepNext/>
              <w:spacing w:before="40" w:after="0" w:line="259" w:lineRule="auto"/>
              <w:rPr>
                <w:rFonts w:ascii="Times New Roman" w:eastAsia="Times New Roman" w:hAnsi="Times New Roman" w:cs="Times New Roman"/>
                <w:bCs/>
                <w:noProof/>
                <w:sz w:val="18"/>
                <w:szCs w:val="18"/>
              </w:rPr>
            </w:pPr>
          </w:p>
        </w:tc>
        <w:tc>
          <w:tcPr>
            <w:tcW w:w="869" w:type="dxa"/>
            <w:tcBorders>
              <w:top w:val="single" w:sz="4" w:space="0" w:color="auto"/>
              <w:left w:val="nil"/>
              <w:bottom w:val="single" w:sz="4" w:space="0" w:color="auto"/>
              <w:right w:val="single" w:sz="4" w:space="0" w:color="auto"/>
            </w:tcBorders>
            <w:shd w:val="clear" w:color="auto" w:fill="C6EFCE"/>
            <w:noWrap/>
            <w:vAlign w:val="bottom"/>
          </w:tcPr>
          <w:p w14:paraId="782545B4" w14:textId="77777777" w:rsidR="00A00259" w:rsidRDefault="00371282">
            <w:pPr>
              <w:pStyle w:val="P68B1DB1-Normal55"/>
              <w:keepNext/>
              <w:spacing w:before="40" w:after="0" w:line="259" w:lineRule="auto"/>
              <w:rPr>
                <w:rFonts w:eastAsia="Times New Roman" w:cs="Times New Roman"/>
                <w:bCs/>
                <w:noProof/>
                <w:szCs w:val="18"/>
              </w:rPr>
            </w:pPr>
            <w:r>
              <w:rPr>
                <w:noProof/>
              </w:rPr>
              <w:t>Montant des acomptes provisionnels</w:t>
            </w:r>
          </w:p>
        </w:tc>
        <w:tc>
          <w:tcPr>
            <w:tcW w:w="2985" w:type="dxa"/>
            <w:tcBorders>
              <w:top w:val="single" w:sz="4" w:space="0" w:color="auto"/>
              <w:left w:val="nil"/>
              <w:bottom w:val="single" w:sz="4" w:space="0" w:color="auto"/>
              <w:right w:val="single" w:sz="4" w:space="0" w:color="auto"/>
            </w:tcBorders>
            <w:shd w:val="clear" w:color="auto" w:fill="C6EFCE"/>
            <w:noWrap/>
            <w:vAlign w:val="bottom"/>
          </w:tcPr>
          <w:p w14:paraId="48F01023" w14:textId="77777777" w:rsidR="00A00259" w:rsidRDefault="00371282">
            <w:pPr>
              <w:pStyle w:val="P68B1DB1-Normal55"/>
              <w:keepNext/>
              <w:spacing w:before="40" w:after="0" w:line="259" w:lineRule="auto"/>
              <w:rPr>
                <w:rFonts w:eastAsia="Times New Roman" w:cs="Times New Roman"/>
                <w:bCs/>
                <w:noProof/>
                <w:szCs w:val="18"/>
              </w:rPr>
            </w:pPr>
            <w:r>
              <w:rPr>
                <w:noProof/>
              </w:rPr>
              <w:t>1 974 438 067 EUR</w:t>
            </w:r>
          </w:p>
        </w:tc>
      </w:tr>
    </w:tbl>
    <w:p w14:paraId="11E49200" w14:textId="77777777" w:rsidR="00A00259" w:rsidRDefault="00A00259">
      <w:pPr>
        <w:rPr>
          <w:rFonts w:ascii="Times New Roman" w:hAnsi="Times New Roman"/>
          <w:noProof/>
          <w:sz w:val="24"/>
        </w:rPr>
      </w:pPr>
    </w:p>
    <w:p w14:paraId="08C1C978" w14:textId="77777777" w:rsidR="00A00259" w:rsidRDefault="00371282">
      <w:pPr>
        <w:pStyle w:val="P68B1DB1-Normal5"/>
        <w:keepNext/>
        <w:numPr>
          <w:ilvl w:val="1"/>
          <w:numId w:val="93"/>
        </w:numPr>
        <w:spacing w:before="40" w:after="160" w:line="259" w:lineRule="auto"/>
        <w:ind w:left="0"/>
        <w:contextualSpacing/>
        <w:jc w:val="both"/>
        <w:rPr>
          <w:noProof/>
        </w:rPr>
      </w:pPr>
      <w:r>
        <w:rPr>
          <w:noProof/>
        </w:rPr>
        <w:t xml:space="preserve"> Deuxième demande de paiement (aide non remboursable):</w:t>
      </w:r>
    </w:p>
    <w:p w14:paraId="0D5AAE4E" w14:textId="77777777" w:rsidR="00A00259" w:rsidRDefault="00A00259">
      <w:pPr>
        <w:keepNext/>
        <w:spacing w:before="40" w:after="160" w:line="259" w:lineRule="auto"/>
        <w:contextualSpacing/>
        <w:jc w:val="both"/>
        <w:rPr>
          <w:rFonts w:ascii="Times New Roman" w:eastAsia="Times New Roman" w:hAnsi="Times New Roman" w:cs="Times New Roman"/>
          <w:noProof/>
          <w:sz w:val="24"/>
        </w:rPr>
      </w:pPr>
    </w:p>
    <w:tbl>
      <w:tblPr>
        <w:tblW w:w="9837" w:type="dxa"/>
        <w:jc w:val="center"/>
        <w:tblLook w:val="04A0" w:firstRow="1" w:lastRow="0" w:firstColumn="1" w:lastColumn="0" w:noHBand="0" w:noVBand="1"/>
      </w:tblPr>
      <w:tblGrid>
        <w:gridCol w:w="669"/>
        <w:gridCol w:w="5668"/>
        <w:gridCol w:w="1175"/>
        <w:gridCol w:w="2342"/>
      </w:tblGrid>
      <w:tr w:rsidR="00A00259" w14:paraId="060BC1E0" w14:textId="77777777">
        <w:trPr>
          <w:trHeight w:val="509"/>
          <w:tblHeader/>
          <w:jc w:val="center"/>
        </w:trPr>
        <w:tc>
          <w:tcPr>
            <w:tcW w:w="67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6ADD922B" w14:textId="77777777" w:rsidR="00A00259" w:rsidRDefault="00371282">
            <w:pPr>
              <w:pStyle w:val="P68B1DB1-Normal15"/>
              <w:keepNext/>
              <w:spacing w:before="40" w:after="0" w:line="259" w:lineRule="auto"/>
              <w:jc w:val="center"/>
              <w:rPr>
                <w:rFonts w:eastAsia="Times New Roman"/>
                <w:bCs/>
                <w:noProof/>
              </w:rPr>
            </w:pPr>
            <w:r>
              <w:rPr>
                <w:noProof/>
              </w:rPr>
              <w:t xml:space="preserve">Seq. </w:t>
            </w:r>
            <w:r>
              <w:rPr>
                <w:noProof/>
              </w:rPr>
              <w:br/>
              <w:t>Non.</w:t>
            </w:r>
          </w:p>
        </w:tc>
        <w:tc>
          <w:tcPr>
            <w:tcW w:w="573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513D5F6D"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Mesure connexe (réforme ou investissement)</w:t>
            </w:r>
          </w:p>
        </w:tc>
        <w:tc>
          <w:tcPr>
            <w:tcW w:w="1066"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3A82B057"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Étape/cible</w:t>
            </w:r>
          </w:p>
        </w:tc>
        <w:tc>
          <w:tcPr>
            <w:tcW w:w="2366" w:type="dxa"/>
            <w:vMerge w:val="restart"/>
            <w:tcBorders>
              <w:top w:val="single" w:sz="4" w:space="0" w:color="auto"/>
              <w:left w:val="nil"/>
              <w:bottom w:val="single" w:sz="4" w:space="0" w:color="000000"/>
              <w:right w:val="single" w:sz="4" w:space="0" w:color="auto"/>
            </w:tcBorders>
            <w:shd w:val="clear" w:color="auto" w:fill="BDD7EE"/>
            <w:vAlign w:val="center"/>
            <w:hideMark/>
          </w:tcPr>
          <w:p w14:paraId="42B3C7FB"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Nom</w:t>
            </w:r>
          </w:p>
        </w:tc>
      </w:tr>
      <w:tr w:rsidR="00A00259" w14:paraId="6E0276BE" w14:textId="77777777">
        <w:trPr>
          <w:trHeight w:val="990"/>
          <w:jc w:val="center"/>
        </w:trPr>
        <w:tc>
          <w:tcPr>
            <w:tcW w:w="675" w:type="dxa"/>
            <w:vMerge/>
            <w:tcBorders>
              <w:top w:val="single" w:sz="4" w:space="0" w:color="auto"/>
              <w:left w:val="single" w:sz="4" w:space="0" w:color="auto"/>
              <w:bottom w:val="single" w:sz="4" w:space="0" w:color="000000"/>
              <w:right w:val="single" w:sz="4" w:space="0" w:color="auto"/>
            </w:tcBorders>
            <w:vAlign w:val="center"/>
            <w:hideMark/>
          </w:tcPr>
          <w:p w14:paraId="0C19721D"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5730" w:type="dxa"/>
            <w:vMerge/>
            <w:tcBorders>
              <w:top w:val="single" w:sz="4" w:space="0" w:color="auto"/>
              <w:left w:val="single" w:sz="4" w:space="0" w:color="auto"/>
              <w:bottom w:val="single" w:sz="4" w:space="0" w:color="000000"/>
              <w:right w:val="single" w:sz="4" w:space="0" w:color="auto"/>
            </w:tcBorders>
            <w:vAlign w:val="center"/>
            <w:hideMark/>
          </w:tcPr>
          <w:p w14:paraId="473B7DCE"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1066" w:type="dxa"/>
            <w:vMerge/>
            <w:tcBorders>
              <w:top w:val="single" w:sz="4" w:space="0" w:color="auto"/>
              <w:left w:val="single" w:sz="4" w:space="0" w:color="auto"/>
              <w:bottom w:val="single" w:sz="4" w:space="0" w:color="000000"/>
              <w:right w:val="single" w:sz="4" w:space="0" w:color="auto"/>
            </w:tcBorders>
            <w:vAlign w:val="center"/>
            <w:hideMark/>
          </w:tcPr>
          <w:p w14:paraId="50561550"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2366" w:type="dxa"/>
            <w:vMerge/>
            <w:tcBorders>
              <w:top w:val="single" w:sz="4" w:space="0" w:color="auto"/>
              <w:left w:val="nil"/>
              <w:bottom w:val="single" w:sz="4" w:space="0" w:color="000000"/>
              <w:right w:val="single" w:sz="4" w:space="0" w:color="auto"/>
            </w:tcBorders>
            <w:vAlign w:val="center"/>
            <w:hideMark/>
          </w:tcPr>
          <w:p w14:paraId="117C70DD"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r>
      <w:tr w:rsidR="00A00259" w14:paraId="215D9961" w14:textId="77777777">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6F925A85" w14:textId="77777777" w:rsidR="00A00259" w:rsidRDefault="00371282">
            <w:pPr>
              <w:pStyle w:val="P68B1DB1-Normal55"/>
              <w:keepNext/>
              <w:spacing w:before="40" w:after="0" w:line="259" w:lineRule="auto"/>
              <w:jc w:val="both"/>
              <w:rPr>
                <w:rFonts w:eastAsia="Times New Roman" w:cs="Times New Roman"/>
                <w:noProof/>
                <w:szCs w:val="18"/>
              </w:rPr>
            </w:pPr>
            <w:r>
              <w:rPr>
                <w:noProof/>
              </w:rPr>
              <w:t>44</w:t>
            </w:r>
          </w:p>
        </w:tc>
        <w:tc>
          <w:tcPr>
            <w:tcW w:w="5730" w:type="dxa"/>
            <w:tcBorders>
              <w:top w:val="single" w:sz="4" w:space="0" w:color="auto"/>
              <w:left w:val="nil"/>
              <w:bottom w:val="single" w:sz="4" w:space="0" w:color="auto"/>
              <w:right w:val="single" w:sz="4" w:space="0" w:color="auto"/>
            </w:tcBorders>
            <w:shd w:val="clear" w:color="000000" w:fill="C6EFCE"/>
            <w:noWrap/>
            <w:vAlign w:val="center"/>
          </w:tcPr>
          <w:p w14:paraId="5CA7982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3 – 1.3. Recharge et ravitaillement - 16924_ Electromobility</w:t>
            </w:r>
          </w:p>
        </w:tc>
        <w:tc>
          <w:tcPr>
            <w:tcW w:w="1066" w:type="dxa"/>
            <w:tcBorders>
              <w:top w:val="single" w:sz="4" w:space="0" w:color="auto"/>
              <w:left w:val="nil"/>
              <w:bottom w:val="single" w:sz="4" w:space="0" w:color="auto"/>
              <w:right w:val="single" w:sz="4" w:space="0" w:color="auto"/>
            </w:tcBorders>
            <w:shd w:val="clear" w:color="000000" w:fill="C6EFCE"/>
            <w:noWrap/>
            <w:vAlign w:val="center"/>
          </w:tcPr>
          <w:p w14:paraId="2483EE8D"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single" w:sz="4" w:space="0" w:color="auto"/>
              <w:left w:val="nil"/>
              <w:bottom w:val="single" w:sz="4" w:space="0" w:color="auto"/>
              <w:right w:val="single" w:sz="4" w:space="0" w:color="auto"/>
            </w:tcBorders>
            <w:shd w:val="clear" w:color="000000" w:fill="C6EFCE"/>
            <w:noWrap/>
            <w:vAlign w:val="center"/>
          </w:tcPr>
          <w:p w14:paraId="7463526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Transports publics – Entrée en vigueur de la réglementation du marché relative aux obligations de service public (autobus)</w:t>
            </w:r>
          </w:p>
        </w:tc>
      </w:tr>
      <w:tr w:rsidR="00A00259" w14:paraId="3532CAE0"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1ED1F53B" w14:textId="77777777" w:rsidR="00A00259" w:rsidRDefault="00371282">
            <w:pPr>
              <w:pStyle w:val="P68B1DB1-Normal55"/>
              <w:keepNext/>
              <w:spacing w:before="40" w:after="0" w:line="259" w:lineRule="auto"/>
              <w:jc w:val="both"/>
              <w:rPr>
                <w:rFonts w:eastAsia="Times New Roman" w:cs="Times New Roman"/>
                <w:noProof/>
                <w:szCs w:val="18"/>
              </w:rPr>
            </w:pPr>
            <w:r>
              <w:rPr>
                <w:noProof/>
              </w:rPr>
              <w:t>197</w:t>
            </w:r>
          </w:p>
        </w:tc>
        <w:tc>
          <w:tcPr>
            <w:tcW w:w="5730" w:type="dxa"/>
            <w:tcBorders>
              <w:top w:val="nil"/>
              <w:left w:val="nil"/>
              <w:bottom w:val="single" w:sz="4" w:space="0" w:color="auto"/>
              <w:right w:val="single" w:sz="4" w:space="0" w:color="auto"/>
            </w:tcBorders>
            <w:shd w:val="clear" w:color="000000" w:fill="C6EFCE"/>
            <w:noWrap/>
            <w:vAlign w:val="center"/>
          </w:tcPr>
          <w:p w14:paraId="77B9ADD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12 - 4.1. Rendre les impôts plus propices à la croissance et améliorer l'administration fiscale et le recouvrement des impôts - 16863_Super – déduction des dépenses liées à l'économie verte, à l'énergie et à la transition numérique</w:t>
            </w:r>
          </w:p>
        </w:tc>
        <w:tc>
          <w:tcPr>
            <w:tcW w:w="1066" w:type="dxa"/>
            <w:tcBorders>
              <w:top w:val="nil"/>
              <w:left w:val="nil"/>
              <w:bottom w:val="single" w:sz="4" w:space="0" w:color="auto"/>
              <w:right w:val="single" w:sz="4" w:space="0" w:color="auto"/>
            </w:tcBorders>
            <w:shd w:val="clear" w:color="000000" w:fill="C6EFCE"/>
            <w:noWrap/>
            <w:vAlign w:val="center"/>
          </w:tcPr>
          <w:p w14:paraId="294F60B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653ECC5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Super-déduction pour les investissements verts et numériques des PME</w:t>
            </w:r>
          </w:p>
        </w:tc>
      </w:tr>
      <w:tr w:rsidR="00A00259" w14:paraId="3A40BC88"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789DCAF7" w14:textId="77777777" w:rsidR="00A00259" w:rsidRDefault="00371282">
            <w:pPr>
              <w:pStyle w:val="P68B1DB1-Normal55"/>
              <w:keepNext/>
              <w:spacing w:before="40" w:after="0" w:line="259" w:lineRule="auto"/>
              <w:jc w:val="both"/>
              <w:rPr>
                <w:rFonts w:eastAsia="Times New Roman" w:cs="Times New Roman"/>
                <w:noProof/>
                <w:szCs w:val="18"/>
              </w:rPr>
            </w:pPr>
            <w:r>
              <w:rPr>
                <w:noProof/>
              </w:rPr>
              <w:t>198</w:t>
            </w:r>
          </w:p>
        </w:tc>
        <w:tc>
          <w:tcPr>
            <w:tcW w:w="5730" w:type="dxa"/>
            <w:tcBorders>
              <w:top w:val="nil"/>
              <w:left w:val="nil"/>
              <w:bottom w:val="single" w:sz="4" w:space="0" w:color="auto"/>
              <w:right w:val="single" w:sz="4" w:space="0" w:color="auto"/>
            </w:tcBorders>
            <w:shd w:val="clear" w:color="000000" w:fill="C6EFCE"/>
            <w:noWrap/>
            <w:vAlign w:val="center"/>
          </w:tcPr>
          <w:p w14:paraId="58804C8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12 - 4.1. Rendre les impôts plus propices à la croissance et améliorer l'administration fiscale et le recouvrement des impôts - 16616_Adoption de mesures et d'incitations pour accroître les transactions électroniques</w:t>
            </w:r>
          </w:p>
        </w:tc>
        <w:tc>
          <w:tcPr>
            <w:tcW w:w="1066" w:type="dxa"/>
            <w:tcBorders>
              <w:top w:val="nil"/>
              <w:left w:val="nil"/>
              <w:bottom w:val="single" w:sz="4" w:space="0" w:color="auto"/>
              <w:right w:val="single" w:sz="4" w:space="0" w:color="auto"/>
            </w:tcBorders>
            <w:shd w:val="clear" w:color="000000" w:fill="C6EFCE"/>
            <w:noWrap/>
            <w:vAlign w:val="center"/>
          </w:tcPr>
          <w:p w14:paraId="4D04DF5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4EF8CF9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Législation visant à encourager les transactions électroniques</w:t>
            </w:r>
          </w:p>
        </w:tc>
      </w:tr>
      <w:tr w:rsidR="00A00259" w14:paraId="0ADF3A46"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608D7DBA" w14:textId="77777777" w:rsidR="00A00259" w:rsidRDefault="00371282">
            <w:pPr>
              <w:pStyle w:val="P68B1DB1-Normal55"/>
              <w:keepNext/>
              <w:spacing w:before="40" w:after="0" w:line="259" w:lineRule="auto"/>
              <w:jc w:val="both"/>
              <w:rPr>
                <w:rFonts w:eastAsia="Times New Roman" w:cs="Times New Roman"/>
                <w:noProof/>
                <w:szCs w:val="18"/>
              </w:rPr>
            </w:pPr>
            <w:r>
              <w:rPr>
                <w:noProof/>
              </w:rPr>
              <w:t>240</w:t>
            </w:r>
          </w:p>
        </w:tc>
        <w:tc>
          <w:tcPr>
            <w:tcW w:w="5730" w:type="dxa"/>
            <w:tcBorders>
              <w:top w:val="nil"/>
              <w:left w:val="nil"/>
              <w:bottom w:val="single" w:sz="4" w:space="0" w:color="auto"/>
              <w:right w:val="single" w:sz="4" w:space="0" w:color="auto"/>
            </w:tcBorders>
            <w:shd w:val="clear" w:color="000000" w:fill="C6EFCE"/>
            <w:noWrap/>
            <w:vAlign w:val="center"/>
          </w:tcPr>
          <w:p w14:paraId="2F1D3DF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15 - 4.4. Renforcer le secteur financier et les marchés des capitaux - 16581_Amélioration de la surveillance et de la fiabilité des marchés des capitaux</w:t>
            </w:r>
          </w:p>
        </w:tc>
        <w:tc>
          <w:tcPr>
            <w:tcW w:w="1066" w:type="dxa"/>
            <w:tcBorders>
              <w:top w:val="nil"/>
              <w:left w:val="nil"/>
              <w:bottom w:val="single" w:sz="4" w:space="0" w:color="auto"/>
              <w:right w:val="single" w:sz="4" w:space="0" w:color="auto"/>
            </w:tcBorders>
            <w:shd w:val="clear" w:color="000000" w:fill="C6EFCE"/>
            <w:noWrap/>
            <w:vAlign w:val="center"/>
          </w:tcPr>
          <w:p w14:paraId="0FDFB83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14AB4E1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Marchés des capitaux, surveillance, numérisation des processus de surveillance, union des marchés des capitaux (UMC)</w:t>
            </w:r>
          </w:p>
        </w:tc>
      </w:tr>
      <w:tr w:rsidR="00A00259" w14:paraId="57743601"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30CB3D36" w14:textId="77777777" w:rsidR="00A00259" w:rsidRDefault="00371282">
            <w:pPr>
              <w:pStyle w:val="P68B1DB1-Normal55"/>
              <w:keepNext/>
              <w:spacing w:before="40" w:after="0" w:line="259" w:lineRule="auto"/>
              <w:jc w:val="both"/>
              <w:rPr>
                <w:rFonts w:eastAsia="Times New Roman" w:cs="Times New Roman"/>
                <w:noProof/>
                <w:szCs w:val="18"/>
              </w:rPr>
            </w:pPr>
            <w:r>
              <w:rPr>
                <w:noProof/>
              </w:rPr>
              <w:t>299</w:t>
            </w:r>
          </w:p>
        </w:tc>
        <w:tc>
          <w:tcPr>
            <w:tcW w:w="5730" w:type="dxa"/>
            <w:tcBorders>
              <w:top w:val="nil"/>
              <w:left w:val="nil"/>
              <w:bottom w:val="single" w:sz="4" w:space="0" w:color="auto"/>
              <w:right w:val="single" w:sz="4" w:space="0" w:color="auto"/>
            </w:tcBorders>
            <w:shd w:val="clear" w:color="000000" w:fill="C6EFCE"/>
            <w:noWrap/>
            <w:vAlign w:val="center"/>
          </w:tcPr>
          <w:p w14:paraId="7FF819C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- 16593_Modification du cadre juridique visant à attirer les investissements stratégiques</w:t>
            </w:r>
          </w:p>
        </w:tc>
        <w:tc>
          <w:tcPr>
            <w:tcW w:w="1066" w:type="dxa"/>
            <w:tcBorders>
              <w:top w:val="nil"/>
              <w:left w:val="nil"/>
              <w:bottom w:val="single" w:sz="4" w:space="0" w:color="auto"/>
              <w:right w:val="single" w:sz="4" w:space="0" w:color="auto"/>
            </w:tcBorders>
            <w:shd w:val="clear" w:color="000000" w:fill="C6EFCE"/>
            <w:noWrap/>
            <w:vAlign w:val="center"/>
          </w:tcPr>
          <w:p w14:paraId="6C01ED5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20FAFAC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Investissements stratégiques – Réforme législative</w:t>
            </w:r>
          </w:p>
        </w:tc>
      </w:tr>
      <w:tr w:rsidR="00A00259" w14:paraId="054A0EF7"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2048B2A9" w14:textId="77777777" w:rsidR="00A00259" w:rsidRDefault="00371282">
            <w:pPr>
              <w:pStyle w:val="P68B1DB1-Normal55"/>
              <w:keepNext/>
              <w:spacing w:before="40" w:after="0" w:line="259" w:lineRule="auto"/>
              <w:jc w:val="both"/>
              <w:rPr>
                <w:rFonts w:eastAsia="Times New Roman" w:cs="Times New Roman"/>
                <w:noProof/>
                <w:szCs w:val="18"/>
              </w:rPr>
            </w:pPr>
            <w:r>
              <w:rPr>
                <w:noProof/>
              </w:rPr>
              <w:t>9</w:t>
            </w:r>
          </w:p>
        </w:tc>
        <w:tc>
          <w:tcPr>
            <w:tcW w:w="5730" w:type="dxa"/>
            <w:tcBorders>
              <w:top w:val="nil"/>
              <w:left w:val="nil"/>
              <w:bottom w:val="single" w:sz="4" w:space="0" w:color="auto"/>
              <w:right w:val="single" w:sz="4" w:space="0" w:color="auto"/>
            </w:tcBorders>
            <w:shd w:val="clear" w:color="000000" w:fill="C6EFCE"/>
            <w:noWrap/>
            <w:vAlign w:val="center"/>
          </w:tcPr>
          <w:p w14:paraId="1FFABF4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1 - 1.1. 16871_Actions de revitalisation des territoires les plus touchés (Territoires de transition juste)</w:t>
            </w:r>
          </w:p>
        </w:tc>
        <w:tc>
          <w:tcPr>
            <w:tcW w:w="1066" w:type="dxa"/>
            <w:tcBorders>
              <w:top w:val="nil"/>
              <w:left w:val="nil"/>
              <w:bottom w:val="single" w:sz="4" w:space="0" w:color="auto"/>
              <w:right w:val="single" w:sz="4" w:space="0" w:color="auto"/>
            </w:tcBorders>
            <w:shd w:val="clear" w:color="000000" w:fill="C6EFCE"/>
            <w:noWrap/>
            <w:vAlign w:val="center"/>
          </w:tcPr>
          <w:p w14:paraId="718813D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0C6E79F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Réhabilitation des terres — loi-cadre</w:t>
            </w:r>
          </w:p>
        </w:tc>
      </w:tr>
      <w:tr w:rsidR="00A00259" w14:paraId="1C89C4C3"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052CD47A" w14:textId="77777777" w:rsidR="00A00259" w:rsidRDefault="00371282">
            <w:pPr>
              <w:pStyle w:val="P68B1DB1-Normal55"/>
              <w:keepNext/>
              <w:spacing w:before="40" w:after="0" w:line="259" w:lineRule="auto"/>
              <w:jc w:val="both"/>
              <w:rPr>
                <w:rFonts w:eastAsia="Times New Roman" w:cs="Times New Roman"/>
                <w:noProof/>
                <w:szCs w:val="18"/>
              </w:rPr>
            </w:pPr>
            <w:r>
              <w:rPr>
                <w:noProof/>
              </w:rPr>
              <w:t>130</w:t>
            </w:r>
          </w:p>
        </w:tc>
        <w:tc>
          <w:tcPr>
            <w:tcW w:w="5730" w:type="dxa"/>
            <w:tcBorders>
              <w:top w:val="nil"/>
              <w:left w:val="nil"/>
              <w:bottom w:val="single" w:sz="4" w:space="0" w:color="auto"/>
              <w:right w:val="single" w:sz="4" w:space="0" w:color="auto"/>
            </w:tcBorders>
            <w:shd w:val="clear" w:color="000000" w:fill="C6EFCE"/>
            <w:noWrap/>
            <w:vAlign w:val="center"/>
          </w:tcPr>
          <w:p w14:paraId="23E00F6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7 - 2.3. Numérisation des entreprises - 16706_Transformation numérique des PME</w:t>
            </w:r>
          </w:p>
        </w:tc>
        <w:tc>
          <w:tcPr>
            <w:tcW w:w="1066" w:type="dxa"/>
            <w:tcBorders>
              <w:top w:val="nil"/>
              <w:left w:val="nil"/>
              <w:bottom w:val="single" w:sz="4" w:space="0" w:color="auto"/>
              <w:right w:val="single" w:sz="4" w:space="0" w:color="auto"/>
            </w:tcBorders>
            <w:shd w:val="clear" w:color="000000" w:fill="C6EFCE"/>
            <w:noWrap/>
            <w:vAlign w:val="center"/>
          </w:tcPr>
          <w:p w14:paraId="65BAEBE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4EF8094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Transformation numérique des PME - appels à propositions</w:t>
            </w:r>
          </w:p>
        </w:tc>
      </w:tr>
      <w:tr w:rsidR="00A00259" w14:paraId="47B24D73"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6C4E34FE" w14:textId="77777777" w:rsidR="00A00259" w:rsidRDefault="00371282">
            <w:pPr>
              <w:pStyle w:val="P68B1DB1-Normal55"/>
              <w:keepNext/>
              <w:spacing w:before="40" w:after="0" w:line="259" w:lineRule="auto"/>
              <w:jc w:val="both"/>
              <w:rPr>
                <w:rFonts w:eastAsia="Times New Roman" w:cs="Times New Roman"/>
                <w:noProof/>
                <w:szCs w:val="18"/>
              </w:rPr>
            </w:pPr>
            <w:r>
              <w:rPr>
                <w:noProof/>
              </w:rPr>
              <w:t>174</w:t>
            </w:r>
          </w:p>
        </w:tc>
        <w:tc>
          <w:tcPr>
            <w:tcW w:w="5730" w:type="dxa"/>
            <w:tcBorders>
              <w:top w:val="nil"/>
              <w:left w:val="nil"/>
              <w:bottom w:val="single" w:sz="4" w:space="0" w:color="auto"/>
              <w:right w:val="single" w:sz="4" w:space="0" w:color="auto"/>
            </w:tcBorders>
            <w:shd w:val="clear" w:color="000000" w:fill="C6EFCE"/>
            <w:noWrap/>
            <w:vAlign w:val="center"/>
          </w:tcPr>
          <w:p w14:paraId="0F53F16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11 - 3.4. Accroître l'accès à des politiques sociales efficaces et inclusives - 16904_Disability</w:t>
            </w:r>
          </w:p>
        </w:tc>
        <w:tc>
          <w:tcPr>
            <w:tcW w:w="1066" w:type="dxa"/>
            <w:tcBorders>
              <w:top w:val="nil"/>
              <w:left w:val="nil"/>
              <w:bottom w:val="single" w:sz="4" w:space="0" w:color="auto"/>
              <w:right w:val="single" w:sz="4" w:space="0" w:color="auto"/>
            </w:tcBorders>
            <w:shd w:val="clear" w:color="000000" w:fill="C6EFCE"/>
            <w:noWrap/>
            <w:vAlign w:val="center"/>
          </w:tcPr>
          <w:p w14:paraId="2260E37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7A025CE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Loi sur l'assistance personnelle aux personnes handicapées et mise en œuvre de la première phase du projet pilote</w:t>
            </w:r>
          </w:p>
        </w:tc>
      </w:tr>
      <w:tr w:rsidR="00A00259" w14:paraId="6267D8A7"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1E521EA7" w14:textId="77777777" w:rsidR="00A00259" w:rsidRDefault="00371282">
            <w:pPr>
              <w:pStyle w:val="P68B1DB1-Normal55"/>
              <w:keepNext/>
              <w:spacing w:before="40" w:after="0" w:line="259" w:lineRule="auto"/>
              <w:jc w:val="both"/>
              <w:rPr>
                <w:rFonts w:eastAsia="Times New Roman" w:cs="Times New Roman"/>
                <w:noProof/>
                <w:szCs w:val="18"/>
              </w:rPr>
            </w:pPr>
            <w:r>
              <w:rPr>
                <w:noProof/>
              </w:rPr>
              <w:t>188</w:t>
            </w:r>
          </w:p>
        </w:tc>
        <w:tc>
          <w:tcPr>
            <w:tcW w:w="5730" w:type="dxa"/>
            <w:tcBorders>
              <w:top w:val="nil"/>
              <w:left w:val="nil"/>
              <w:bottom w:val="single" w:sz="4" w:space="0" w:color="auto"/>
              <w:right w:val="single" w:sz="4" w:space="0" w:color="auto"/>
            </w:tcBorders>
            <w:shd w:val="clear" w:color="000000" w:fill="C6EFCE"/>
            <w:noWrap/>
            <w:vAlign w:val="center"/>
          </w:tcPr>
          <w:p w14:paraId="4F6EB96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12 - 4.1. Rendre les impôts plus propices à la croissance et améliorer l'administration fiscale et la perception des impôts - 16614_Caissières en ligne &amp; POS (réforme)</w:t>
            </w:r>
          </w:p>
        </w:tc>
        <w:tc>
          <w:tcPr>
            <w:tcW w:w="1066" w:type="dxa"/>
            <w:tcBorders>
              <w:top w:val="nil"/>
              <w:left w:val="nil"/>
              <w:bottom w:val="single" w:sz="4" w:space="0" w:color="auto"/>
              <w:right w:val="single" w:sz="4" w:space="0" w:color="auto"/>
            </w:tcBorders>
            <w:shd w:val="clear" w:color="000000" w:fill="C6EFCE"/>
            <w:noWrap/>
            <w:vAlign w:val="center"/>
          </w:tcPr>
          <w:p w14:paraId="65CB318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3F380014"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Autorité indépendante des recettes publiques (IAPR): Caisses enregistreuses en ligne &amp; Point de vente (POS) – Entrée en vigueur du cadre juridique</w:t>
            </w:r>
          </w:p>
        </w:tc>
      </w:tr>
      <w:tr w:rsidR="00A00259" w14:paraId="73E4358F"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44EF7342" w14:textId="77777777" w:rsidR="00A00259" w:rsidRDefault="00371282">
            <w:pPr>
              <w:pStyle w:val="P68B1DB1-Normal55"/>
              <w:keepNext/>
              <w:spacing w:before="40" w:after="0" w:line="259" w:lineRule="auto"/>
              <w:jc w:val="both"/>
              <w:rPr>
                <w:rFonts w:eastAsia="Times New Roman" w:cs="Times New Roman"/>
                <w:noProof/>
                <w:szCs w:val="18"/>
              </w:rPr>
            </w:pPr>
            <w:r>
              <w:rPr>
                <w:noProof/>
              </w:rPr>
              <w:t>190</w:t>
            </w:r>
          </w:p>
        </w:tc>
        <w:tc>
          <w:tcPr>
            <w:tcW w:w="5730" w:type="dxa"/>
            <w:tcBorders>
              <w:top w:val="nil"/>
              <w:left w:val="nil"/>
              <w:bottom w:val="single" w:sz="4" w:space="0" w:color="auto"/>
              <w:right w:val="single" w:sz="4" w:space="0" w:color="auto"/>
            </w:tcBorders>
            <w:shd w:val="clear" w:color="000000" w:fill="C6EFCE"/>
            <w:noWrap/>
            <w:vAlign w:val="center"/>
          </w:tcPr>
          <w:p w14:paraId="312576B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12 - 4.1. Rendre les impôts plus propices à la croissance et améliorer l'administration fiscale et la perception des impôts - 16656_Nouveau cadre de lutte contre la contrebande, principalement pour les produits soumis à accises (tabac, alcool et énergie)</w:t>
            </w:r>
          </w:p>
        </w:tc>
        <w:tc>
          <w:tcPr>
            <w:tcW w:w="1066" w:type="dxa"/>
            <w:tcBorders>
              <w:top w:val="nil"/>
              <w:left w:val="nil"/>
              <w:bottom w:val="single" w:sz="4" w:space="0" w:color="auto"/>
              <w:right w:val="single" w:sz="4" w:space="0" w:color="auto"/>
            </w:tcBorders>
            <w:shd w:val="clear" w:color="000000" w:fill="C6EFCE"/>
            <w:noWrap/>
            <w:vAlign w:val="center"/>
          </w:tcPr>
          <w:p w14:paraId="0548AFE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50915E8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Lutte contre le trafic de migrants – Feuille de route pour les décisions réglementaires</w:t>
            </w:r>
          </w:p>
        </w:tc>
      </w:tr>
      <w:tr w:rsidR="00A00259" w14:paraId="19703214"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14E7AAF5" w14:textId="77777777" w:rsidR="00A00259" w:rsidRDefault="00371282">
            <w:pPr>
              <w:pStyle w:val="P68B1DB1-Normal55"/>
              <w:keepNext/>
              <w:spacing w:before="40" w:after="0" w:line="259" w:lineRule="auto"/>
              <w:jc w:val="both"/>
              <w:rPr>
                <w:rFonts w:eastAsia="Times New Roman" w:cs="Times New Roman"/>
                <w:noProof/>
                <w:szCs w:val="18"/>
              </w:rPr>
            </w:pPr>
            <w:r>
              <w:rPr>
                <w:noProof/>
              </w:rPr>
              <w:t>201</w:t>
            </w:r>
          </w:p>
        </w:tc>
        <w:tc>
          <w:tcPr>
            <w:tcW w:w="5730" w:type="dxa"/>
            <w:tcBorders>
              <w:top w:val="nil"/>
              <w:left w:val="nil"/>
              <w:bottom w:val="single" w:sz="4" w:space="0" w:color="auto"/>
              <w:right w:val="single" w:sz="4" w:space="0" w:color="auto"/>
            </w:tcBorders>
            <w:shd w:val="clear" w:color="000000" w:fill="C6EFCE"/>
            <w:noWrap/>
            <w:vAlign w:val="center"/>
          </w:tcPr>
          <w:p w14:paraId="1696442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18 - 4.7. Améliorer la compétitivité et promouvoir les investissements privés et le commerce - 16598_Régime d'incitation à la productivité et à l'extraversion des entreprises (augmentation de la taille des entreprises)</w:t>
            </w:r>
          </w:p>
        </w:tc>
        <w:tc>
          <w:tcPr>
            <w:tcW w:w="1066" w:type="dxa"/>
            <w:tcBorders>
              <w:top w:val="nil"/>
              <w:left w:val="nil"/>
              <w:bottom w:val="single" w:sz="4" w:space="0" w:color="auto"/>
              <w:right w:val="single" w:sz="4" w:space="0" w:color="auto"/>
            </w:tcBorders>
            <w:shd w:val="clear" w:color="000000" w:fill="C6EFCE"/>
            <w:noWrap/>
            <w:vAlign w:val="center"/>
          </w:tcPr>
          <w:p w14:paraId="1DC1937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2643FDE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Législation visant à encourager l'extraversion des entreprises</w:t>
            </w:r>
          </w:p>
        </w:tc>
      </w:tr>
      <w:tr w:rsidR="00A00259" w14:paraId="489B1510"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003DF4B9" w14:textId="77777777" w:rsidR="00A00259" w:rsidRDefault="00371282">
            <w:pPr>
              <w:pStyle w:val="P68B1DB1-Normal55"/>
              <w:keepNext/>
              <w:spacing w:before="40" w:after="0" w:line="259" w:lineRule="auto"/>
              <w:jc w:val="both"/>
              <w:rPr>
                <w:rFonts w:eastAsia="Times New Roman" w:cs="Times New Roman"/>
                <w:noProof/>
                <w:szCs w:val="18"/>
              </w:rPr>
            </w:pPr>
            <w:r>
              <w:rPr>
                <w:noProof/>
              </w:rPr>
              <w:t>224</w:t>
            </w:r>
          </w:p>
        </w:tc>
        <w:tc>
          <w:tcPr>
            <w:tcW w:w="5730" w:type="dxa"/>
            <w:tcBorders>
              <w:top w:val="nil"/>
              <w:left w:val="nil"/>
              <w:bottom w:val="single" w:sz="4" w:space="0" w:color="auto"/>
              <w:right w:val="single" w:sz="4" w:space="0" w:color="auto"/>
            </w:tcBorders>
            <w:shd w:val="clear" w:color="000000" w:fill="C6EFCE"/>
            <w:noWrap/>
            <w:vAlign w:val="center"/>
          </w:tcPr>
          <w:p w14:paraId="63E20D4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14 - 4.3. «Améliorer l'efficacité du système judiciaire» - 16733_Compétences et compétences numériques des juges et du personnel judiciaire (personnel judiciaire)</w:t>
            </w:r>
          </w:p>
        </w:tc>
        <w:tc>
          <w:tcPr>
            <w:tcW w:w="1066" w:type="dxa"/>
            <w:tcBorders>
              <w:top w:val="nil"/>
              <w:left w:val="nil"/>
              <w:bottom w:val="single" w:sz="4" w:space="0" w:color="auto"/>
              <w:right w:val="single" w:sz="4" w:space="0" w:color="auto"/>
            </w:tcBorders>
            <w:shd w:val="clear" w:color="000000" w:fill="C6EFCE"/>
            <w:noWrap/>
            <w:vAlign w:val="center"/>
          </w:tcPr>
          <w:p w14:paraId="7225811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Objectif</w:t>
            </w:r>
          </w:p>
        </w:tc>
        <w:tc>
          <w:tcPr>
            <w:tcW w:w="2366" w:type="dxa"/>
            <w:tcBorders>
              <w:top w:val="nil"/>
              <w:left w:val="nil"/>
              <w:bottom w:val="single" w:sz="4" w:space="0" w:color="auto"/>
              <w:right w:val="single" w:sz="4" w:space="0" w:color="auto"/>
            </w:tcBorders>
            <w:shd w:val="clear" w:color="000000" w:fill="C6EFCE"/>
            <w:noWrap/>
            <w:vAlign w:val="center"/>
          </w:tcPr>
          <w:p w14:paraId="23D54A9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Formation – Juges et greffiers</w:t>
            </w:r>
          </w:p>
        </w:tc>
      </w:tr>
      <w:tr w:rsidR="00A00259" w14:paraId="04156F74"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0083E5FA" w14:textId="77777777" w:rsidR="00A00259" w:rsidRDefault="00371282">
            <w:pPr>
              <w:pStyle w:val="P68B1DB1-Normal55"/>
              <w:keepNext/>
              <w:spacing w:before="40" w:after="0" w:line="259" w:lineRule="auto"/>
              <w:jc w:val="both"/>
              <w:rPr>
                <w:rFonts w:eastAsia="Times New Roman" w:cs="Times New Roman"/>
                <w:noProof/>
                <w:szCs w:val="18"/>
              </w:rPr>
            </w:pPr>
            <w:r>
              <w:rPr>
                <w:noProof/>
              </w:rPr>
              <w:t>245</w:t>
            </w:r>
          </w:p>
        </w:tc>
        <w:tc>
          <w:tcPr>
            <w:tcW w:w="5730" w:type="dxa"/>
            <w:tcBorders>
              <w:top w:val="nil"/>
              <w:left w:val="nil"/>
              <w:bottom w:val="single" w:sz="4" w:space="0" w:color="auto"/>
              <w:right w:val="single" w:sz="4" w:space="0" w:color="auto"/>
            </w:tcBorders>
            <w:shd w:val="clear" w:color="000000" w:fill="C6EFCE"/>
            <w:noWrap/>
            <w:vAlign w:val="center"/>
          </w:tcPr>
          <w:p w14:paraId="5F1A4F2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16 - 4.5. Promouvoir la recherche et l'innovation - 16618_Basic &amp; Recherche appliquée</w:t>
            </w:r>
          </w:p>
        </w:tc>
        <w:tc>
          <w:tcPr>
            <w:tcW w:w="1066" w:type="dxa"/>
            <w:tcBorders>
              <w:top w:val="nil"/>
              <w:left w:val="nil"/>
              <w:bottom w:val="single" w:sz="4" w:space="0" w:color="auto"/>
              <w:right w:val="single" w:sz="4" w:space="0" w:color="auto"/>
            </w:tcBorders>
            <w:shd w:val="clear" w:color="000000" w:fill="C6EFCE"/>
            <w:noWrap/>
            <w:vAlign w:val="center"/>
          </w:tcPr>
          <w:p w14:paraId="0F5B993D"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481260B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Législation sur la recherche fondamentale &amp; appliquée</w:t>
            </w:r>
          </w:p>
        </w:tc>
      </w:tr>
      <w:tr w:rsidR="00A00259" w14:paraId="10AFBBAF"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45616B3D" w14:textId="77777777" w:rsidR="00A00259" w:rsidRDefault="00371282">
            <w:pPr>
              <w:pStyle w:val="P68B1DB1-Normal55"/>
              <w:keepNext/>
              <w:spacing w:before="40" w:after="0" w:line="259" w:lineRule="auto"/>
              <w:jc w:val="both"/>
              <w:rPr>
                <w:rFonts w:eastAsia="Times New Roman" w:cs="Times New Roman"/>
                <w:noProof/>
                <w:szCs w:val="18"/>
              </w:rPr>
            </w:pPr>
            <w:r>
              <w:rPr>
                <w:noProof/>
              </w:rPr>
              <w:t>246</w:t>
            </w:r>
          </w:p>
        </w:tc>
        <w:tc>
          <w:tcPr>
            <w:tcW w:w="5730" w:type="dxa"/>
            <w:tcBorders>
              <w:top w:val="nil"/>
              <w:left w:val="nil"/>
              <w:bottom w:val="single" w:sz="4" w:space="0" w:color="auto"/>
              <w:right w:val="single" w:sz="4" w:space="0" w:color="auto"/>
            </w:tcBorders>
            <w:shd w:val="clear" w:color="000000" w:fill="C6EFCE"/>
            <w:noWrap/>
            <w:vAlign w:val="center"/>
          </w:tcPr>
          <w:p w14:paraId="455BE28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16 - 4.5. Promouvoir la recherche et l'innovation - 16624_Création - Expansion - Mise à niveau des infrastructures des centres de recherche supervisée par le Secrétariat général à la recherche et à l'innovation (GSRI)</w:t>
            </w:r>
          </w:p>
        </w:tc>
        <w:tc>
          <w:tcPr>
            <w:tcW w:w="1066" w:type="dxa"/>
            <w:tcBorders>
              <w:top w:val="nil"/>
              <w:left w:val="nil"/>
              <w:bottom w:val="single" w:sz="4" w:space="0" w:color="auto"/>
              <w:right w:val="single" w:sz="4" w:space="0" w:color="auto"/>
            </w:tcBorders>
            <w:shd w:val="clear" w:color="000000" w:fill="C6EFCE"/>
            <w:noWrap/>
            <w:vAlign w:val="center"/>
          </w:tcPr>
          <w:p w14:paraId="710ED11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6078ADC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Appel à propositions pour les centres de recherche</w:t>
            </w:r>
          </w:p>
        </w:tc>
      </w:tr>
      <w:tr w:rsidR="00A00259" w14:paraId="37897172"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40BFDCE0" w14:textId="77777777" w:rsidR="00A00259" w:rsidRDefault="00371282">
            <w:pPr>
              <w:pStyle w:val="P68B1DB1-Normal55"/>
              <w:keepNext/>
              <w:spacing w:before="40" w:after="0" w:line="259" w:lineRule="auto"/>
              <w:jc w:val="both"/>
              <w:rPr>
                <w:rFonts w:eastAsia="Times New Roman" w:cs="Times New Roman"/>
                <w:noProof/>
                <w:szCs w:val="18"/>
              </w:rPr>
            </w:pPr>
            <w:r>
              <w:rPr>
                <w:noProof/>
              </w:rPr>
              <w:t>292</w:t>
            </w:r>
          </w:p>
        </w:tc>
        <w:tc>
          <w:tcPr>
            <w:tcW w:w="5730" w:type="dxa"/>
            <w:tcBorders>
              <w:top w:val="nil"/>
              <w:left w:val="nil"/>
              <w:bottom w:val="single" w:sz="4" w:space="0" w:color="auto"/>
              <w:right w:val="single" w:sz="4" w:space="0" w:color="auto"/>
            </w:tcBorders>
            <w:shd w:val="clear" w:color="000000" w:fill="C6EFCE"/>
            <w:noWrap/>
            <w:vAlign w:val="center"/>
          </w:tcPr>
          <w:p w14:paraId="1B894EF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- 16931_Tourisme Développement</w:t>
            </w:r>
          </w:p>
        </w:tc>
        <w:tc>
          <w:tcPr>
            <w:tcW w:w="1066" w:type="dxa"/>
            <w:tcBorders>
              <w:top w:val="nil"/>
              <w:left w:val="nil"/>
              <w:bottom w:val="single" w:sz="4" w:space="0" w:color="auto"/>
              <w:right w:val="single" w:sz="4" w:space="0" w:color="auto"/>
            </w:tcBorders>
            <w:shd w:val="clear" w:color="000000" w:fill="C6EFCE"/>
            <w:noWrap/>
            <w:vAlign w:val="center"/>
          </w:tcPr>
          <w:p w14:paraId="7DA778E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1CD5221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Développement touristique: Réformes pour les ports touristiques</w:t>
            </w:r>
          </w:p>
        </w:tc>
      </w:tr>
      <w:tr w:rsidR="00A00259" w14:paraId="6C9B8B28"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2ED1F8E2" w14:textId="77777777" w:rsidR="00A00259" w:rsidRDefault="00371282">
            <w:pPr>
              <w:pStyle w:val="P68B1DB1-Normal55"/>
              <w:keepNext/>
              <w:spacing w:before="40" w:after="0" w:line="259" w:lineRule="auto"/>
              <w:jc w:val="both"/>
              <w:rPr>
                <w:rFonts w:eastAsia="Times New Roman" w:cs="Times New Roman"/>
                <w:noProof/>
                <w:szCs w:val="18"/>
              </w:rPr>
            </w:pPr>
            <w:r>
              <w:rPr>
                <w:noProof/>
              </w:rPr>
              <w:t>300</w:t>
            </w:r>
          </w:p>
        </w:tc>
        <w:tc>
          <w:tcPr>
            <w:tcW w:w="5730" w:type="dxa"/>
            <w:tcBorders>
              <w:top w:val="nil"/>
              <w:left w:val="nil"/>
              <w:bottom w:val="single" w:sz="4" w:space="0" w:color="auto"/>
              <w:right w:val="single" w:sz="4" w:space="0" w:color="auto"/>
            </w:tcBorders>
            <w:shd w:val="clear" w:color="000000" w:fill="C6EFCE"/>
            <w:noWrap/>
            <w:vAlign w:val="center"/>
          </w:tcPr>
          <w:p w14:paraId="4845C11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- 16721_Accélération de la fabrication intelligente</w:t>
            </w:r>
          </w:p>
        </w:tc>
        <w:tc>
          <w:tcPr>
            <w:tcW w:w="1066" w:type="dxa"/>
            <w:tcBorders>
              <w:top w:val="nil"/>
              <w:left w:val="nil"/>
              <w:bottom w:val="single" w:sz="4" w:space="0" w:color="auto"/>
              <w:right w:val="single" w:sz="4" w:space="0" w:color="auto"/>
            </w:tcBorders>
            <w:shd w:val="clear" w:color="000000" w:fill="C6EFCE"/>
            <w:noWrap/>
            <w:vAlign w:val="center"/>
          </w:tcPr>
          <w:p w14:paraId="370DFBD4"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2E82D7B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Lancement d'appels à la fabrication</w:t>
            </w:r>
          </w:p>
        </w:tc>
      </w:tr>
      <w:tr w:rsidR="00A00259" w14:paraId="6EA17739"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26367664" w14:textId="77777777" w:rsidR="00A00259" w:rsidRDefault="00371282">
            <w:pPr>
              <w:pStyle w:val="P68B1DB1-Normal55"/>
              <w:keepNext/>
              <w:spacing w:before="40" w:after="0" w:line="259" w:lineRule="auto"/>
              <w:jc w:val="both"/>
              <w:rPr>
                <w:rFonts w:eastAsia="Times New Roman" w:cs="Times New Roman"/>
                <w:noProof/>
                <w:szCs w:val="18"/>
              </w:rPr>
            </w:pPr>
            <w:r>
              <w:rPr>
                <w:noProof/>
              </w:rPr>
              <w:t>301</w:t>
            </w:r>
          </w:p>
        </w:tc>
        <w:tc>
          <w:tcPr>
            <w:tcW w:w="5730" w:type="dxa"/>
            <w:tcBorders>
              <w:top w:val="nil"/>
              <w:left w:val="nil"/>
              <w:bottom w:val="single" w:sz="4" w:space="0" w:color="auto"/>
              <w:right w:val="single" w:sz="4" w:space="0" w:color="auto"/>
            </w:tcBorders>
            <w:shd w:val="clear" w:color="000000" w:fill="C6EFCE"/>
            <w:noWrap/>
            <w:vAlign w:val="center"/>
          </w:tcPr>
          <w:p w14:paraId="1268B3B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- 16634_Nouveaux parcs industriels</w:t>
            </w:r>
          </w:p>
        </w:tc>
        <w:tc>
          <w:tcPr>
            <w:tcW w:w="1066" w:type="dxa"/>
            <w:tcBorders>
              <w:top w:val="nil"/>
              <w:left w:val="nil"/>
              <w:bottom w:val="single" w:sz="4" w:space="0" w:color="auto"/>
              <w:right w:val="single" w:sz="4" w:space="0" w:color="auto"/>
            </w:tcBorders>
            <w:shd w:val="clear" w:color="000000" w:fill="C6EFCE"/>
            <w:noWrap/>
            <w:vAlign w:val="center"/>
          </w:tcPr>
          <w:p w14:paraId="55C3681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447C464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Lancement d'appels pour les parcs industriels</w:t>
            </w:r>
          </w:p>
        </w:tc>
      </w:tr>
      <w:tr w:rsidR="00A00259" w14:paraId="22FA48E3"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4367A697" w14:textId="77777777" w:rsidR="00A00259" w:rsidRDefault="00371282">
            <w:pPr>
              <w:pStyle w:val="P68B1DB1-Normal55"/>
              <w:keepNext/>
              <w:spacing w:before="40" w:after="0" w:line="259" w:lineRule="auto"/>
              <w:jc w:val="both"/>
              <w:rPr>
                <w:rFonts w:eastAsia="Times New Roman" w:cs="Times New Roman"/>
                <w:noProof/>
                <w:szCs w:val="18"/>
              </w:rPr>
            </w:pPr>
            <w:r>
              <w:rPr>
                <w:noProof/>
              </w:rPr>
              <w:t>310</w:t>
            </w:r>
          </w:p>
        </w:tc>
        <w:tc>
          <w:tcPr>
            <w:tcW w:w="5730" w:type="dxa"/>
            <w:tcBorders>
              <w:top w:val="nil"/>
              <w:left w:val="nil"/>
              <w:bottom w:val="single" w:sz="4" w:space="0" w:color="auto"/>
              <w:right w:val="single" w:sz="4" w:space="0" w:color="auto"/>
            </w:tcBorders>
            <w:shd w:val="clear" w:color="000000" w:fill="C6EFCE"/>
            <w:noWrap/>
            <w:vAlign w:val="center"/>
          </w:tcPr>
          <w:p w14:paraId="7A6EC37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- 16626_Transformation économique dans le secteur agricole</w:t>
            </w:r>
          </w:p>
        </w:tc>
        <w:tc>
          <w:tcPr>
            <w:tcW w:w="1066" w:type="dxa"/>
            <w:tcBorders>
              <w:top w:val="nil"/>
              <w:left w:val="nil"/>
              <w:bottom w:val="single" w:sz="4" w:space="0" w:color="auto"/>
              <w:right w:val="single" w:sz="4" w:space="0" w:color="auto"/>
            </w:tcBorders>
            <w:shd w:val="clear" w:color="000000" w:fill="C6EFCE"/>
            <w:noWrap/>
            <w:vAlign w:val="center"/>
          </w:tcPr>
          <w:p w14:paraId="064CEF64"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5088964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Transformation économique de l'agriculture: Lancement du programme</w:t>
            </w:r>
          </w:p>
        </w:tc>
      </w:tr>
      <w:tr w:rsidR="00A00259" w14:paraId="11885686"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76CAE22F" w14:textId="77777777" w:rsidR="00A00259" w:rsidRDefault="00371282">
            <w:pPr>
              <w:pStyle w:val="P68B1DB1-Normal55"/>
              <w:keepNext/>
              <w:spacing w:before="40" w:after="0" w:line="259" w:lineRule="auto"/>
              <w:jc w:val="both"/>
              <w:rPr>
                <w:rFonts w:eastAsia="Times New Roman" w:cs="Times New Roman"/>
                <w:noProof/>
                <w:szCs w:val="18"/>
              </w:rPr>
            </w:pPr>
            <w:r>
              <w:rPr>
                <w:noProof/>
              </w:rPr>
              <w:t>4</w:t>
            </w:r>
          </w:p>
        </w:tc>
        <w:tc>
          <w:tcPr>
            <w:tcW w:w="5730" w:type="dxa"/>
            <w:tcBorders>
              <w:top w:val="nil"/>
              <w:left w:val="nil"/>
              <w:bottom w:val="single" w:sz="4" w:space="0" w:color="auto"/>
              <w:right w:val="single" w:sz="4" w:space="0" w:color="auto"/>
            </w:tcBorders>
            <w:shd w:val="clear" w:color="000000" w:fill="C6EFCE"/>
            <w:noWrap/>
            <w:vAlign w:val="center"/>
          </w:tcPr>
          <w:p w14:paraId="60542E5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1 - 1.1. 16865_Restructuration et amélioration des revenus du compte de cogénération SER</w:t>
            </w:r>
          </w:p>
        </w:tc>
        <w:tc>
          <w:tcPr>
            <w:tcW w:w="1066" w:type="dxa"/>
            <w:tcBorders>
              <w:top w:val="nil"/>
              <w:left w:val="nil"/>
              <w:bottom w:val="single" w:sz="4" w:space="0" w:color="auto"/>
              <w:right w:val="single" w:sz="4" w:space="0" w:color="auto"/>
            </w:tcBorders>
            <w:shd w:val="clear" w:color="000000" w:fill="C6EFCE"/>
            <w:noWrap/>
            <w:vAlign w:val="center"/>
          </w:tcPr>
          <w:p w14:paraId="1882B6D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69AC496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Compte SER — législation modifiant la loi L. 4001/2011; l’entrée en vigueur de toutes les décisions pertinentes, y compris les codes, par les ministères, par l’autorité nationale de régulation (RAE) et par l’administrateur des sources d’énergie renouvelables et des garanties d’origine (DAPEEP).</w:t>
            </w:r>
          </w:p>
        </w:tc>
      </w:tr>
      <w:tr w:rsidR="00A00259" w14:paraId="15077B5C"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366C1A50" w14:textId="77777777" w:rsidR="00A00259" w:rsidRDefault="00371282">
            <w:pPr>
              <w:pStyle w:val="P68B1DB1-Normal55"/>
              <w:keepNext/>
              <w:spacing w:before="40" w:after="0" w:line="259" w:lineRule="auto"/>
              <w:jc w:val="both"/>
              <w:rPr>
                <w:rFonts w:eastAsia="Times New Roman" w:cs="Times New Roman"/>
                <w:noProof/>
                <w:szCs w:val="18"/>
              </w:rPr>
            </w:pPr>
            <w:r>
              <w:rPr>
                <w:noProof/>
              </w:rPr>
              <w:t>5</w:t>
            </w:r>
          </w:p>
        </w:tc>
        <w:tc>
          <w:tcPr>
            <w:tcW w:w="5730" w:type="dxa"/>
            <w:tcBorders>
              <w:top w:val="nil"/>
              <w:left w:val="nil"/>
              <w:bottom w:val="single" w:sz="4" w:space="0" w:color="auto"/>
              <w:right w:val="single" w:sz="4" w:space="0" w:color="auto"/>
            </w:tcBorders>
            <w:shd w:val="clear" w:color="000000" w:fill="C6EFCE"/>
            <w:noWrap/>
            <w:vAlign w:val="center"/>
          </w:tcPr>
          <w:p w14:paraId="6C3A3B6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1 - 1.1. 16860_Streamline l'exploitation efficace du nouveau modèle de marché de l'électricité et le développement de nouvelles centrales SER pour atteindre les objectifs du PNEC grâce à la mise en œuvre d'un mécanisme de suivi, à la participation active de la demande et à une réforme en profondeur de la procédure d'autorisation pour les nouvelles SER</w:t>
            </w:r>
          </w:p>
        </w:tc>
        <w:tc>
          <w:tcPr>
            <w:tcW w:w="1066" w:type="dxa"/>
            <w:tcBorders>
              <w:top w:val="nil"/>
              <w:left w:val="nil"/>
              <w:bottom w:val="single" w:sz="4" w:space="0" w:color="auto"/>
              <w:right w:val="single" w:sz="4" w:space="0" w:color="auto"/>
            </w:tcBorders>
            <w:shd w:val="clear" w:color="000000" w:fill="C6EFCE"/>
            <w:noWrap/>
            <w:vAlign w:val="center"/>
          </w:tcPr>
          <w:p w14:paraId="11062ED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3540E114"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Compte SER — réformes du marché et simplification de l’octroi de licences</w:t>
            </w:r>
          </w:p>
        </w:tc>
      </w:tr>
      <w:tr w:rsidR="00A00259" w14:paraId="525C7267"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5B1429A6" w14:textId="77777777" w:rsidR="00A00259" w:rsidRDefault="00371282">
            <w:pPr>
              <w:pStyle w:val="P68B1DB1-Normal55"/>
              <w:keepNext/>
              <w:spacing w:before="40" w:after="0" w:line="259" w:lineRule="auto"/>
              <w:jc w:val="both"/>
              <w:rPr>
                <w:rFonts w:eastAsia="Times New Roman" w:cs="Times New Roman"/>
                <w:noProof/>
                <w:szCs w:val="18"/>
              </w:rPr>
            </w:pPr>
            <w:r>
              <w:rPr>
                <w:noProof/>
              </w:rPr>
              <w:t>138</w:t>
            </w:r>
          </w:p>
        </w:tc>
        <w:tc>
          <w:tcPr>
            <w:tcW w:w="5730" w:type="dxa"/>
            <w:tcBorders>
              <w:top w:val="nil"/>
              <w:left w:val="nil"/>
              <w:bottom w:val="single" w:sz="4" w:space="0" w:color="auto"/>
              <w:right w:val="single" w:sz="4" w:space="0" w:color="auto"/>
            </w:tcBorders>
            <w:shd w:val="clear" w:color="000000" w:fill="C6EFCE"/>
            <w:noWrap/>
            <w:vAlign w:val="center"/>
          </w:tcPr>
          <w:p w14:paraId="2F8EAC1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9 - 3.2. Éducation, enseignement et formation professionnels et compétences - 16913_Une nouvelle stratégie pour la formation tout au long de la vie: Moderniser et moderniser le système grec de perfectionnement et de reconversion professionnels</w:t>
            </w:r>
          </w:p>
        </w:tc>
        <w:tc>
          <w:tcPr>
            <w:tcW w:w="1066" w:type="dxa"/>
            <w:tcBorders>
              <w:top w:val="nil"/>
              <w:left w:val="nil"/>
              <w:bottom w:val="single" w:sz="4" w:space="0" w:color="auto"/>
              <w:right w:val="single" w:sz="4" w:space="0" w:color="auto"/>
            </w:tcBorders>
            <w:shd w:val="clear" w:color="000000" w:fill="C6EFCE"/>
            <w:noWrap/>
            <w:vAlign w:val="center"/>
          </w:tcPr>
          <w:p w14:paraId="0F6D69B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737E610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Entrée en vigueur de la législation relative à la stratégie d'éducation et de formation tout au long de la vie</w:t>
            </w:r>
          </w:p>
        </w:tc>
      </w:tr>
      <w:tr w:rsidR="00A00259" w14:paraId="7949353C"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3F9DA9D1" w14:textId="77777777" w:rsidR="00A00259" w:rsidRDefault="00371282">
            <w:pPr>
              <w:pStyle w:val="P68B1DB1-Normal55"/>
              <w:keepNext/>
              <w:spacing w:before="40" w:after="0" w:line="259" w:lineRule="auto"/>
              <w:jc w:val="both"/>
              <w:rPr>
                <w:rFonts w:eastAsia="Times New Roman" w:cs="Times New Roman"/>
                <w:noProof/>
                <w:szCs w:val="18"/>
              </w:rPr>
            </w:pPr>
            <w:r>
              <w:rPr>
                <w:noProof/>
              </w:rPr>
              <w:t>202</w:t>
            </w:r>
          </w:p>
        </w:tc>
        <w:tc>
          <w:tcPr>
            <w:tcW w:w="5730" w:type="dxa"/>
            <w:tcBorders>
              <w:top w:val="nil"/>
              <w:left w:val="nil"/>
              <w:bottom w:val="single" w:sz="4" w:space="0" w:color="auto"/>
              <w:right w:val="single" w:sz="4" w:space="0" w:color="auto"/>
            </w:tcBorders>
            <w:shd w:val="clear" w:color="000000" w:fill="C6EFCE"/>
            <w:noWrap/>
            <w:vAlign w:val="center"/>
          </w:tcPr>
          <w:p w14:paraId="1E888CF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 xml:space="preserve"> 4.1. Rendre les impôts plus propices à la croissance et améliorer l'administration fiscale et la perception des impôts - 16643_Codification et simplification de la législation fiscale</w:t>
            </w:r>
          </w:p>
        </w:tc>
        <w:tc>
          <w:tcPr>
            <w:tcW w:w="1066" w:type="dxa"/>
            <w:tcBorders>
              <w:top w:val="nil"/>
              <w:left w:val="nil"/>
              <w:bottom w:val="single" w:sz="4" w:space="0" w:color="auto"/>
              <w:right w:val="single" w:sz="4" w:space="0" w:color="auto"/>
            </w:tcBorders>
            <w:shd w:val="clear" w:color="000000" w:fill="C6EFCE"/>
            <w:noWrap/>
            <w:vAlign w:val="center"/>
          </w:tcPr>
          <w:p w14:paraId="7793E77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0023D25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Renforcement des capacités en matière de codification fiscale</w:t>
            </w:r>
          </w:p>
        </w:tc>
      </w:tr>
      <w:tr w:rsidR="00A00259" w14:paraId="1BBE14BF"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088C32A4" w14:textId="77777777" w:rsidR="00A00259" w:rsidRDefault="00371282">
            <w:pPr>
              <w:pStyle w:val="P68B1DB1-Normal55"/>
              <w:keepNext/>
              <w:spacing w:before="40" w:after="0" w:line="259" w:lineRule="auto"/>
              <w:jc w:val="both"/>
              <w:rPr>
                <w:rFonts w:eastAsia="Times New Roman" w:cs="Times New Roman"/>
                <w:noProof/>
                <w:szCs w:val="18"/>
              </w:rPr>
            </w:pPr>
            <w:r>
              <w:rPr>
                <w:noProof/>
              </w:rPr>
              <w:t>205</w:t>
            </w:r>
          </w:p>
        </w:tc>
        <w:tc>
          <w:tcPr>
            <w:tcW w:w="5730" w:type="dxa"/>
            <w:tcBorders>
              <w:top w:val="nil"/>
              <w:left w:val="nil"/>
              <w:bottom w:val="single" w:sz="4" w:space="0" w:color="auto"/>
              <w:right w:val="single" w:sz="4" w:space="0" w:color="auto"/>
            </w:tcBorders>
            <w:shd w:val="clear" w:color="000000" w:fill="C6EFCE"/>
            <w:noWrap/>
            <w:vAlign w:val="center"/>
          </w:tcPr>
          <w:p w14:paraId="057F786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- 16972_Reforming Public Administration</w:t>
            </w:r>
          </w:p>
        </w:tc>
        <w:tc>
          <w:tcPr>
            <w:tcW w:w="1066" w:type="dxa"/>
            <w:tcBorders>
              <w:top w:val="nil"/>
              <w:left w:val="nil"/>
              <w:bottom w:val="single" w:sz="4" w:space="0" w:color="auto"/>
              <w:right w:val="single" w:sz="4" w:space="0" w:color="auto"/>
            </w:tcBorders>
            <w:shd w:val="clear" w:color="000000" w:fill="C6EFCE"/>
            <w:noWrap/>
            <w:vAlign w:val="center"/>
          </w:tcPr>
          <w:p w14:paraId="063AAB1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13C2302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Administration publique – lancement du système de rémunération à la performance</w:t>
            </w:r>
          </w:p>
        </w:tc>
      </w:tr>
      <w:tr w:rsidR="00A00259" w14:paraId="3E02A66B"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662EAF49" w14:textId="77777777" w:rsidR="00A00259" w:rsidRDefault="00371282">
            <w:pPr>
              <w:pStyle w:val="P68B1DB1-Normal55"/>
              <w:keepNext/>
              <w:spacing w:before="40" w:after="0" w:line="259" w:lineRule="auto"/>
              <w:jc w:val="both"/>
              <w:rPr>
                <w:rFonts w:eastAsia="Times New Roman" w:cs="Times New Roman"/>
                <w:noProof/>
                <w:szCs w:val="18"/>
              </w:rPr>
            </w:pPr>
            <w:r>
              <w:rPr>
                <w:noProof/>
              </w:rPr>
              <w:t>254</w:t>
            </w:r>
          </w:p>
        </w:tc>
        <w:tc>
          <w:tcPr>
            <w:tcW w:w="5730" w:type="dxa"/>
            <w:tcBorders>
              <w:top w:val="nil"/>
              <w:left w:val="nil"/>
              <w:bottom w:val="single" w:sz="4" w:space="0" w:color="auto"/>
              <w:right w:val="single" w:sz="4" w:space="0" w:color="auto"/>
            </w:tcBorders>
            <w:shd w:val="clear" w:color="000000" w:fill="C6EFCE"/>
            <w:noWrap/>
            <w:vAlign w:val="center"/>
          </w:tcPr>
          <w:p w14:paraId="280783C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- 16628_Grèce centrale Autoroute E-65: Section Trikala-Egnatia</w:t>
            </w:r>
          </w:p>
        </w:tc>
        <w:tc>
          <w:tcPr>
            <w:tcW w:w="1066" w:type="dxa"/>
            <w:tcBorders>
              <w:top w:val="nil"/>
              <w:left w:val="nil"/>
              <w:bottom w:val="single" w:sz="4" w:space="0" w:color="auto"/>
              <w:right w:val="single" w:sz="4" w:space="0" w:color="auto"/>
            </w:tcBorders>
            <w:shd w:val="clear" w:color="000000" w:fill="C6EFCE"/>
            <w:noWrap/>
            <w:vAlign w:val="center"/>
          </w:tcPr>
          <w:p w14:paraId="435801C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nil"/>
              <w:left w:val="nil"/>
              <w:bottom w:val="single" w:sz="4" w:space="0" w:color="auto"/>
              <w:right w:val="single" w:sz="4" w:space="0" w:color="auto"/>
            </w:tcBorders>
            <w:shd w:val="clear" w:color="000000" w:fill="C6EFCE"/>
            <w:noWrap/>
            <w:vAlign w:val="center"/>
          </w:tcPr>
          <w:p w14:paraId="2247F80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Début des travaux de construction dans l'E-65</w:t>
            </w:r>
          </w:p>
        </w:tc>
      </w:tr>
      <w:tr w:rsidR="00A00259" w14:paraId="3C969992" w14:textId="77777777">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06B71F1B" w14:textId="77777777" w:rsidR="00A00259" w:rsidRDefault="00371282">
            <w:pPr>
              <w:pStyle w:val="P68B1DB1-Normal55"/>
              <w:keepNext/>
              <w:spacing w:before="40" w:after="0" w:line="259" w:lineRule="auto"/>
              <w:jc w:val="both"/>
              <w:rPr>
                <w:rFonts w:eastAsia="Times New Roman" w:cs="Times New Roman"/>
                <w:noProof/>
                <w:szCs w:val="18"/>
              </w:rPr>
            </w:pPr>
            <w:r>
              <w:rPr>
                <w:noProof/>
              </w:rPr>
              <w:t>264</w:t>
            </w:r>
          </w:p>
        </w:tc>
        <w:tc>
          <w:tcPr>
            <w:tcW w:w="5730" w:type="dxa"/>
            <w:tcBorders>
              <w:top w:val="single" w:sz="4" w:space="0" w:color="auto"/>
              <w:left w:val="nil"/>
              <w:bottom w:val="single" w:sz="4" w:space="0" w:color="auto"/>
              <w:right w:val="single" w:sz="4" w:space="0" w:color="auto"/>
            </w:tcBorders>
            <w:shd w:val="clear" w:color="000000" w:fill="C6EFCE"/>
            <w:noWrap/>
            <w:vAlign w:val="center"/>
          </w:tcPr>
          <w:p w14:paraId="3A31062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- 16982_Réforme organisationnelle dans le secteur ferroviaire</w:t>
            </w:r>
          </w:p>
        </w:tc>
        <w:tc>
          <w:tcPr>
            <w:tcW w:w="1066" w:type="dxa"/>
            <w:tcBorders>
              <w:top w:val="single" w:sz="4" w:space="0" w:color="auto"/>
              <w:left w:val="nil"/>
              <w:bottom w:val="single" w:sz="4" w:space="0" w:color="auto"/>
              <w:right w:val="single" w:sz="4" w:space="0" w:color="auto"/>
            </w:tcBorders>
            <w:shd w:val="clear" w:color="000000" w:fill="C6EFCE"/>
            <w:noWrap/>
            <w:vAlign w:val="center"/>
          </w:tcPr>
          <w:p w14:paraId="05C6F57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366" w:type="dxa"/>
            <w:tcBorders>
              <w:top w:val="single" w:sz="4" w:space="0" w:color="auto"/>
              <w:left w:val="nil"/>
              <w:bottom w:val="single" w:sz="4" w:space="0" w:color="auto"/>
              <w:right w:val="single" w:sz="4" w:space="0" w:color="auto"/>
            </w:tcBorders>
            <w:shd w:val="clear" w:color="000000" w:fill="C6EFCE"/>
            <w:noWrap/>
            <w:vAlign w:val="center"/>
          </w:tcPr>
          <w:p w14:paraId="3CC3BF8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Loi sur la réforme des chemins de fer</w:t>
            </w:r>
          </w:p>
        </w:tc>
      </w:tr>
      <w:tr w:rsidR="00A00259" w14:paraId="52974D9A" w14:textId="77777777">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88E4A7B"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573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5CC45BA" w14:textId="77777777" w:rsidR="00A00259" w:rsidRDefault="00A00259">
            <w:pPr>
              <w:keepNext/>
              <w:spacing w:before="40" w:after="0" w:line="240" w:lineRule="auto"/>
              <w:jc w:val="both"/>
              <w:rPr>
                <w:rFonts w:ascii="Times New Roman" w:eastAsia="Times New Roman" w:hAnsi="Times New Roman" w:cs="Times New Roman"/>
                <w:bCs/>
                <w:noProof/>
                <w:sz w:val="18"/>
                <w:szCs w:val="18"/>
              </w:rPr>
            </w:pPr>
          </w:p>
        </w:tc>
        <w:tc>
          <w:tcPr>
            <w:tcW w:w="1066"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89B998F" w14:textId="77777777" w:rsidR="00A00259" w:rsidRDefault="00371282">
            <w:pPr>
              <w:pStyle w:val="P68B1DB1-Normal55"/>
              <w:keepNext/>
              <w:spacing w:before="40" w:after="0" w:line="240" w:lineRule="auto"/>
              <w:jc w:val="both"/>
              <w:rPr>
                <w:rFonts w:eastAsia="Times New Roman" w:cs="Times New Roman"/>
                <w:noProof/>
                <w:szCs w:val="18"/>
              </w:rPr>
            </w:pPr>
            <w:r>
              <w:rPr>
                <w:noProof/>
              </w:rPr>
              <w:t>Montant des acomptes provisionnels</w:t>
            </w:r>
          </w:p>
        </w:tc>
        <w:tc>
          <w:tcPr>
            <w:tcW w:w="2366"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45EC423" w14:textId="77777777" w:rsidR="00A00259" w:rsidRDefault="00371282">
            <w:pPr>
              <w:pStyle w:val="P68B1DB1-Normal55"/>
              <w:keepNext/>
              <w:spacing w:before="40" w:after="0" w:line="240" w:lineRule="auto"/>
              <w:jc w:val="both"/>
              <w:rPr>
                <w:rFonts w:eastAsia="Times New Roman" w:cs="Times New Roman"/>
                <w:noProof/>
                <w:szCs w:val="18"/>
              </w:rPr>
            </w:pPr>
            <w:r>
              <w:rPr>
                <w:noProof/>
              </w:rPr>
              <w:t>1 974 438 067 EUR</w:t>
            </w:r>
          </w:p>
        </w:tc>
      </w:tr>
    </w:tbl>
    <w:p w14:paraId="1188F373" w14:textId="77777777" w:rsidR="00A00259" w:rsidRDefault="00A00259">
      <w:pPr>
        <w:keepNext/>
        <w:numPr>
          <w:ilvl w:val="1"/>
          <w:numId w:val="93"/>
        </w:numPr>
        <w:spacing w:before="40" w:after="160" w:line="259" w:lineRule="auto"/>
        <w:ind w:left="0"/>
        <w:contextualSpacing/>
        <w:jc w:val="both"/>
        <w:rPr>
          <w:rFonts w:ascii="Times New Roman" w:hAnsi="Times New Roman"/>
          <w:noProof/>
          <w:sz w:val="24"/>
        </w:rPr>
        <w:sectPr w:rsidR="00A00259">
          <w:headerReference w:type="even" r:id="rId432"/>
          <w:headerReference w:type="default" r:id="rId433"/>
          <w:footerReference w:type="even" r:id="rId434"/>
          <w:footerReference w:type="default" r:id="rId435"/>
          <w:headerReference w:type="first" r:id="rId436"/>
          <w:footerReference w:type="first" r:id="rId437"/>
          <w:pgSz w:w="11906" w:h="16838"/>
          <w:pgMar w:top="1134" w:right="1134" w:bottom="1134" w:left="1134" w:header="567" w:footer="567" w:gutter="0"/>
          <w:cols w:space="708"/>
          <w:docGrid w:linePitch="360"/>
        </w:sectPr>
      </w:pPr>
    </w:p>
    <w:p w14:paraId="4DF048D6" w14:textId="77777777" w:rsidR="00A00259" w:rsidRDefault="00371282">
      <w:pPr>
        <w:pStyle w:val="P68B1DB1-Normal5"/>
        <w:keepNext/>
        <w:numPr>
          <w:ilvl w:val="1"/>
          <w:numId w:val="93"/>
        </w:numPr>
        <w:spacing w:before="40" w:after="160" w:line="259" w:lineRule="auto"/>
        <w:ind w:left="0"/>
        <w:contextualSpacing/>
        <w:jc w:val="both"/>
        <w:rPr>
          <w:noProof/>
        </w:rPr>
      </w:pPr>
      <w:r>
        <w:rPr>
          <w:noProof/>
        </w:rPr>
        <w:t xml:space="preserve"> Troisième demande de paiement (soutien non remboursable):</w:t>
      </w:r>
    </w:p>
    <w:p w14:paraId="16270D37" w14:textId="77777777" w:rsidR="00A00259" w:rsidRDefault="00A00259">
      <w:pPr>
        <w:keepNext/>
        <w:spacing w:before="40" w:after="160" w:line="259" w:lineRule="auto"/>
        <w:contextualSpacing/>
        <w:jc w:val="both"/>
        <w:rPr>
          <w:rFonts w:ascii="Times New Roman" w:hAnsi="Times New Roman"/>
          <w:noProof/>
          <w:sz w:val="24"/>
        </w:rPr>
      </w:pPr>
    </w:p>
    <w:tbl>
      <w:tblPr>
        <w:tblW w:w="9624" w:type="dxa"/>
        <w:jc w:val="center"/>
        <w:tblLook w:val="04A0" w:firstRow="1" w:lastRow="0" w:firstColumn="1" w:lastColumn="0" w:noHBand="0" w:noVBand="1"/>
      </w:tblPr>
      <w:tblGrid>
        <w:gridCol w:w="582"/>
        <w:gridCol w:w="4838"/>
        <w:gridCol w:w="1186"/>
        <w:gridCol w:w="3110"/>
      </w:tblGrid>
      <w:tr w:rsidR="00A00259" w14:paraId="2C3F2AC5" w14:textId="77777777">
        <w:trPr>
          <w:trHeight w:val="906"/>
          <w:tblHeader/>
          <w:jc w:val="center"/>
        </w:trPr>
        <w:tc>
          <w:tcPr>
            <w:tcW w:w="5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32B7CA" w14:textId="77777777" w:rsidR="00A00259" w:rsidRDefault="00371282">
            <w:pPr>
              <w:pStyle w:val="P68B1DB1-Normal15"/>
              <w:keepNext/>
              <w:spacing w:before="40" w:after="0" w:line="259" w:lineRule="auto"/>
              <w:jc w:val="center"/>
              <w:rPr>
                <w:rFonts w:eastAsia="Times New Roman"/>
                <w:bCs/>
                <w:noProof/>
              </w:rPr>
            </w:pPr>
            <w:r>
              <w:rPr>
                <w:noProof/>
              </w:rPr>
              <w:t xml:space="preserve">Seq. </w:t>
            </w:r>
            <w:r>
              <w:rPr>
                <w:noProof/>
              </w:rPr>
              <w:br/>
              <w:t>Non.</w:t>
            </w:r>
          </w:p>
        </w:tc>
        <w:tc>
          <w:tcPr>
            <w:tcW w:w="48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BC1C527"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B56446"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Étape/cible</w:t>
            </w:r>
          </w:p>
        </w:tc>
        <w:tc>
          <w:tcPr>
            <w:tcW w:w="3110" w:type="dxa"/>
            <w:vMerge w:val="restart"/>
            <w:tcBorders>
              <w:top w:val="single" w:sz="4" w:space="0" w:color="auto"/>
              <w:left w:val="nil"/>
              <w:bottom w:val="single" w:sz="4" w:space="0" w:color="auto"/>
              <w:right w:val="single" w:sz="4" w:space="0" w:color="auto"/>
            </w:tcBorders>
            <w:shd w:val="clear" w:color="auto" w:fill="BDD7EE"/>
            <w:vAlign w:val="center"/>
            <w:hideMark/>
          </w:tcPr>
          <w:p w14:paraId="70D4BC0D"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Nom</w:t>
            </w:r>
          </w:p>
        </w:tc>
      </w:tr>
      <w:tr w:rsidR="00A00259" w14:paraId="32058344" w14:textId="77777777">
        <w:trPr>
          <w:trHeight w:val="269"/>
          <w:jc w:val="center"/>
        </w:trPr>
        <w:tc>
          <w:tcPr>
            <w:tcW w:w="542" w:type="dxa"/>
            <w:vMerge/>
            <w:tcBorders>
              <w:top w:val="single" w:sz="4" w:space="0" w:color="auto"/>
              <w:left w:val="single" w:sz="4" w:space="0" w:color="auto"/>
              <w:bottom w:val="single" w:sz="4" w:space="0" w:color="auto"/>
              <w:right w:val="single" w:sz="4" w:space="0" w:color="auto"/>
            </w:tcBorders>
            <w:vAlign w:val="center"/>
            <w:hideMark/>
          </w:tcPr>
          <w:p w14:paraId="0E589EB6"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4838" w:type="dxa"/>
            <w:vMerge/>
            <w:tcBorders>
              <w:top w:val="single" w:sz="4" w:space="0" w:color="auto"/>
              <w:left w:val="single" w:sz="4" w:space="0" w:color="auto"/>
              <w:bottom w:val="single" w:sz="4" w:space="0" w:color="auto"/>
              <w:right w:val="single" w:sz="4" w:space="0" w:color="auto"/>
            </w:tcBorders>
            <w:vAlign w:val="center"/>
            <w:hideMark/>
          </w:tcPr>
          <w:p w14:paraId="78CD691B"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B462B77"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3110" w:type="dxa"/>
            <w:vMerge/>
            <w:tcBorders>
              <w:top w:val="single" w:sz="4" w:space="0" w:color="auto"/>
              <w:left w:val="single" w:sz="4" w:space="0" w:color="auto"/>
              <w:bottom w:val="single" w:sz="4" w:space="0" w:color="auto"/>
              <w:right w:val="single" w:sz="4" w:space="0" w:color="auto"/>
            </w:tcBorders>
            <w:vAlign w:val="center"/>
            <w:hideMark/>
          </w:tcPr>
          <w:p w14:paraId="4DFE5B68"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r>
      <w:tr w:rsidR="00A00259" w14:paraId="2D4AE625" w14:textId="77777777">
        <w:trPr>
          <w:trHeight w:val="302"/>
          <w:jc w:val="center"/>
        </w:trPr>
        <w:tc>
          <w:tcPr>
            <w:tcW w:w="54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89A36B" w14:textId="77777777" w:rsidR="00A00259" w:rsidRDefault="00371282">
            <w:pPr>
              <w:pStyle w:val="P68B1DB1-Normal55"/>
              <w:keepNext/>
              <w:spacing w:before="40" w:after="0" w:line="240" w:lineRule="auto"/>
              <w:jc w:val="both"/>
              <w:rPr>
                <w:rFonts w:eastAsia="Times New Roman" w:cs="Times New Roman"/>
                <w:noProof/>
                <w:szCs w:val="18"/>
              </w:rPr>
            </w:pPr>
            <w:r>
              <w:rPr>
                <w:noProof/>
              </w:rPr>
              <w:t>21</w:t>
            </w:r>
          </w:p>
        </w:tc>
        <w:tc>
          <w:tcPr>
            <w:tcW w:w="4838" w:type="dxa"/>
            <w:tcBorders>
              <w:top w:val="single" w:sz="4" w:space="0" w:color="auto"/>
              <w:left w:val="nil"/>
              <w:bottom w:val="single" w:sz="4" w:space="0" w:color="auto"/>
              <w:right w:val="single" w:sz="4" w:space="0" w:color="auto"/>
            </w:tcBorders>
            <w:shd w:val="clear" w:color="auto" w:fill="C6EFCE"/>
            <w:noWrap/>
            <w:vAlign w:val="center"/>
          </w:tcPr>
          <w:p w14:paraId="734EFFE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2 - 1.2. Rénovation - 16872_Rénovation énergétique des bâtiments résidentiels</w:t>
            </w: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38BD594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3110" w:type="dxa"/>
            <w:tcBorders>
              <w:top w:val="single" w:sz="4" w:space="0" w:color="auto"/>
              <w:left w:val="nil"/>
              <w:bottom w:val="single" w:sz="4" w:space="0" w:color="auto"/>
              <w:right w:val="single" w:sz="4" w:space="0" w:color="auto"/>
            </w:tcBorders>
            <w:shd w:val="clear" w:color="auto" w:fill="C6EFCE"/>
            <w:noWrap/>
            <w:vAlign w:val="center"/>
          </w:tcPr>
          <w:p w14:paraId="5316D08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Rénovation résidentielle – lancement du 2e cycle incluant les ménages en situation de précarité énergétique</w:t>
            </w:r>
          </w:p>
        </w:tc>
      </w:tr>
      <w:tr w:rsidR="00A00259" w14:paraId="641635BD"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2D6BF322" w14:textId="77777777" w:rsidR="00A00259" w:rsidRDefault="00371282">
            <w:pPr>
              <w:pStyle w:val="P68B1DB1-Normal55"/>
              <w:keepNext/>
              <w:spacing w:before="40" w:after="0" w:line="240" w:lineRule="auto"/>
              <w:jc w:val="both"/>
              <w:rPr>
                <w:rFonts w:eastAsia="Times New Roman" w:cs="Times New Roman"/>
                <w:noProof/>
                <w:szCs w:val="18"/>
              </w:rPr>
            </w:pPr>
            <w:r>
              <w:rPr>
                <w:noProof/>
              </w:rPr>
              <w:t>45</w:t>
            </w:r>
          </w:p>
        </w:tc>
        <w:tc>
          <w:tcPr>
            <w:tcW w:w="4838" w:type="dxa"/>
            <w:tcBorders>
              <w:top w:val="nil"/>
              <w:left w:val="nil"/>
              <w:bottom w:val="single" w:sz="4" w:space="0" w:color="auto"/>
              <w:right w:val="single" w:sz="4" w:space="0" w:color="auto"/>
            </w:tcBorders>
            <w:shd w:val="clear" w:color="auto" w:fill="C6EFCE"/>
            <w:noWrap/>
            <w:vAlign w:val="center"/>
          </w:tcPr>
          <w:p w14:paraId="215B231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3 – 1.3. Recharge et ravitaillement - 16924_ Electromobility</w:t>
            </w:r>
          </w:p>
        </w:tc>
        <w:tc>
          <w:tcPr>
            <w:tcW w:w="1134" w:type="dxa"/>
            <w:tcBorders>
              <w:top w:val="nil"/>
              <w:left w:val="nil"/>
              <w:bottom w:val="single" w:sz="4" w:space="0" w:color="auto"/>
              <w:right w:val="single" w:sz="4" w:space="0" w:color="auto"/>
            </w:tcBorders>
            <w:shd w:val="clear" w:color="auto" w:fill="C6EFCE"/>
            <w:noWrap/>
            <w:vAlign w:val="center"/>
          </w:tcPr>
          <w:p w14:paraId="405DE4A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6D189B9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Transports publics – mise en œuvre d’une nouvelle réglementation du marché pour les obligations de service public (autobus)</w:t>
            </w:r>
          </w:p>
        </w:tc>
      </w:tr>
      <w:tr w:rsidR="00A00259" w14:paraId="25481D41"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431888EC" w14:textId="77777777" w:rsidR="00A00259" w:rsidRDefault="00371282">
            <w:pPr>
              <w:pStyle w:val="P68B1DB1-Normal55"/>
              <w:keepNext/>
              <w:spacing w:before="40" w:after="0" w:line="240" w:lineRule="auto"/>
              <w:jc w:val="both"/>
              <w:rPr>
                <w:rFonts w:eastAsia="Times New Roman" w:cs="Times New Roman"/>
                <w:noProof/>
                <w:szCs w:val="18"/>
              </w:rPr>
            </w:pPr>
            <w:r>
              <w:rPr>
                <w:noProof/>
              </w:rPr>
              <w:t>57</w:t>
            </w:r>
          </w:p>
        </w:tc>
        <w:tc>
          <w:tcPr>
            <w:tcW w:w="4838" w:type="dxa"/>
            <w:tcBorders>
              <w:top w:val="nil"/>
              <w:left w:val="nil"/>
              <w:bottom w:val="single" w:sz="4" w:space="0" w:color="auto"/>
              <w:right w:val="single" w:sz="4" w:space="0" w:color="auto"/>
            </w:tcBorders>
            <w:shd w:val="clear" w:color="auto" w:fill="C6EFCE"/>
            <w:noWrap/>
            <w:vAlign w:val="center"/>
          </w:tcPr>
          <w:p w14:paraId="1F49A9D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4 - 1.4. «Utilisation durable des ressources, résilience au changement climatique et protection de l’environnement» - 16772_Loi sur la gestion des déchets pour la mise en œuvre d’une mise en décharge et d’un recyclage durables</w:t>
            </w:r>
          </w:p>
        </w:tc>
        <w:tc>
          <w:tcPr>
            <w:tcW w:w="1134" w:type="dxa"/>
            <w:tcBorders>
              <w:top w:val="nil"/>
              <w:left w:val="nil"/>
              <w:bottom w:val="single" w:sz="4" w:space="0" w:color="auto"/>
              <w:right w:val="single" w:sz="4" w:space="0" w:color="auto"/>
            </w:tcBorders>
            <w:shd w:val="clear" w:color="auto" w:fill="C6EFCE"/>
            <w:noWrap/>
            <w:vAlign w:val="center"/>
          </w:tcPr>
          <w:p w14:paraId="68056A5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32CE095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Entrée en vigueur de la loi réglementant la gestion des déchets</w:t>
            </w:r>
          </w:p>
        </w:tc>
      </w:tr>
      <w:tr w:rsidR="00A00259" w14:paraId="0AD3E1FF"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5A96FC4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85</w:t>
            </w:r>
          </w:p>
        </w:tc>
        <w:tc>
          <w:tcPr>
            <w:tcW w:w="4838" w:type="dxa"/>
            <w:tcBorders>
              <w:top w:val="nil"/>
              <w:left w:val="nil"/>
              <w:bottom w:val="single" w:sz="4" w:space="0" w:color="auto"/>
              <w:right w:val="single" w:sz="4" w:space="0" w:color="auto"/>
            </w:tcBorders>
            <w:shd w:val="clear" w:color="auto" w:fill="C6EFCE"/>
            <w:noWrap/>
            <w:vAlign w:val="center"/>
          </w:tcPr>
          <w:p w14:paraId="6D58724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5 - 2.1. Connect - 16818_Infrastructure à fibre optique dans les bâtiments</w:t>
            </w:r>
          </w:p>
        </w:tc>
        <w:tc>
          <w:tcPr>
            <w:tcW w:w="1134" w:type="dxa"/>
            <w:tcBorders>
              <w:top w:val="nil"/>
              <w:left w:val="nil"/>
              <w:bottom w:val="single" w:sz="4" w:space="0" w:color="auto"/>
              <w:right w:val="single" w:sz="4" w:space="0" w:color="auto"/>
            </w:tcBorders>
            <w:shd w:val="clear" w:color="auto" w:fill="C6EFCE"/>
            <w:noWrap/>
            <w:vAlign w:val="center"/>
          </w:tcPr>
          <w:p w14:paraId="7524E2C2"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231C2C15" w14:textId="77777777" w:rsidR="00A00259" w:rsidRDefault="00371282">
            <w:pPr>
              <w:pStyle w:val="P68B1DB1-Normal55"/>
              <w:keepNext/>
              <w:spacing w:before="40" w:after="0" w:line="240" w:lineRule="auto"/>
              <w:jc w:val="both"/>
              <w:rPr>
                <w:rFonts w:eastAsia="Times New Roman" w:cs="Times New Roman"/>
                <w:noProof/>
                <w:szCs w:val="18"/>
              </w:rPr>
            </w:pPr>
            <w:r>
              <w:rPr>
                <w:noProof/>
              </w:rPr>
              <w:t>Attribution du ou des marchés pour le projet «Infrastructures à fibres optiques dans les bâtiments»</w:t>
            </w:r>
          </w:p>
        </w:tc>
      </w:tr>
      <w:tr w:rsidR="00A00259" w14:paraId="3A4D70CD"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D91A83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96</w:t>
            </w:r>
          </w:p>
        </w:tc>
        <w:tc>
          <w:tcPr>
            <w:tcW w:w="4838" w:type="dxa"/>
            <w:tcBorders>
              <w:top w:val="nil"/>
              <w:left w:val="nil"/>
              <w:bottom w:val="single" w:sz="4" w:space="0" w:color="auto"/>
              <w:right w:val="single" w:sz="4" w:space="0" w:color="auto"/>
            </w:tcBorders>
            <w:shd w:val="clear" w:color="auto" w:fill="C6EFCE"/>
            <w:noWrap/>
            <w:vAlign w:val="center"/>
          </w:tcPr>
          <w:p w14:paraId="57EFF344"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6 - 2.2. 16929_Vers des services orientés «clients» de l’administration publique grâce à la simplification et à l’amélioration des processus, à l’amélioration des systèmes et au respect des stratégies et politiques européennes</w:t>
            </w:r>
          </w:p>
        </w:tc>
        <w:tc>
          <w:tcPr>
            <w:tcW w:w="1134" w:type="dxa"/>
            <w:tcBorders>
              <w:top w:val="nil"/>
              <w:left w:val="nil"/>
              <w:bottom w:val="single" w:sz="4" w:space="0" w:color="auto"/>
              <w:right w:val="single" w:sz="4" w:space="0" w:color="auto"/>
            </w:tcBorders>
            <w:shd w:val="clear" w:color="auto" w:fill="C6EFCE"/>
            <w:noWrap/>
            <w:vAlign w:val="center"/>
          </w:tcPr>
          <w:p w14:paraId="2B546014"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5EF6BA14" w14:textId="77777777" w:rsidR="00A00259" w:rsidRDefault="00371282">
            <w:pPr>
              <w:pStyle w:val="P68B1DB1-Normal55"/>
              <w:keepNext/>
              <w:spacing w:before="40" w:after="0" w:line="240" w:lineRule="auto"/>
              <w:jc w:val="both"/>
              <w:rPr>
                <w:rFonts w:eastAsia="Times New Roman" w:cs="Times New Roman"/>
                <w:noProof/>
                <w:szCs w:val="18"/>
              </w:rPr>
            </w:pPr>
            <w:r>
              <w:rPr>
                <w:noProof/>
              </w:rPr>
              <w:t>Mise en place du registre national des procédures et mise en œuvre du plan national de simplification des processus (première phase)</w:t>
            </w:r>
          </w:p>
        </w:tc>
      </w:tr>
      <w:tr w:rsidR="00A00259" w14:paraId="5765CDF7"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47ED32A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142</w:t>
            </w:r>
          </w:p>
        </w:tc>
        <w:tc>
          <w:tcPr>
            <w:tcW w:w="4838" w:type="dxa"/>
            <w:tcBorders>
              <w:top w:val="nil"/>
              <w:left w:val="nil"/>
              <w:bottom w:val="single" w:sz="4" w:space="0" w:color="auto"/>
              <w:right w:val="single" w:sz="4" w:space="0" w:color="auto"/>
            </w:tcBorders>
            <w:shd w:val="clear" w:color="auto" w:fill="C6EFCE"/>
            <w:noWrap/>
            <w:vAlign w:val="center"/>
          </w:tcPr>
          <w:p w14:paraId="71BD03C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8 - 3.1. «Promouvoir la création d'emplois et la participation au marché du travail» - 16746_Réforme des politiques passives du marché du travail pour soutenir les transitions vers l'emploi</w:t>
            </w:r>
          </w:p>
        </w:tc>
        <w:tc>
          <w:tcPr>
            <w:tcW w:w="1134" w:type="dxa"/>
            <w:tcBorders>
              <w:top w:val="nil"/>
              <w:left w:val="nil"/>
              <w:bottom w:val="single" w:sz="4" w:space="0" w:color="auto"/>
              <w:right w:val="single" w:sz="4" w:space="0" w:color="auto"/>
            </w:tcBorders>
            <w:shd w:val="clear" w:color="auto" w:fill="C6EFCE"/>
            <w:noWrap/>
            <w:vAlign w:val="center"/>
          </w:tcPr>
          <w:p w14:paraId="7B463A89"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50408CC9" w14:textId="77777777" w:rsidR="00A00259" w:rsidRDefault="00371282">
            <w:pPr>
              <w:pStyle w:val="P68B1DB1-Normal55"/>
              <w:keepNext/>
              <w:spacing w:before="40" w:after="0" w:line="240" w:lineRule="auto"/>
              <w:jc w:val="both"/>
              <w:rPr>
                <w:rFonts w:eastAsia="Times New Roman" w:cs="Times New Roman"/>
                <w:noProof/>
                <w:szCs w:val="18"/>
              </w:rPr>
            </w:pPr>
            <w:r>
              <w:rPr>
                <w:noProof/>
              </w:rPr>
              <w:t xml:space="preserve">Réforme du cadre des obligations mutuelles Entrée en vigueur de la législation </w:t>
            </w:r>
          </w:p>
        </w:tc>
      </w:tr>
      <w:tr w:rsidR="00A00259" w14:paraId="0201F32E"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79B597D"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191</w:t>
            </w:r>
          </w:p>
        </w:tc>
        <w:tc>
          <w:tcPr>
            <w:tcW w:w="4838" w:type="dxa"/>
            <w:tcBorders>
              <w:top w:val="nil"/>
              <w:left w:val="nil"/>
              <w:bottom w:val="single" w:sz="4" w:space="0" w:color="auto"/>
              <w:right w:val="single" w:sz="4" w:space="0" w:color="auto"/>
            </w:tcBorders>
            <w:shd w:val="clear" w:color="auto" w:fill="C6EFCE"/>
            <w:noWrap/>
            <w:vAlign w:val="center"/>
          </w:tcPr>
          <w:p w14:paraId="1DC50BA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12 - 4.1. Rendre les impôts plus propices à la croissance et améliorer l'administration fiscale et la perception des impôts - 16656_Nouveau cadre de lutte contre la contrebande, principalement pour les produits soumis à accises (tabac, alcool et énergie)</w:t>
            </w:r>
          </w:p>
        </w:tc>
        <w:tc>
          <w:tcPr>
            <w:tcW w:w="1134" w:type="dxa"/>
            <w:tcBorders>
              <w:top w:val="nil"/>
              <w:left w:val="nil"/>
              <w:bottom w:val="single" w:sz="4" w:space="0" w:color="auto"/>
              <w:right w:val="single" w:sz="4" w:space="0" w:color="auto"/>
            </w:tcBorders>
            <w:shd w:val="clear" w:color="auto" w:fill="C6EFCE"/>
            <w:noWrap/>
            <w:vAlign w:val="center"/>
          </w:tcPr>
          <w:p w14:paraId="2B5D7152"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3AD1143B" w14:textId="77777777" w:rsidR="00A00259" w:rsidRDefault="00371282">
            <w:pPr>
              <w:pStyle w:val="P68B1DB1-Normal55"/>
              <w:keepNext/>
              <w:spacing w:before="40" w:after="0" w:line="240" w:lineRule="auto"/>
              <w:jc w:val="both"/>
              <w:rPr>
                <w:rFonts w:eastAsia="Times New Roman" w:cs="Times New Roman"/>
                <w:noProof/>
                <w:szCs w:val="18"/>
              </w:rPr>
            </w:pPr>
            <w:r>
              <w:rPr>
                <w:noProof/>
              </w:rPr>
              <w:t>Lutte contre la contrebande – adoption de décisions réglementaires</w:t>
            </w:r>
          </w:p>
        </w:tc>
      </w:tr>
      <w:tr w:rsidR="00A00259" w14:paraId="78211A02"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1FDAD3B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206</w:t>
            </w:r>
          </w:p>
        </w:tc>
        <w:tc>
          <w:tcPr>
            <w:tcW w:w="4838" w:type="dxa"/>
            <w:tcBorders>
              <w:top w:val="nil"/>
              <w:left w:val="nil"/>
              <w:bottom w:val="single" w:sz="4" w:space="0" w:color="auto"/>
              <w:right w:val="single" w:sz="4" w:space="0" w:color="auto"/>
            </w:tcBorders>
            <w:shd w:val="clear" w:color="auto" w:fill="C6EFCE"/>
            <w:noWrap/>
            <w:vAlign w:val="center"/>
          </w:tcPr>
          <w:p w14:paraId="28F939E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- 16972_Reforming Public Administration</w:t>
            </w:r>
          </w:p>
        </w:tc>
        <w:tc>
          <w:tcPr>
            <w:tcW w:w="1134" w:type="dxa"/>
            <w:tcBorders>
              <w:top w:val="nil"/>
              <w:left w:val="nil"/>
              <w:bottom w:val="single" w:sz="4" w:space="0" w:color="auto"/>
              <w:right w:val="single" w:sz="4" w:space="0" w:color="auto"/>
            </w:tcBorders>
            <w:shd w:val="clear" w:color="auto" w:fill="C6EFCE"/>
            <w:noWrap/>
            <w:vAlign w:val="center"/>
          </w:tcPr>
          <w:p w14:paraId="7C2F074A"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3337A0D0" w14:textId="77777777" w:rsidR="00A00259" w:rsidRDefault="00371282">
            <w:pPr>
              <w:pStyle w:val="P68B1DB1-Normal55"/>
              <w:keepNext/>
              <w:spacing w:before="40" w:after="0" w:line="240" w:lineRule="auto"/>
              <w:jc w:val="both"/>
              <w:rPr>
                <w:rFonts w:eastAsia="Times New Roman" w:cs="Times New Roman"/>
                <w:noProof/>
                <w:szCs w:val="18"/>
              </w:rPr>
            </w:pPr>
            <w:r>
              <w:rPr>
                <w:noProof/>
              </w:rPr>
              <w:t>Administration publique – cadre législatif visant à clarifier les mandats</w:t>
            </w:r>
          </w:p>
        </w:tc>
      </w:tr>
      <w:tr w:rsidR="00A00259" w14:paraId="08661FFE"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28EFC5C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209</w:t>
            </w:r>
          </w:p>
        </w:tc>
        <w:tc>
          <w:tcPr>
            <w:tcW w:w="4838" w:type="dxa"/>
            <w:tcBorders>
              <w:top w:val="nil"/>
              <w:left w:val="nil"/>
              <w:bottom w:val="single" w:sz="4" w:space="0" w:color="auto"/>
              <w:right w:val="single" w:sz="4" w:space="0" w:color="auto"/>
            </w:tcBorders>
            <w:shd w:val="clear" w:color="auto" w:fill="C6EFCE"/>
            <w:noWrap/>
            <w:vAlign w:val="center"/>
          </w:tcPr>
          <w:p w14:paraId="11821684"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- 16978_Lutte efficace contre la corruption</w:t>
            </w:r>
          </w:p>
        </w:tc>
        <w:tc>
          <w:tcPr>
            <w:tcW w:w="1134" w:type="dxa"/>
            <w:tcBorders>
              <w:top w:val="nil"/>
              <w:left w:val="nil"/>
              <w:bottom w:val="single" w:sz="4" w:space="0" w:color="auto"/>
              <w:right w:val="single" w:sz="4" w:space="0" w:color="auto"/>
            </w:tcBorders>
            <w:shd w:val="clear" w:color="auto" w:fill="C6EFCE"/>
            <w:noWrap/>
            <w:vAlign w:val="center"/>
          </w:tcPr>
          <w:p w14:paraId="46A68F88"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7EDD3C7A" w14:textId="77777777" w:rsidR="00A00259" w:rsidRDefault="00371282">
            <w:pPr>
              <w:pStyle w:val="P68B1DB1-Normal55"/>
              <w:keepNext/>
              <w:spacing w:before="40" w:after="0" w:line="240" w:lineRule="auto"/>
              <w:jc w:val="both"/>
              <w:rPr>
                <w:rFonts w:eastAsia="Times New Roman" w:cs="Times New Roman"/>
                <w:noProof/>
                <w:szCs w:val="18"/>
              </w:rPr>
            </w:pPr>
            <w:r>
              <w:rPr>
                <w:noProof/>
              </w:rPr>
              <w:t>Déclarations de patrimoine et partis politiques</w:t>
            </w:r>
          </w:p>
        </w:tc>
      </w:tr>
      <w:tr w:rsidR="00A00259" w14:paraId="592159BE"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50E5F69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210</w:t>
            </w:r>
          </w:p>
        </w:tc>
        <w:tc>
          <w:tcPr>
            <w:tcW w:w="4838" w:type="dxa"/>
            <w:tcBorders>
              <w:top w:val="nil"/>
              <w:left w:val="nil"/>
              <w:bottom w:val="single" w:sz="4" w:space="0" w:color="auto"/>
              <w:right w:val="single" w:sz="4" w:space="0" w:color="auto"/>
            </w:tcBorders>
            <w:shd w:val="clear" w:color="auto" w:fill="C6EFCE"/>
            <w:noWrap/>
            <w:vAlign w:val="center"/>
          </w:tcPr>
          <w:p w14:paraId="2130E15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13 - 4.2. Moderniser l'administration publique, notamment en accélérant la mise en œuvre des investissements publics, en améliorant le cadre des marchés publics, les mesures de renforcement des capacités et en luttant contre la corruption - 16952_Renforcer le cadre national de lutte contre la corruption au moyen d'interventions ciblées dans les domaines de la détection, de la prévention et de la sensibilisation</w:t>
            </w:r>
          </w:p>
        </w:tc>
        <w:tc>
          <w:tcPr>
            <w:tcW w:w="1134" w:type="dxa"/>
            <w:tcBorders>
              <w:top w:val="nil"/>
              <w:left w:val="nil"/>
              <w:bottom w:val="single" w:sz="4" w:space="0" w:color="auto"/>
              <w:right w:val="single" w:sz="4" w:space="0" w:color="auto"/>
            </w:tcBorders>
            <w:shd w:val="clear" w:color="auto" w:fill="C6EFCE"/>
            <w:noWrap/>
            <w:vAlign w:val="center"/>
          </w:tcPr>
          <w:p w14:paraId="6B42413D"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67CDB18D" w14:textId="77777777" w:rsidR="00A00259" w:rsidRDefault="00371282">
            <w:pPr>
              <w:pStyle w:val="P68B1DB1-Normal55"/>
              <w:keepNext/>
              <w:spacing w:before="40" w:after="0" w:line="240" w:lineRule="auto"/>
              <w:jc w:val="both"/>
              <w:rPr>
                <w:rFonts w:eastAsia="Times New Roman" w:cs="Times New Roman"/>
                <w:noProof/>
                <w:szCs w:val="18"/>
              </w:rPr>
            </w:pPr>
            <w:r>
              <w:rPr>
                <w:noProof/>
              </w:rPr>
              <w:t>Plan d'action national de lutte contre la corruption</w:t>
            </w:r>
          </w:p>
        </w:tc>
      </w:tr>
      <w:tr w:rsidR="00A00259" w14:paraId="098383A2"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6F7CC0F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223</w:t>
            </w:r>
          </w:p>
        </w:tc>
        <w:tc>
          <w:tcPr>
            <w:tcW w:w="4838" w:type="dxa"/>
            <w:tcBorders>
              <w:top w:val="nil"/>
              <w:left w:val="nil"/>
              <w:bottom w:val="single" w:sz="4" w:space="0" w:color="auto"/>
              <w:right w:val="single" w:sz="4" w:space="0" w:color="auto"/>
            </w:tcBorders>
            <w:shd w:val="clear" w:color="auto" w:fill="C6EFCE"/>
            <w:noWrap/>
            <w:vAlign w:val="center"/>
          </w:tcPr>
          <w:p w14:paraId="20038FA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14 - 4.3. Améliorer l'efficacité du système judiciaire - 16575 Accélérer l'administration de la justice</w:t>
            </w:r>
          </w:p>
        </w:tc>
        <w:tc>
          <w:tcPr>
            <w:tcW w:w="1134" w:type="dxa"/>
            <w:tcBorders>
              <w:top w:val="nil"/>
              <w:left w:val="nil"/>
              <w:bottom w:val="single" w:sz="4" w:space="0" w:color="auto"/>
              <w:right w:val="single" w:sz="4" w:space="0" w:color="auto"/>
            </w:tcBorders>
            <w:shd w:val="clear" w:color="auto" w:fill="C6EFCE"/>
            <w:noWrap/>
            <w:vAlign w:val="center"/>
          </w:tcPr>
          <w:p w14:paraId="43AA13D7"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6EC7FEB6" w14:textId="77777777" w:rsidR="00A00259" w:rsidRDefault="00371282">
            <w:pPr>
              <w:pStyle w:val="P68B1DB1-Normal55"/>
              <w:keepNext/>
              <w:spacing w:before="40" w:after="0" w:line="240" w:lineRule="auto"/>
              <w:jc w:val="both"/>
              <w:rPr>
                <w:rFonts w:eastAsia="Times New Roman" w:cs="Times New Roman"/>
                <w:noProof/>
                <w:szCs w:val="18"/>
              </w:rPr>
            </w:pPr>
            <w:r>
              <w:rPr>
                <w:noProof/>
              </w:rPr>
              <w:t>Soutien technique - Outil de performance judiciaire</w:t>
            </w:r>
          </w:p>
        </w:tc>
      </w:tr>
      <w:tr w:rsidR="00A00259" w14:paraId="31379B24"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155D868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225</w:t>
            </w:r>
          </w:p>
        </w:tc>
        <w:tc>
          <w:tcPr>
            <w:tcW w:w="4838" w:type="dxa"/>
            <w:tcBorders>
              <w:top w:val="nil"/>
              <w:left w:val="nil"/>
              <w:bottom w:val="single" w:sz="4" w:space="0" w:color="auto"/>
              <w:right w:val="single" w:sz="4" w:space="0" w:color="auto"/>
            </w:tcBorders>
            <w:shd w:val="clear" w:color="auto" w:fill="C6EFCE"/>
            <w:noWrap/>
            <w:vAlign w:val="center"/>
          </w:tcPr>
          <w:p w14:paraId="3FFF27D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14 - 4.3. Améliorer l’efficacité du système judiciaire – 16575 Accélérer l’administration de la justice</w:t>
            </w:r>
          </w:p>
        </w:tc>
        <w:tc>
          <w:tcPr>
            <w:tcW w:w="1134" w:type="dxa"/>
            <w:tcBorders>
              <w:top w:val="nil"/>
              <w:left w:val="nil"/>
              <w:bottom w:val="single" w:sz="4" w:space="0" w:color="auto"/>
              <w:right w:val="single" w:sz="4" w:space="0" w:color="auto"/>
            </w:tcBorders>
            <w:shd w:val="clear" w:color="auto" w:fill="C6EFCE"/>
            <w:noWrap/>
            <w:vAlign w:val="center"/>
          </w:tcPr>
          <w:p w14:paraId="3AA71B92"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37D9950B" w14:textId="77777777" w:rsidR="00A00259" w:rsidRDefault="00371282">
            <w:pPr>
              <w:pStyle w:val="P68B1DB1-Normal55"/>
              <w:keepNext/>
              <w:spacing w:before="40" w:after="0" w:line="240" w:lineRule="auto"/>
              <w:jc w:val="both"/>
              <w:rPr>
                <w:rFonts w:eastAsia="Times New Roman" w:cs="Times New Roman"/>
                <w:noProof/>
                <w:szCs w:val="18"/>
              </w:rPr>
            </w:pPr>
            <w:r>
              <w:rPr>
                <w:noProof/>
              </w:rPr>
              <w:t xml:space="preserve">Police judiciaire – Législation secondaire </w:t>
            </w:r>
          </w:p>
        </w:tc>
      </w:tr>
      <w:tr w:rsidR="00A00259" w14:paraId="7111263B"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3D478D3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278</w:t>
            </w:r>
          </w:p>
        </w:tc>
        <w:tc>
          <w:tcPr>
            <w:tcW w:w="4838" w:type="dxa"/>
            <w:tcBorders>
              <w:top w:val="nil"/>
              <w:left w:val="nil"/>
              <w:bottom w:val="single" w:sz="4" w:space="0" w:color="auto"/>
              <w:right w:val="single" w:sz="4" w:space="0" w:color="auto"/>
            </w:tcBorders>
            <w:shd w:val="clear" w:color="auto" w:fill="C6EFCE"/>
            <w:noWrap/>
            <w:vAlign w:val="center"/>
          </w:tcPr>
          <w:p w14:paraId="7D026334"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- 16715_La réforme du travail dans le secteur culturel</w:t>
            </w:r>
          </w:p>
        </w:tc>
        <w:tc>
          <w:tcPr>
            <w:tcW w:w="1134" w:type="dxa"/>
            <w:tcBorders>
              <w:top w:val="nil"/>
              <w:left w:val="nil"/>
              <w:bottom w:val="single" w:sz="4" w:space="0" w:color="auto"/>
              <w:right w:val="single" w:sz="4" w:space="0" w:color="auto"/>
            </w:tcBorders>
            <w:shd w:val="clear" w:color="auto" w:fill="C6EFCE"/>
            <w:noWrap/>
            <w:vAlign w:val="center"/>
          </w:tcPr>
          <w:p w14:paraId="5FA4C05E"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4E74C75D" w14:textId="77777777" w:rsidR="00A00259" w:rsidRDefault="00371282">
            <w:pPr>
              <w:pStyle w:val="P68B1DB1-Normal55"/>
              <w:keepNext/>
              <w:spacing w:before="40" w:after="0" w:line="240" w:lineRule="auto"/>
              <w:jc w:val="both"/>
              <w:rPr>
                <w:rFonts w:eastAsia="Times New Roman" w:cs="Times New Roman"/>
                <w:noProof/>
                <w:szCs w:val="18"/>
              </w:rPr>
            </w:pPr>
            <w:r>
              <w:rPr>
                <w:noProof/>
              </w:rPr>
              <w:t>Législation pour la réforme du travail dans le secteur culturel</w:t>
            </w:r>
          </w:p>
        </w:tc>
      </w:tr>
      <w:tr w:rsidR="00A00259" w14:paraId="333D4859"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39F4916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302</w:t>
            </w:r>
          </w:p>
        </w:tc>
        <w:tc>
          <w:tcPr>
            <w:tcW w:w="4838" w:type="dxa"/>
            <w:tcBorders>
              <w:top w:val="nil"/>
              <w:left w:val="nil"/>
              <w:bottom w:val="single" w:sz="4" w:space="0" w:color="auto"/>
              <w:right w:val="single" w:sz="4" w:space="0" w:color="auto"/>
            </w:tcBorders>
            <w:shd w:val="clear" w:color="auto" w:fill="C6EFCE"/>
            <w:noWrap/>
            <w:vAlign w:val="center"/>
          </w:tcPr>
          <w:p w14:paraId="767B12E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- 16634_Nouveaux parcs industriels</w:t>
            </w:r>
          </w:p>
        </w:tc>
        <w:tc>
          <w:tcPr>
            <w:tcW w:w="1134" w:type="dxa"/>
            <w:tcBorders>
              <w:top w:val="nil"/>
              <w:left w:val="nil"/>
              <w:bottom w:val="single" w:sz="4" w:space="0" w:color="auto"/>
              <w:right w:val="single" w:sz="4" w:space="0" w:color="auto"/>
            </w:tcBorders>
            <w:shd w:val="clear" w:color="auto" w:fill="C6EFCE"/>
            <w:noWrap/>
            <w:vAlign w:val="center"/>
          </w:tcPr>
          <w:p w14:paraId="6A90223E"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367EA2EE" w14:textId="77777777" w:rsidR="00A00259" w:rsidRDefault="00371282">
            <w:pPr>
              <w:pStyle w:val="P68B1DB1-Normal55"/>
              <w:keepNext/>
              <w:spacing w:before="40" w:after="0" w:line="240" w:lineRule="auto"/>
              <w:jc w:val="both"/>
              <w:rPr>
                <w:rFonts w:eastAsia="Times New Roman" w:cs="Times New Roman"/>
                <w:noProof/>
                <w:szCs w:val="18"/>
              </w:rPr>
            </w:pPr>
            <w:r>
              <w:rPr>
                <w:noProof/>
              </w:rPr>
              <w:t>Parcs industriels – réforme législative (droit primaire)</w:t>
            </w:r>
          </w:p>
        </w:tc>
      </w:tr>
      <w:tr w:rsidR="00A00259" w14:paraId="26B83AB4"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510D478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311</w:t>
            </w:r>
          </w:p>
        </w:tc>
        <w:tc>
          <w:tcPr>
            <w:tcW w:w="4838" w:type="dxa"/>
            <w:tcBorders>
              <w:top w:val="nil"/>
              <w:left w:val="nil"/>
              <w:bottom w:val="single" w:sz="4" w:space="0" w:color="auto"/>
              <w:right w:val="single" w:sz="4" w:space="0" w:color="auto"/>
            </w:tcBorders>
            <w:shd w:val="clear" w:color="auto" w:fill="C6EFCE"/>
            <w:noWrap/>
            <w:vAlign w:val="center"/>
          </w:tcPr>
          <w:p w14:paraId="057E3E5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 xml:space="preserve"> 17 - 4.6. Moderniser et améliorer la résilience des secteurs économiques clés - 16653_Transformation numérique du secteur agroalimentaire </w:t>
            </w:r>
          </w:p>
        </w:tc>
        <w:tc>
          <w:tcPr>
            <w:tcW w:w="1134" w:type="dxa"/>
            <w:tcBorders>
              <w:top w:val="nil"/>
              <w:left w:val="nil"/>
              <w:bottom w:val="single" w:sz="4" w:space="0" w:color="auto"/>
              <w:right w:val="single" w:sz="4" w:space="0" w:color="auto"/>
            </w:tcBorders>
            <w:shd w:val="clear" w:color="auto" w:fill="C6EFCE"/>
            <w:noWrap/>
            <w:vAlign w:val="center"/>
          </w:tcPr>
          <w:p w14:paraId="572B6FB1"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3868C772" w14:textId="77777777" w:rsidR="00A00259" w:rsidRDefault="00371282">
            <w:pPr>
              <w:pStyle w:val="P68B1DB1-Normal55"/>
              <w:keepNext/>
              <w:spacing w:before="40" w:after="0" w:line="240" w:lineRule="auto"/>
              <w:jc w:val="both"/>
              <w:rPr>
                <w:rFonts w:eastAsia="Times New Roman" w:cs="Times New Roman"/>
                <w:noProof/>
                <w:szCs w:val="18"/>
              </w:rPr>
            </w:pPr>
            <w:r>
              <w:rPr>
                <w:noProof/>
              </w:rPr>
              <w:t xml:space="preserve">Lancement de l'appel à la transformation numérique du secteur agroalimentaire </w:t>
            </w:r>
          </w:p>
        </w:tc>
      </w:tr>
      <w:tr w:rsidR="00A00259" w14:paraId="4C45309E"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04B0E08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22</w:t>
            </w:r>
          </w:p>
        </w:tc>
        <w:tc>
          <w:tcPr>
            <w:tcW w:w="4838" w:type="dxa"/>
            <w:tcBorders>
              <w:top w:val="nil"/>
              <w:left w:val="nil"/>
              <w:bottom w:val="single" w:sz="4" w:space="0" w:color="auto"/>
              <w:right w:val="single" w:sz="4" w:space="0" w:color="auto"/>
            </w:tcBorders>
            <w:shd w:val="clear" w:color="auto" w:fill="C6EFCE"/>
            <w:noWrap/>
            <w:vAlign w:val="center"/>
          </w:tcPr>
          <w:p w14:paraId="10A1C24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2 - 1.2. Rénovation - 16872_Rénovation énergétique des bâtiments résidentiels</w:t>
            </w:r>
          </w:p>
        </w:tc>
        <w:tc>
          <w:tcPr>
            <w:tcW w:w="1134" w:type="dxa"/>
            <w:tcBorders>
              <w:top w:val="nil"/>
              <w:left w:val="nil"/>
              <w:bottom w:val="single" w:sz="4" w:space="0" w:color="auto"/>
              <w:right w:val="single" w:sz="4" w:space="0" w:color="auto"/>
            </w:tcBorders>
            <w:shd w:val="clear" w:color="auto" w:fill="C6EFCE"/>
            <w:noWrap/>
            <w:vAlign w:val="center"/>
          </w:tcPr>
          <w:p w14:paraId="28A60817"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049110FB" w14:textId="77777777" w:rsidR="00A00259" w:rsidRDefault="00371282">
            <w:pPr>
              <w:pStyle w:val="P68B1DB1-Normal55"/>
              <w:keepNext/>
              <w:spacing w:before="40" w:after="0" w:line="240" w:lineRule="auto"/>
              <w:jc w:val="both"/>
              <w:rPr>
                <w:rFonts w:eastAsia="Times New Roman" w:cs="Times New Roman"/>
                <w:noProof/>
                <w:szCs w:val="18"/>
              </w:rPr>
            </w:pPr>
            <w:r>
              <w:rPr>
                <w:noProof/>
              </w:rPr>
              <w:t>Rénovation résidentielle – lancement du 3e cycle incluant les ménages en situation de précarité énergétique</w:t>
            </w:r>
          </w:p>
        </w:tc>
      </w:tr>
      <w:tr w:rsidR="00A00259" w14:paraId="164AF889"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1567098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27</w:t>
            </w:r>
          </w:p>
        </w:tc>
        <w:tc>
          <w:tcPr>
            <w:tcW w:w="4838" w:type="dxa"/>
            <w:tcBorders>
              <w:top w:val="nil"/>
              <w:left w:val="nil"/>
              <w:bottom w:val="single" w:sz="4" w:space="0" w:color="auto"/>
              <w:right w:val="single" w:sz="4" w:space="0" w:color="auto"/>
            </w:tcBorders>
            <w:shd w:val="clear" w:color="auto" w:fill="C6EFCE"/>
            <w:noWrap/>
            <w:vAlign w:val="center"/>
          </w:tcPr>
          <w:p w14:paraId="2CE5114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2 - 1.2. 16879_Préparation des plans urbains dans le cadre de la mise en œuvre de la réforme de la politique urbaine</w:t>
            </w:r>
          </w:p>
        </w:tc>
        <w:tc>
          <w:tcPr>
            <w:tcW w:w="1134" w:type="dxa"/>
            <w:tcBorders>
              <w:top w:val="nil"/>
              <w:left w:val="nil"/>
              <w:bottom w:val="single" w:sz="4" w:space="0" w:color="auto"/>
              <w:right w:val="single" w:sz="4" w:space="0" w:color="auto"/>
            </w:tcBorders>
            <w:shd w:val="clear" w:color="auto" w:fill="C6EFCE"/>
            <w:noWrap/>
            <w:vAlign w:val="center"/>
          </w:tcPr>
          <w:p w14:paraId="6AD4A216"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7A5B2943" w14:textId="77777777" w:rsidR="00A00259" w:rsidRDefault="00371282">
            <w:pPr>
              <w:pStyle w:val="P68B1DB1-Normal55"/>
              <w:keepNext/>
              <w:spacing w:before="40" w:after="0" w:line="240" w:lineRule="auto"/>
              <w:jc w:val="both"/>
              <w:rPr>
                <w:rFonts w:eastAsia="Times New Roman" w:cs="Times New Roman"/>
                <w:noProof/>
                <w:szCs w:val="18"/>
              </w:rPr>
            </w:pPr>
            <w:r>
              <w:rPr>
                <w:noProof/>
              </w:rPr>
              <w:t>Prix des plans urbains</w:t>
            </w:r>
          </w:p>
        </w:tc>
      </w:tr>
      <w:tr w:rsidR="00A00259" w14:paraId="1AB000D5"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552D69B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43</w:t>
            </w:r>
          </w:p>
        </w:tc>
        <w:tc>
          <w:tcPr>
            <w:tcW w:w="4838" w:type="dxa"/>
            <w:tcBorders>
              <w:top w:val="nil"/>
              <w:left w:val="nil"/>
              <w:bottom w:val="single" w:sz="4" w:space="0" w:color="auto"/>
              <w:right w:val="single" w:sz="4" w:space="0" w:color="auto"/>
            </w:tcBorders>
            <w:shd w:val="clear" w:color="auto" w:fill="C6EFCE"/>
            <w:noWrap/>
            <w:vAlign w:val="center"/>
          </w:tcPr>
          <w:p w14:paraId="4A3DC2C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3 - 1.3. 16281_Cadre pour l'installation et l'exploitation de l'infrastructure de recharge des véhicules électriques</w:t>
            </w:r>
          </w:p>
        </w:tc>
        <w:tc>
          <w:tcPr>
            <w:tcW w:w="1134" w:type="dxa"/>
            <w:tcBorders>
              <w:top w:val="nil"/>
              <w:left w:val="nil"/>
              <w:bottom w:val="single" w:sz="4" w:space="0" w:color="auto"/>
              <w:right w:val="single" w:sz="4" w:space="0" w:color="auto"/>
            </w:tcBorders>
            <w:shd w:val="clear" w:color="auto" w:fill="C6EFCE"/>
            <w:noWrap/>
            <w:vAlign w:val="center"/>
          </w:tcPr>
          <w:p w14:paraId="3E65838A" w14:textId="77777777" w:rsidR="00A00259" w:rsidRDefault="00371282">
            <w:pPr>
              <w:pStyle w:val="P68B1DB1-Normal55"/>
              <w:keepNext/>
              <w:spacing w:before="40" w:after="0" w:line="240" w:lineRule="auto"/>
              <w:jc w:val="both"/>
              <w:rPr>
                <w:rFonts w:eastAsia="Times New Roman" w:cs="Times New Roman"/>
                <w:noProof/>
                <w:szCs w:val="18"/>
              </w:rPr>
            </w:pPr>
            <w:r>
              <w:rPr>
                <w:noProof/>
              </w:rPr>
              <w:t>Objectif</w:t>
            </w:r>
          </w:p>
        </w:tc>
        <w:tc>
          <w:tcPr>
            <w:tcW w:w="3110" w:type="dxa"/>
            <w:tcBorders>
              <w:top w:val="nil"/>
              <w:left w:val="nil"/>
              <w:bottom w:val="single" w:sz="4" w:space="0" w:color="auto"/>
              <w:right w:val="single" w:sz="4" w:space="0" w:color="auto"/>
            </w:tcBorders>
            <w:shd w:val="clear" w:color="auto" w:fill="C6EFCE"/>
            <w:noWrap/>
            <w:vAlign w:val="center"/>
          </w:tcPr>
          <w:p w14:paraId="577410A9" w14:textId="77777777" w:rsidR="00A00259" w:rsidRDefault="00371282">
            <w:pPr>
              <w:pStyle w:val="P68B1DB1-Normal55"/>
              <w:keepNext/>
              <w:spacing w:before="40" w:after="0" w:line="240" w:lineRule="auto"/>
              <w:jc w:val="both"/>
              <w:rPr>
                <w:rFonts w:eastAsia="Times New Roman" w:cs="Times New Roman"/>
                <w:noProof/>
                <w:szCs w:val="18"/>
              </w:rPr>
            </w:pPr>
            <w:r>
              <w:rPr>
                <w:noProof/>
              </w:rPr>
              <w:t>Points de recharge pour véhicules électriques – plans locaux approuvés</w:t>
            </w:r>
          </w:p>
        </w:tc>
      </w:tr>
      <w:tr w:rsidR="00A00259" w14:paraId="2C7C7674"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6D1CB24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46</w:t>
            </w:r>
          </w:p>
        </w:tc>
        <w:tc>
          <w:tcPr>
            <w:tcW w:w="4838" w:type="dxa"/>
            <w:tcBorders>
              <w:top w:val="nil"/>
              <w:left w:val="nil"/>
              <w:bottom w:val="single" w:sz="4" w:space="0" w:color="auto"/>
              <w:right w:val="single" w:sz="4" w:space="0" w:color="auto"/>
            </w:tcBorders>
            <w:shd w:val="clear" w:color="auto" w:fill="C6EFCE"/>
            <w:noWrap/>
            <w:vAlign w:val="center"/>
          </w:tcPr>
          <w:p w14:paraId="00EF87BD"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 xml:space="preserve">3 - 1.3. Recharge et ravitaillement - 16831_Produc- E Green </w:t>
            </w:r>
          </w:p>
        </w:tc>
        <w:tc>
          <w:tcPr>
            <w:tcW w:w="1134" w:type="dxa"/>
            <w:tcBorders>
              <w:top w:val="nil"/>
              <w:left w:val="nil"/>
              <w:bottom w:val="single" w:sz="4" w:space="0" w:color="auto"/>
              <w:right w:val="single" w:sz="4" w:space="0" w:color="auto"/>
            </w:tcBorders>
            <w:shd w:val="clear" w:color="auto" w:fill="C6EFCE"/>
            <w:noWrap/>
            <w:vAlign w:val="center"/>
          </w:tcPr>
          <w:p w14:paraId="00371795"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5C907244" w14:textId="77777777" w:rsidR="00A00259" w:rsidRDefault="00371282">
            <w:pPr>
              <w:pStyle w:val="P68B1DB1-Normal55"/>
              <w:keepNext/>
              <w:spacing w:before="40" w:after="0" w:line="240" w:lineRule="auto"/>
              <w:jc w:val="both"/>
              <w:rPr>
                <w:rFonts w:eastAsia="Times New Roman" w:cs="Times New Roman"/>
                <w:noProof/>
                <w:szCs w:val="18"/>
              </w:rPr>
            </w:pPr>
            <w:r>
              <w:rPr>
                <w:noProof/>
              </w:rPr>
              <w:t>Unités industrielles – lancement du programme</w:t>
            </w:r>
          </w:p>
        </w:tc>
      </w:tr>
      <w:tr w:rsidR="00A00259" w14:paraId="3621B561"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3DD902C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47</w:t>
            </w:r>
          </w:p>
        </w:tc>
        <w:tc>
          <w:tcPr>
            <w:tcW w:w="4838" w:type="dxa"/>
            <w:tcBorders>
              <w:top w:val="nil"/>
              <w:left w:val="nil"/>
              <w:bottom w:val="single" w:sz="4" w:space="0" w:color="auto"/>
              <w:right w:val="single" w:sz="4" w:space="0" w:color="auto"/>
            </w:tcBorders>
            <w:shd w:val="clear" w:color="auto" w:fill="C6EFCE"/>
            <w:noWrap/>
            <w:vAlign w:val="center"/>
          </w:tcPr>
          <w:p w14:paraId="494B6BF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3 - 1.3. Recharge et ravitaillement - 16924_ Electromobility</w:t>
            </w:r>
          </w:p>
        </w:tc>
        <w:tc>
          <w:tcPr>
            <w:tcW w:w="1134" w:type="dxa"/>
            <w:tcBorders>
              <w:top w:val="nil"/>
              <w:left w:val="nil"/>
              <w:bottom w:val="single" w:sz="4" w:space="0" w:color="auto"/>
              <w:right w:val="single" w:sz="4" w:space="0" w:color="auto"/>
            </w:tcBorders>
            <w:shd w:val="clear" w:color="auto" w:fill="C6EFCE"/>
            <w:noWrap/>
            <w:vAlign w:val="center"/>
          </w:tcPr>
          <w:p w14:paraId="6D7907D7"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572EB6A5" w14:textId="77777777" w:rsidR="00A00259" w:rsidRDefault="00371282">
            <w:pPr>
              <w:pStyle w:val="P68B1DB1-Normal55"/>
              <w:keepNext/>
              <w:spacing w:before="40" w:after="0" w:line="240" w:lineRule="auto"/>
              <w:jc w:val="both"/>
              <w:rPr>
                <w:rFonts w:eastAsia="Times New Roman" w:cs="Times New Roman"/>
                <w:noProof/>
                <w:szCs w:val="18"/>
              </w:rPr>
            </w:pPr>
            <w:r>
              <w:rPr>
                <w:noProof/>
              </w:rPr>
              <w:t xml:space="preserve"> Points de recharge pour véhicules électriques – lancement de programmes</w:t>
            </w:r>
          </w:p>
        </w:tc>
      </w:tr>
      <w:tr w:rsidR="00A00259" w14:paraId="6A38F6AB"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4638111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48</w:t>
            </w:r>
          </w:p>
        </w:tc>
        <w:tc>
          <w:tcPr>
            <w:tcW w:w="4838" w:type="dxa"/>
            <w:tcBorders>
              <w:top w:val="nil"/>
              <w:left w:val="nil"/>
              <w:bottom w:val="single" w:sz="4" w:space="0" w:color="auto"/>
              <w:right w:val="single" w:sz="4" w:space="0" w:color="auto"/>
            </w:tcBorders>
            <w:shd w:val="clear" w:color="auto" w:fill="C6EFCE"/>
            <w:noWrap/>
            <w:vAlign w:val="center"/>
          </w:tcPr>
          <w:p w14:paraId="6FF5A5A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3 – 1.3. Recharge et ravitaillement - 16924_ Electromobility</w:t>
            </w:r>
          </w:p>
        </w:tc>
        <w:tc>
          <w:tcPr>
            <w:tcW w:w="1134" w:type="dxa"/>
            <w:tcBorders>
              <w:top w:val="nil"/>
              <w:left w:val="nil"/>
              <w:bottom w:val="single" w:sz="4" w:space="0" w:color="auto"/>
              <w:right w:val="single" w:sz="4" w:space="0" w:color="auto"/>
            </w:tcBorders>
            <w:shd w:val="clear" w:color="auto" w:fill="C6EFCE"/>
            <w:noWrap/>
            <w:vAlign w:val="center"/>
          </w:tcPr>
          <w:p w14:paraId="3DE0FE3D"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7B864CB0" w14:textId="77777777" w:rsidR="00A00259" w:rsidRDefault="00371282">
            <w:pPr>
              <w:pStyle w:val="P68B1DB1-Normal55"/>
              <w:keepNext/>
              <w:spacing w:before="40" w:after="0" w:line="240" w:lineRule="auto"/>
              <w:jc w:val="both"/>
              <w:rPr>
                <w:rFonts w:eastAsia="Times New Roman" w:cs="Times New Roman"/>
                <w:noProof/>
                <w:szCs w:val="18"/>
              </w:rPr>
            </w:pPr>
            <w:r>
              <w:rPr>
                <w:noProof/>
              </w:rPr>
              <w:t>Transport durable – étude de faisabilité</w:t>
            </w:r>
          </w:p>
        </w:tc>
      </w:tr>
      <w:tr w:rsidR="00A00259" w14:paraId="79D86CE6"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265BEC5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58</w:t>
            </w:r>
          </w:p>
        </w:tc>
        <w:tc>
          <w:tcPr>
            <w:tcW w:w="4838" w:type="dxa"/>
            <w:tcBorders>
              <w:top w:val="nil"/>
              <w:left w:val="nil"/>
              <w:bottom w:val="single" w:sz="4" w:space="0" w:color="auto"/>
              <w:right w:val="single" w:sz="4" w:space="0" w:color="auto"/>
            </w:tcBorders>
            <w:shd w:val="clear" w:color="auto" w:fill="C6EFCE"/>
            <w:noWrap/>
            <w:vAlign w:val="center"/>
          </w:tcPr>
          <w:p w14:paraId="2F86A6DD"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4 - 1.4. Utilisation durable des ressources, résilience au changement climatique et protection de l'environnement - 16979_Création d'une nouvelle autorité de régulation de l'eau et des eaux usées</w:t>
            </w:r>
          </w:p>
        </w:tc>
        <w:tc>
          <w:tcPr>
            <w:tcW w:w="1134" w:type="dxa"/>
            <w:tcBorders>
              <w:top w:val="nil"/>
              <w:left w:val="nil"/>
              <w:bottom w:val="single" w:sz="4" w:space="0" w:color="auto"/>
              <w:right w:val="single" w:sz="4" w:space="0" w:color="auto"/>
            </w:tcBorders>
            <w:shd w:val="clear" w:color="auto" w:fill="C6EFCE"/>
            <w:noWrap/>
            <w:vAlign w:val="center"/>
          </w:tcPr>
          <w:p w14:paraId="5BBC3D48"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5F87DA8E" w14:textId="77777777" w:rsidR="00A00259" w:rsidRDefault="00371282">
            <w:pPr>
              <w:pStyle w:val="P68B1DB1-Normal55"/>
              <w:keepNext/>
              <w:spacing w:before="40" w:after="0" w:line="240" w:lineRule="auto"/>
              <w:jc w:val="both"/>
              <w:rPr>
                <w:rFonts w:eastAsia="Times New Roman" w:cs="Times New Roman"/>
                <w:noProof/>
                <w:szCs w:val="18"/>
              </w:rPr>
            </w:pPr>
            <w:r>
              <w:rPr>
                <w:noProof/>
              </w:rPr>
              <w:t>Entrée en vigueur de la loi sur les régulateurs de l'eau</w:t>
            </w:r>
          </w:p>
        </w:tc>
      </w:tr>
      <w:tr w:rsidR="00A00259" w14:paraId="05AB238E"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ED6A24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78</w:t>
            </w:r>
          </w:p>
        </w:tc>
        <w:tc>
          <w:tcPr>
            <w:tcW w:w="4838" w:type="dxa"/>
            <w:tcBorders>
              <w:top w:val="nil"/>
              <w:left w:val="nil"/>
              <w:bottom w:val="single" w:sz="4" w:space="0" w:color="auto"/>
              <w:right w:val="single" w:sz="4" w:space="0" w:color="auto"/>
            </w:tcBorders>
            <w:shd w:val="clear" w:color="auto" w:fill="C6EFCE"/>
            <w:noWrap/>
            <w:vAlign w:val="center"/>
          </w:tcPr>
          <w:p w14:paraId="0B1D296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4 - 1.4. Utilisation durable des ressources, résilience au changement climatique et protection de l'environnement - 16910_Système de suivi et de gestion</w:t>
            </w:r>
          </w:p>
        </w:tc>
        <w:tc>
          <w:tcPr>
            <w:tcW w:w="1134" w:type="dxa"/>
            <w:tcBorders>
              <w:top w:val="nil"/>
              <w:left w:val="nil"/>
              <w:bottom w:val="single" w:sz="4" w:space="0" w:color="auto"/>
              <w:right w:val="single" w:sz="4" w:space="0" w:color="auto"/>
            </w:tcBorders>
            <w:shd w:val="clear" w:color="auto" w:fill="C6EFCE"/>
            <w:noWrap/>
            <w:vAlign w:val="center"/>
          </w:tcPr>
          <w:p w14:paraId="78CB497C"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29CF02CC" w14:textId="77777777" w:rsidR="00A00259" w:rsidRDefault="00371282">
            <w:pPr>
              <w:pStyle w:val="P68B1DB1-Normal55"/>
              <w:keepNext/>
              <w:spacing w:before="40" w:after="0" w:line="240" w:lineRule="auto"/>
              <w:jc w:val="both"/>
              <w:rPr>
                <w:rFonts w:eastAsia="Times New Roman" w:cs="Times New Roman"/>
                <w:noProof/>
                <w:szCs w:val="18"/>
              </w:rPr>
            </w:pPr>
            <w:r>
              <w:rPr>
                <w:noProof/>
              </w:rPr>
              <w:t>Contrat pour GPS</w:t>
            </w:r>
          </w:p>
        </w:tc>
      </w:tr>
      <w:tr w:rsidR="00A00259" w14:paraId="3E0E2DF7"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117FB11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93</w:t>
            </w:r>
          </w:p>
        </w:tc>
        <w:tc>
          <w:tcPr>
            <w:tcW w:w="4838" w:type="dxa"/>
            <w:tcBorders>
              <w:top w:val="nil"/>
              <w:left w:val="nil"/>
              <w:bottom w:val="single" w:sz="4" w:space="0" w:color="auto"/>
              <w:right w:val="single" w:sz="4" w:space="0" w:color="auto"/>
            </w:tcBorders>
            <w:shd w:val="clear" w:color="auto" w:fill="C6EFCE"/>
            <w:noWrap/>
            <w:vAlign w:val="center"/>
          </w:tcPr>
          <w:p w14:paraId="6AB9832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6 - 2.2. Moderniser - 16778_Numérisation des archives et services connexes</w:t>
            </w:r>
          </w:p>
        </w:tc>
        <w:tc>
          <w:tcPr>
            <w:tcW w:w="1134" w:type="dxa"/>
            <w:tcBorders>
              <w:top w:val="nil"/>
              <w:left w:val="nil"/>
              <w:bottom w:val="single" w:sz="4" w:space="0" w:color="auto"/>
              <w:right w:val="single" w:sz="4" w:space="0" w:color="auto"/>
            </w:tcBorders>
            <w:shd w:val="clear" w:color="auto" w:fill="C6EFCE"/>
            <w:noWrap/>
            <w:vAlign w:val="center"/>
          </w:tcPr>
          <w:p w14:paraId="69E9CADB"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49182347" w14:textId="77777777" w:rsidR="00A00259" w:rsidRDefault="00371282">
            <w:pPr>
              <w:pStyle w:val="P68B1DB1-Normal55"/>
              <w:keepNext/>
              <w:spacing w:before="40" w:after="0" w:line="240" w:lineRule="auto"/>
              <w:jc w:val="both"/>
              <w:rPr>
                <w:rFonts w:eastAsia="Times New Roman" w:cs="Times New Roman"/>
                <w:noProof/>
                <w:szCs w:val="18"/>
              </w:rPr>
            </w:pPr>
            <w:r>
              <w:rPr>
                <w:noProof/>
              </w:rPr>
              <w:t>Attribution du(des) marché(s) pour la numérisation des archives</w:t>
            </w:r>
          </w:p>
        </w:tc>
      </w:tr>
      <w:tr w:rsidR="00A00259" w14:paraId="7BB86474"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4106280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100</w:t>
            </w:r>
          </w:p>
        </w:tc>
        <w:tc>
          <w:tcPr>
            <w:tcW w:w="4838" w:type="dxa"/>
            <w:tcBorders>
              <w:top w:val="nil"/>
              <w:left w:val="nil"/>
              <w:bottom w:val="single" w:sz="4" w:space="0" w:color="auto"/>
              <w:right w:val="single" w:sz="4" w:space="0" w:color="auto"/>
            </w:tcBorders>
            <w:shd w:val="clear" w:color="auto" w:fill="C6EFCE"/>
            <w:noWrap/>
            <w:vAlign w:val="center"/>
          </w:tcPr>
          <w:p w14:paraId="243AA9CD" w14:textId="77777777" w:rsidR="00A00259" w:rsidRDefault="00371282">
            <w:pPr>
              <w:pStyle w:val="P68B1DB1-Normal11"/>
              <w:keepNext/>
              <w:spacing w:before="40" w:after="0" w:line="240" w:lineRule="auto"/>
              <w:jc w:val="both"/>
              <w:rPr>
                <w:noProof/>
              </w:rPr>
            </w:pPr>
            <w:r>
              <w:rPr>
                <w:noProof/>
              </w:rPr>
              <w:t>6 - 2.2. Moderniser - 16779__Interopérabilité et développement de services web</w:t>
            </w:r>
          </w:p>
        </w:tc>
        <w:tc>
          <w:tcPr>
            <w:tcW w:w="1134" w:type="dxa"/>
            <w:tcBorders>
              <w:top w:val="nil"/>
              <w:left w:val="nil"/>
              <w:bottom w:val="single" w:sz="4" w:space="0" w:color="auto"/>
              <w:right w:val="single" w:sz="4" w:space="0" w:color="auto"/>
            </w:tcBorders>
            <w:shd w:val="clear" w:color="auto" w:fill="C6EFCE"/>
            <w:noWrap/>
            <w:vAlign w:val="center"/>
          </w:tcPr>
          <w:p w14:paraId="7990F0B7"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486F951D" w14:textId="77777777" w:rsidR="00A00259" w:rsidRDefault="00371282">
            <w:pPr>
              <w:pStyle w:val="P68B1DB1-Normal55"/>
              <w:keepNext/>
              <w:spacing w:before="40" w:after="0" w:line="240" w:lineRule="auto"/>
              <w:jc w:val="both"/>
              <w:rPr>
                <w:rFonts w:eastAsia="Times New Roman" w:cs="Times New Roman"/>
                <w:noProof/>
                <w:szCs w:val="18"/>
              </w:rPr>
            </w:pPr>
            <w:r>
              <w:rPr>
                <w:noProof/>
              </w:rPr>
              <w:t>Attribution du marché pour un projet de développement d'interopérabilité et de services web</w:t>
            </w:r>
          </w:p>
        </w:tc>
      </w:tr>
      <w:tr w:rsidR="00A00259" w14:paraId="3F6E45D8"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6BF2BE0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101</w:t>
            </w:r>
          </w:p>
        </w:tc>
        <w:tc>
          <w:tcPr>
            <w:tcW w:w="4838" w:type="dxa"/>
            <w:tcBorders>
              <w:top w:val="nil"/>
              <w:left w:val="nil"/>
              <w:bottom w:val="single" w:sz="4" w:space="0" w:color="auto"/>
              <w:right w:val="single" w:sz="4" w:space="0" w:color="auto"/>
            </w:tcBorders>
            <w:shd w:val="clear" w:color="auto" w:fill="C6EFCE"/>
            <w:noWrap/>
            <w:vAlign w:val="center"/>
          </w:tcPr>
          <w:p w14:paraId="5A72327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6 - 2.2. Moderniser - 16810_CRM pour le gouvernement général</w:t>
            </w:r>
          </w:p>
        </w:tc>
        <w:tc>
          <w:tcPr>
            <w:tcW w:w="1134" w:type="dxa"/>
            <w:tcBorders>
              <w:top w:val="nil"/>
              <w:left w:val="nil"/>
              <w:bottom w:val="single" w:sz="4" w:space="0" w:color="auto"/>
              <w:right w:val="single" w:sz="4" w:space="0" w:color="auto"/>
            </w:tcBorders>
            <w:shd w:val="clear" w:color="auto" w:fill="C6EFCE"/>
            <w:noWrap/>
            <w:vAlign w:val="center"/>
          </w:tcPr>
          <w:p w14:paraId="6A070A85"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2B2B83DC" w14:textId="77777777" w:rsidR="00A00259" w:rsidRDefault="00371282">
            <w:pPr>
              <w:pStyle w:val="P68B1DB1-Normal55"/>
              <w:keepNext/>
              <w:spacing w:before="40" w:after="0" w:line="240" w:lineRule="auto"/>
              <w:jc w:val="both"/>
              <w:rPr>
                <w:rFonts w:eastAsia="Times New Roman" w:cs="Times New Roman"/>
                <w:noProof/>
                <w:szCs w:val="18"/>
              </w:rPr>
            </w:pPr>
            <w:r>
              <w:rPr>
                <w:noProof/>
              </w:rPr>
              <w:t xml:space="preserve">Attribution du contrat de CRM pour le gouvernement général </w:t>
            </w:r>
          </w:p>
        </w:tc>
      </w:tr>
      <w:tr w:rsidR="00A00259" w14:paraId="18E65B22"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047A4EC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102</w:t>
            </w:r>
          </w:p>
        </w:tc>
        <w:tc>
          <w:tcPr>
            <w:tcW w:w="4838" w:type="dxa"/>
            <w:tcBorders>
              <w:top w:val="nil"/>
              <w:left w:val="nil"/>
              <w:bottom w:val="single" w:sz="4" w:space="0" w:color="auto"/>
              <w:right w:val="single" w:sz="4" w:space="0" w:color="auto"/>
            </w:tcBorders>
            <w:shd w:val="clear" w:color="auto" w:fill="C6EFCE"/>
            <w:noWrap/>
            <w:vAlign w:val="center"/>
          </w:tcPr>
          <w:p w14:paraId="632D03EE" w14:textId="77777777" w:rsidR="00A00259" w:rsidRDefault="00371282">
            <w:pPr>
              <w:pStyle w:val="P68B1DB1-Normal11"/>
              <w:keepNext/>
              <w:spacing w:before="40" w:after="0" w:line="240" w:lineRule="auto"/>
              <w:jc w:val="both"/>
              <w:rPr>
                <w:rFonts w:eastAsia="Times New Roman" w:cs="Times New Roman"/>
                <w:bCs/>
                <w:noProof/>
              </w:rPr>
            </w:pPr>
            <w:r>
              <w:rPr>
                <w:noProof/>
              </w:rPr>
              <w:t>6 - 2.2. 16780_ Modernisation des guichets uniques de l’administration publique</w:t>
            </w:r>
          </w:p>
        </w:tc>
        <w:tc>
          <w:tcPr>
            <w:tcW w:w="1134" w:type="dxa"/>
            <w:tcBorders>
              <w:top w:val="nil"/>
              <w:left w:val="nil"/>
              <w:bottom w:val="single" w:sz="4" w:space="0" w:color="auto"/>
              <w:right w:val="single" w:sz="4" w:space="0" w:color="auto"/>
            </w:tcBorders>
            <w:shd w:val="clear" w:color="auto" w:fill="C6EFCE"/>
            <w:noWrap/>
            <w:vAlign w:val="center"/>
          </w:tcPr>
          <w:p w14:paraId="50FCA0EB"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06B640F3" w14:textId="77777777" w:rsidR="00A00259" w:rsidRDefault="00371282">
            <w:pPr>
              <w:pStyle w:val="P68B1DB1-Normal55"/>
              <w:keepNext/>
              <w:spacing w:before="40" w:after="0" w:line="240" w:lineRule="auto"/>
              <w:jc w:val="both"/>
              <w:rPr>
                <w:rFonts w:eastAsia="Times New Roman" w:cs="Times New Roman"/>
                <w:noProof/>
                <w:szCs w:val="18"/>
              </w:rPr>
            </w:pPr>
            <w:r>
              <w:rPr>
                <w:noProof/>
              </w:rPr>
              <w:t>Attribution du marché pour la poursuite de la modernisation des guichets uniques de l’administration publique</w:t>
            </w:r>
          </w:p>
        </w:tc>
      </w:tr>
      <w:tr w:rsidR="00A00259" w14:paraId="6BAD56F4"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5842EB4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103</w:t>
            </w:r>
          </w:p>
        </w:tc>
        <w:tc>
          <w:tcPr>
            <w:tcW w:w="4838" w:type="dxa"/>
            <w:tcBorders>
              <w:top w:val="nil"/>
              <w:left w:val="nil"/>
              <w:bottom w:val="single" w:sz="4" w:space="0" w:color="auto"/>
              <w:right w:val="single" w:sz="4" w:space="0" w:color="auto"/>
            </w:tcBorders>
            <w:shd w:val="clear" w:color="auto" w:fill="C6EFCE"/>
            <w:noWrap/>
            <w:vAlign w:val="center"/>
          </w:tcPr>
          <w:p w14:paraId="1A4A2C3D"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6 - 2.2. Moderniser - 16736_Nouveau système pour les marchés publics</w:t>
            </w:r>
          </w:p>
        </w:tc>
        <w:tc>
          <w:tcPr>
            <w:tcW w:w="1134" w:type="dxa"/>
            <w:tcBorders>
              <w:top w:val="nil"/>
              <w:left w:val="nil"/>
              <w:bottom w:val="single" w:sz="4" w:space="0" w:color="auto"/>
              <w:right w:val="single" w:sz="4" w:space="0" w:color="auto"/>
            </w:tcBorders>
            <w:shd w:val="clear" w:color="auto" w:fill="C6EFCE"/>
            <w:noWrap/>
            <w:vAlign w:val="center"/>
          </w:tcPr>
          <w:p w14:paraId="2A8FE146"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6CC20E59" w14:textId="77777777" w:rsidR="00A00259" w:rsidRDefault="00371282">
            <w:pPr>
              <w:pStyle w:val="P68B1DB1-Normal55"/>
              <w:keepNext/>
              <w:spacing w:before="40" w:after="0" w:line="240" w:lineRule="auto"/>
              <w:jc w:val="both"/>
              <w:rPr>
                <w:rFonts w:eastAsia="Times New Roman" w:cs="Times New Roman"/>
                <w:noProof/>
                <w:szCs w:val="18"/>
              </w:rPr>
            </w:pPr>
            <w:r>
              <w:rPr>
                <w:noProof/>
              </w:rPr>
              <w:t>Attribution du marché pour le nouveau système de passation des marchés publics</w:t>
            </w:r>
          </w:p>
        </w:tc>
      </w:tr>
      <w:tr w:rsidR="00A00259" w14:paraId="7BE46F3C"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3EDBAC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104</w:t>
            </w:r>
          </w:p>
        </w:tc>
        <w:tc>
          <w:tcPr>
            <w:tcW w:w="4838" w:type="dxa"/>
            <w:tcBorders>
              <w:top w:val="nil"/>
              <w:left w:val="nil"/>
              <w:bottom w:val="single" w:sz="4" w:space="0" w:color="auto"/>
              <w:right w:val="single" w:sz="4" w:space="0" w:color="auto"/>
            </w:tcBorders>
            <w:shd w:val="clear" w:color="auto" w:fill="C6EFCE"/>
            <w:noWrap/>
            <w:vAlign w:val="center"/>
          </w:tcPr>
          <w:p w14:paraId="0222A8E1" w14:textId="77777777" w:rsidR="00A00259" w:rsidRDefault="00371282">
            <w:pPr>
              <w:pStyle w:val="P68B1DB1-Normal11"/>
              <w:keepNext/>
              <w:spacing w:before="40" w:after="0" w:line="240" w:lineRule="auto"/>
              <w:jc w:val="both"/>
              <w:rPr>
                <w:rFonts w:eastAsia="Times New Roman" w:cs="Times New Roman"/>
                <w:bCs/>
                <w:noProof/>
              </w:rPr>
            </w:pPr>
            <w:r>
              <w:rPr>
                <w:noProof/>
              </w:rPr>
              <w:t>6 - 2.2. 16823_ Stratégie et politiques de cybersécurité pour le secteur public &amp; services de sécurité avancés pour les infrastructures critiques nationales</w:t>
            </w:r>
          </w:p>
        </w:tc>
        <w:tc>
          <w:tcPr>
            <w:tcW w:w="1134" w:type="dxa"/>
            <w:tcBorders>
              <w:top w:val="nil"/>
              <w:left w:val="nil"/>
              <w:bottom w:val="single" w:sz="4" w:space="0" w:color="auto"/>
              <w:right w:val="single" w:sz="4" w:space="0" w:color="auto"/>
            </w:tcBorders>
            <w:shd w:val="clear" w:color="auto" w:fill="C6EFCE"/>
            <w:noWrap/>
            <w:vAlign w:val="center"/>
          </w:tcPr>
          <w:p w14:paraId="06B571B8"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79D8593D" w14:textId="77777777" w:rsidR="00A00259" w:rsidRDefault="00371282">
            <w:pPr>
              <w:pStyle w:val="P68B1DB1-Normal55"/>
              <w:keepNext/>
              <w:spacing w:before="40" w:after="0" w:line="240" w:lineRule="auto"/>
              <w:jc w:val="both"/>
              <w:rPr>
                <w:rFonts w:eastAsia="Times New Roman" w:cs="Times New Roman"/>
                <w:noProof/>
                <w:szCs w:val="18"/>
              </w:rPr>
            </w:pPr>
            <w:r>
              <w:rPr>
                <w:noProof/>
              </w:rPr>
              <w:t>Attribution du marché pour la stratégie de cybersécurité</w:t>
            </w:r>
          </w:p>
        </w:tc>
      </w:tr>
      <w:tr w:rsidR="00A00259" w14:paraId="0A4E398D"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058C4C0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105</w:t>
            </w:r>
          </w:p>
        </w:tc>
        <w:tc>
          <w:tcPr>
            <w:tcW w:w="4838" w:type="dxa"/>
            <w:tcBorders>
              <w:top w:val="nil"/>
              <w:left w:val="nil"/>
              <w:bottom w:val="single" w:sz="4" w:space="0" w:color="auto"/>
              <w:right w:val="single" w:sz="4" w:space="0" w:color="auto"/>
            </w:tcBorders>
            <w:shd w:val="clear" w:color="auto" w:fill="C6EFCE"/>
            <w:noWrap/>
            <w:vAlign w:val="center"/>
          </w:tcPr>
          <w:p w14:paraId="724E874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6 - 2.2. Moderniser - 16826_Programmes de mise à niveau des compétences numériques pour les conscrits</w:t>
            </w:r>
          </w:p>
        </w:tc>
        <w:tc>
          <w:tcPr>
            <w:tcW w:w="1134" w:type="dxa"/>
            <w:tcBorders>
              <w:top w:val="nil"/>
              <w:left w:val="nil"/>
              <w:bottom w:val="single" w:sz="4" w:space="0" w:color="auto"/>
              <w:right w:val="single" w:sz="4" w:space="0" w:color="auto"/>
            </w:tcBorders>
            <w:shd w:val="clear" w:color="auto" w:fill="C6EFCE"/>
            <w:noWrap/>
            <w:vAlign w:val="center"/>
          </w:tcPr>
          <w:p w14:paraId="49A8B8F6"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68CC8D1B" w14:textId="77777777" w:rsidR="00A00259" w:rsidRDefault="00371282">
            <w:pPr>
              <w:pStyle w:val="P68B1DB1-Normal55"/>
              <w:keepNext/>
              <w:spacing w:before="40" w:after="0" w:line="240" w:lineRule="auto"/>
              <w:jc w:val="both"/>
              <w:rPr>
                <w:rFonts w:eastAsia="Times New Roman" w:cs="Times New Roman"/>
                <w:noProof/>
                <w:szCs w:val="18"/>
              </w:rPr>
            </w:pPr>
            <w:r>
              <w:rPr>
                <w:noProof/>
              </w:rPr>
              <w:t>Attribution d'un contrat pour des programmes de mise à niveau des compétences numériques pour les conscrits</w:t>
            </w:r>
          </w:p>
        </w:tc>
      </w:tr>
      <w:tr w:rsidR="00A00259" w14:paraId="486C1019"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602898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106</w:t>
            </w:r>
          </w:p>
        </w:tc>
        <w:tc>
          <w:tcPr>
            <w:tcW w:w="4838" w:type="dxa"/>
            <w:tcBorders>
              <w:top w:val="nil"/>
              <w:left w:val="nil"/>
              <w:bottom w:val="single" w:sz="4" w:space="0" w:color="auto"/>
              <w:right w:val="single" w:sz="4" w:space="0" w:color="auto"/>
            </w:tcBorders>
            <w:shd w:val="clear" w:color="auto" w:fill="C6EFCE"/>
            <w:noWrap/>
            <w:vAlign w:val="center"/>
          </w:tcPr>
          <w:p w14:paraId="5A63A9F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6 - 2.2. Moderniser - 16742_Transformation numérique du ministère des Affaires étrangères</w:t>
            </w:r>
          </w:p>
        </w:tc>
        <w:tc>
          <w:tcPr>
            <w:tcW w:w="1134" w:type="dxa"/>
            <w:tcBorders>
              <w:top w:val="nil"/>
              <w:left w:val="nil"/>
              <w:bottom w:val="single" w:sz="4" w:space="0" w:color="auto"/>
              <w:right w:val="single" w:sz="4" w:space="0" w:color="auto"/>
            </w:tcBorders>
            <w:shd w:val="clear" w:color="auto" w:fill="C6EFCE"/>
            <w:noWrap/>
            <w:vAlign w:val="center"/>
          </w:tcPr>
          <w:p w14:paraId="3C7BFDA3"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7BBE23B0" w14:textId="77777777" w:rsidR="00A00259" w:rsidRDefault="00371282">
            <w:pPr>
              <w:pStyle w:val="P68B1DB1-Normal55"/>
              <w:keepNext/>
              <w:spacing w:before="40" w:after="0" w:line="240" w:lineRule="auto"/>
              <w:jc w:val="both"/>
              <w:rPr>
                <w:rFonts w:eastAsia="Times New Roman" w:cs="Times New Roman"/>
                <w:noProof/>
                <w:szCs w:val="18"/>
              </w:rPr>
            </w:pPr>
            <w:r>
              <w:rPr>
                <w:noProof/>
              </w:rPr>
              <w:t>Attribution du contrat pour la transformation numérique du ministère des affaires étrangères</w:t>
            </w:r>
          </w:p>
        </w:tc>
      </w:tr>
      <w:tr w:rsidR="00A00259" w14:paraId="19FAF75F"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4B25DF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107</w:t>
            </w:r>
          </w:p>
        </w:tc>
        <w:tc>
          <w:tcPr>
            <w:tcW w:w="4838" w:type="dxa"/>
            <w:tcBorders>
              <w:top w:val="nil"/>
              <w:left w:val="nil"/>
              <w:bottom w:val="single" w:sz="4" w:space="0" w:color="auto"/>
              <w:right w:val="single" w:sz="4" w:space="0" w:color="auto"/>
            </w:tcBorders>
            <w:shd w:val="clear" w:color="auto" w:fill="C6EFCE"/>
            <w:noWrap/>
            <w:vAlign w:val="center"/>
          </w:tcPr>
          <w:p w14:paraId="79CC4A49" w14:textId="0DC5FD3A" w:rsidR="00A00259" w:rsidRDefault="00371282">
            <w:pPr>
              <w:pStyle w:val="P68B1DB1-Normal55"/>
              <w:keepNext/>
              <w:spacing w:before="40" w:after="0" w:line="240" w:lineRule="auto"/>
              <w:jc w:val="both"/>
              <w:rPr>
                <w:rFonts w:eastAsia="Times New Roman" w:cs="Times New Roman"/>
                <w:bCs/>
                <w:noProof/>
                <w:szCs w:val="18"/>
              </w:rPr>
            </w:pPr>
            <w:r>
              <w:rPr>
                <w:noProof/>
              </w:rPr>
              <w:t>6 - 2.2. Moderniser - 16824_E-Registres</w:t>
            </w:r>
          </w:p>
        </w:tc>
        <w:tc>
          <w:tcPr>
            <w:tcW w:w="1134" w:type="dxa"/>
            <w:tcBorders>
              <w:top w:val="nil"/>
              <w:left w:val="nil"/>
              <w:bottom w:val="single" w:sz="4" w:space="0" w:color="auto"/>
              <w:right w:val="single" w:sz="4" w:space="0" w:color="auto"/>
            </w:tcBorders>
            <w:shd w:val="clear" w:color="auto" w:fill="C6EFCE"/>
            <w:noWrap/>
            <w:vAlign w:val="center"/>
          </w:tcPr>
          <w:p w14:paraId="2D4AC623"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289FEAAF" w14:textId="77777777" w:rsidR="00A00259" w:rsidRDefault="00371282">
            <w:pPr>
              <w:pStyle w:val="P68B1DB1-Normal55"/>
              <w:keepNext/>
              <w:spacing w:before="40" w:after="0" w:line="240" w:lineRule="auto"/>
              <w:jc w:val="both"/>
              <w:rPr>
                <w:rFonts w:eastAsia="Times New Roman" w:cs="Times New Roman"/>
                <w:noProof/>
                <w:szCs w:val="18"/>
              </w:rPr>
            </w:pPr>
            <w:r>
              <w:rPr>
                <w:noProof/>
              </w:rPr>
              <w:t>Attribution du marché pour les registres électroniques</w:t>
            </w:r>
          </w:p>
        </w:tc>
      </w:tr>
      <w:tr w:rsidR="00A00259" w14:paraId="5E65D2CE"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4BF0A90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121</w:t>
            </w:r>
          </w:p>
        </w:tc>
        <w:tc>
          <w:tcPr>
            <w:tcW w:w="4838" w:type="dxa"/>
            <w:tcBorders>
              <w:top w:val="nil"/>
              <w:left w:val="nil"/>
              <w:bottom w:val="single" w:sz="4" w:space="0" w:color="auto"/>
              <w:right w:val="single" w:sz="4" w:space="0" w:color="auto"/>
            </w:tcBorders>
            <w:shd w:val="clear" w:color="auto" w:fill="C6EFCE"/>
            <w:noWrap/>
            <w:vAlign w:val="center"/>
          </w:tcPr>
          <w:p w14:paraId="6A91C0F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6 - 2.2. Moderniser - 16842_Central BI - Analyse de données</w:t>
            </w:r>
          </w:p>
        </w:tc>
        <w:tc>
          <w:tcPr>
            <w:tcW w:w="1134" w:type="dxa"/>
            <w:tcBorders>
              <w:top w:val="nil"/>
              <w:left w:val="nil"/>
              <w:bottom w:val="single" w:sz="4" w:space="0" w:color="auto"/>
              <w:right w:val="single" w:sz="4" w:space="0" w:color="auto"/>
            </w:tcBorders>
            <w:shd w:val="clear" w:color="auto" w:fill="C6EFCE"/>
            <w:noWrap/>
            <w:vAlign w:val="center"/>
          </w:tcPr>
          <w:p w14:paraId="74A3D55C"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4C3D1545" w14:textId="77777777" w:rsidR="00A00259" w:rsidRDefault="00371282">
            <w:pPr>
              <w:pStyle w:val="P68B1DB1-Normal55"/>
              <w:keepNext/>
              <w:spacing w:before="40" w:after="0" w:line="240" w:lineRule="auto"/>
              <w:jc w:val="both"/>
              <w:rPr>
                <w:rFonts w:eastAsia="Times New Roman" w:cs="Times New Roman"/>
                <w:noProof/>
                <w:szCs w:val="18"/>
              </w:rPr>
            </w:pPr>
            <w:r>
              <w:rPr>
                <w:noProof/>
              </w:rPr>
              <w:t xml:space="preserve">Attribution du marché Central Business Intelligence (BI) </w:t>
            </w:r>
          </w:p>
        </w:tc>
      </w:tr>
      <w:tr w:rsidR="00A00259" w14:paraId="03B623D6"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0355016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134</w:t>
            </w:r>
          </w:p>
        </w:tc>
        <w:tc>
          <w:tcPr>
            <w:tcW w:w="4838" w:type="dxa"/>
            <w:tcBorders>
              <w:top w:val="nil"/>
              <w:left w:val="nil"/>
              <w:bottom w:val="single" w:sz="4" w:space="0" w:color="auto"/>
              <w:right w:val="single" w:sz="4" w:space="0" w:color="auto"/>
            </w:tcBorders>
            <w:shd w:val="clear" w:color="auto" w:fill="C6EFCE"/>
            <w:noWrap/>
            <w:vAlign w:val="center"/>
          </w:tcPr>
          <w:p w14:paraId="6F239AB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8 - 3.1. Promouvoir la création d'emplois et la participation au marché du travail - 16750_Transformation numérique des systèmes de travail</w:t>
            </w:r>
          </w:p>
        </w:tc>
        <w:tc>
          <w:tcPr>
            <w:tcW w:w="1134" w:type="dxa"/>
            <w:tcBorders>
              <w:top w:val="nil"/>
              <w:left w:val="nil"/>
              <w:bottom w:val="single" w:sz="4" w:space="0" w:color="auto"/>
              <w:right w:val="single" w:sz="4" w:space="0" w:color="auto"/>
            </w:tcBorders>
            <w:shd w:val="clear" w:color="auto" w:fill="C6EFCE"/>
            <w:noWrap/>
            <w:vAlign w:val="center"/>
          </w:tcPr>
          <w:p w14:paraId="43F35791"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6973349C" w14:textId="77777777" w:rsidR="00A00259" w:rsidRDefault="00371282">
            <w:pPr>
              <w:pStyle w:val="P68B1DB1-Normal55"/>
              <w:keepNext/>
              <w:spacing w:before="40" w:after="0" w:line="240" w:lineRule="auto"/>
              <w:jc w:val="both"/>
              <w:rPr>
                <w:rFonts w:eastAsia="Times New Roman" w:cs="Times New Roman"/>
                <w:noProof/>
                <w:szCs w:val="18"/>
              </w:rPr>
            </w:pPr>
            <w:r>
              <w:rPr>
                <w:noProof/>
              </w:rPr>
              <w:t>Attribution du contrat relatif aux systèmes informatiques de travail</w:t>
            </w:r>
          </w:p>
        </w:tc>
      </w:tr>
      <w:tr w:rsidR="00A00259" w14:paraId="1FC4F6A4"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D89701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139</w:t>
            </w:r>
          </w:p>
        </w:tc>
        <w:tc>
          <w:tcPr>
            <w:tcW w:w="4838" w:type="dxa"/>
            <w:tcBorders>
              <w:top w:val="nil"/>
              <w:left w:val="nil"/>
              <w:bottom w:val="single" w:sz="4" w:space="0" w:color="auto"/>
              <w:right w:val="single" w:sz="4" w:space="0" w:color="auto"/>
            </w:tcBorders>
            <w:shd w:val="clear" w:color="auto" w:fill="C6EFCE"/>
            <w:noWrap/>
            <w:vAlign w:val="center"/>
          </w:tcPr>
          <w:p w14:paraId="1C9D96F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9 - 3.2. Éducation, enseignement et formation professionnels et compétences - 16913_Une nouvelle stratégie pour la formation tout au long de la vie: Moderniser et moderniser le système grec de perfectionnement et de reconversion professionnels</w:t>
            </w:r>
          </w:p>
        </w:tc>
        <w:tc>
          <w:tcPr>
            <w:tcW w:w="1134" w:type="dxa"/>
            <w:tcBorders>
              <w:top w:val="nil"/>
              <w:left w:val="nil"/>
              <w:bottom w:val="single" w:sz="4" w:space="0" w:color="auto"/>
              <w:right w:val="single" w:sz="4" w:space="0" w:color="auto"/>
            </w:tcBorders>
            <w:shd w:val="clear" w:color="auto" w:fill="C6EFCE"/>
            <w:noWrap/>
            <w:vAlign w:val="center"/>
          </w:tcPr>
          <w:p w14:paraId="64B56A8E" w14:textId="77777777" w:rsidR="00A00259" w:rsidRDefault="00371282">
            <w:pPr>
              <w:pStyle w:val="P68B1DB1-Normal55"/>
              <w:keepNext/>
              <w:spacing w:before="40" w:after="0" w:line="240" w:lineRule="auto"/>
              <w:jc w:val="both"/>
              <w:rPr>
                <w:rFonts w:eastAsia="Times New Roman" w:cs="Times New Roman"/>
                <w:noProof/>
                <w:szCs w:val="18"/>
              </w:rPr>
            </w:pPr>
            <w:r>
              <w:rPr>
                <w:noProof/>
              </w:rPr>
              <w:t>Objectif</w:t>
            </w:r>
          </w:p>
        </w:tc>
        <w:tc>
          <w:tcPr>
            <w:tcW w:w="3110" w:type="dxa"/>
            <w:tcBorders>
              <w:top w:val="nil"/>
              <w:left w:val="nil"/>
              <w:bottom w:val="single" w:sz="4" w:space="0" w:color="auto"/>
              <w:right w:val="single" w:sz="4" w:space="0" w:color="auto"/>
            </w:tcBorders>
            <w:shd w:val="clear" w:color="auto" w:fill="C6EFCE"/>
            <w:noWrap/>
            <w:vAlign w:val="center"/>
          </w:tcPr>
          <w:p w14:paraId="1EC5A7D9" w14:textId="77777777" w:rsidR="00A00259" w:rsidRDefault="00371282">
            <w:pPr>
              <w:pStyle w:val="P68B1DB1-Normal55"/>
              <w:keepNext/>
              <w:spacing w:before="40" w:after="0" w:line="240" w:lineRule="auto"/>
              <w:jc w:val="both"/>
              <w:rPr>
                <w:rFonts w:eastAsia="Times New Roman" w:cs="Times New Roman"/>
                <w:noProof/>
                <w:szCs w:val="18"/>
              </w:rPr>
            </w:pPr>
            <w:r>
              <w:rPr>
                <w:noProof/>
              </w:rPr>
              <w:t>Validation de l'achèvement de la stratégie d'éducation et de formation tout au long de la vie</w:t>
            </w:r>
          </w:p>
        </w:tc>
      </w:tr>
      <w:tr w:rsidR="00A00259" w14:paraId="6351D700"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6236BE0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159</w:t>
            </w:r>
          </w:p>
        </w:tc>
        <w:tc>
          <w:tcPr>
            <w:tcW w:w="4838" w:type="dxa"/>
            <w:tcBorders>
              <w:top w:val="nil"/>
              <w:left w:val="nil"/>
              <w:bottom w:val="single" w:sz="4" w:space="0" w:color="auto"/>
              <w:right w:val="single" w:sz="4" w:space="0" w:color="auto"/>
            </w:tcBorders>
            <w:shd w:val="clear" w:color="auto" w:fill="C6EFCE"/>
            <w:noWrap/>
            <w:vAlign w:val="center"/>
          </w:tcPr>
          <w:p w14:paraId="692410B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10 - 3.3. «Améliorer la résilience, l'accessibilité et la durabilité des soins de santé» - 16755_Réforme du système de soins de santé primaires</w:t>
            </w:r>
          </w:p>
        </w:tc>
        <w:tc>
          <w:tcPr>
            <w:tcW w:w="1134" w:type="dxa"/>
            <w:tcBorders>
              <w:top w:val="nil"/>
              <w:left w:val="nil"/>
              <w:bottom w:val="single" w:sz="4" w:space="0" w:color="auto"/>
              <w:right w:val="single" w:sz="4" w:space="0" w:color="auto"/>
            </w:tcBorders>
            <w:shd w:val="clear" w:color="auto" w:fill="C6EFCE"/>
            <w:noWrap/>
            <w:vAlign w:val="center"/>
          </w:tcPr>
          <w:p w14:paraId="27A13875"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6EFFB864" w14:textId="77777777" w:rsidR="00A00259" w:rsidRDefault="00371282">
            <w:pPr>
              <w:pStyle w:val="P68B1DB1-Normal55"/>
              <w:keepNext/>
              <w:spacing w:before="40" w:after="0" w:line="240" w:lineRule="auto"/>
              <w:jc w:val="both"/>
              <w:rPr>
                <w:rFonts w:eastAsia="Times New Roman" w:cs="Times New Roman"/>
                <w:noProof/>
                <w:szCs w:val="18"/>
              </w:rPr>
            </w:pPr>
            <w:r>
              <w:rPr>
                <w:noProof/>
              </w:rPr>
              <w:t xml:space="preserve">Activation des programmes de médecine familiale pour les soins de santé primaires </w:t>
            </w:r>
          </w:p>
        </w:tc>
      </w:tr>
      <w:tr w:rsidR="00A00259" w14:paraId="39D036D3"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55B212C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160</w:t>
            </w:r>
          </w:p>
        </w:tc>
        <w:tc>
          <w:tcPr>
            <w:tcW w:w="4838" w:type="dxa"/>
            <w:tcBorders>
              <w:top w:val="nil"/>
              <w:left w:val="nil"/>
              <w:bottom w:val="single" w:sz="4" w:space="0" w:color="auto"/>
              <w:right w:val="single" w:sz="4" w:space="0" w:color="auto"/>
            </w:tcBorders>
            <w:shd w:val="clear" w:color="auto" w:fill="C6EFCE"/>
            <w:noWrap/>
            <w:vAlign w:val="center"/>
          </w:tcPr>
          <w:p w14:paraId="2B887A0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10 - 3.3. «Améliorer la résilience, l'accessibilité et la durabilité des soins de santé» - 16820_Réforme dans les domaines de la santé mentale et des toxicomanies</w:t>
            </w:r>
          </w:p>
        </w:tc>
        <w:tc>
          <w:tcPr>
            <w:tcW w:w="1134" w:type="dxa"/>
            <w:tcBorders>
              <w:top w:val="nil"/>
              <w:left w:val="nil"/>
              <w:bottom w:val="single" w:sz="4" w:space="0" w:color="auto"/>
              <w:right w:val="single" w:sz="4" w:space="0" w:color="auto"/>
            </w:tcBorders>
            <w:shd w:val="clear" w:color="auto" w:fill="C6EFCE"/>
            <w:noWrap/>
            <w:vAlign w:val="center"/>
          </w:tcPr>
          <w:p w14:paraId="2DBEF8F3" w14:textId="77777777" w:rsidR="00A00259" w:rsidRDefault="00371282">
            <w:pPr>
              <w:pStyle w:val="P68B1DB1-Normal55"/>
              <w:keepNext/>
              <w:spacing w:before="40" w:after="0" w:line="240" w:lineRule="auto"/>
              <w:jc w:val="both"/>
              <w:rPr>
                <w:rFonts w:eastAsia="Times New Roman" w:cs="Times New Roman"/>
                <w:noProof/>
                <w:szCs w:val="18"/>
              </w:rPr>
            </w:pPr>
            <w:r>
              <w:rPr>
                <w:noProof/>
              </w:rPr>
              <w:t>Objectif</w:t>
            </w:r>
          </w:p>
        </w:tc>
        <w:tc>
          <w:tcPr>
            <w:tcW w:w="3110" w:type="dxa"/>
            <w:tcBorders>
              <w:top w:val="nil"/>
              <w:left w:val="nil"/>
              <w:bottom w:val="single" w:sz="4" w:space="0" w:color="auto"/>
              <w:right w:val="single" w:sz="4" w:space="0" w:color="auto"/>
            </w:tcBorders>
            <w:shd w:val="clear" w:color="auto" w:fill="C6EFCE"/>
            <w:noWrap/>
            <w:vAlign w:val="center"/>
          </w:tcPr>
          <w:p w14:paraId="12614CE9" w14:textId="77777777" w:rsidR="00A00259" w:rsidRDefault="00371282">
            <w:pPr>
              <w:pStyle w:val="P68B1DB1-Normal55"/>
              <w:keepNext/>
              <w:spacing w:before="40" w:after="0" w:line="240" w:lineRule="auto"/>
              <w:jc w:val="both"/>
              <w:rPr>
                <w:rFonts w:eastAsia="Times New Roman" w:cs="Times New Roman"/>
                <w:noProof/>
                <w:szCs w:val="18"/>
              </w:rPr>
            </w:pPr>
            <w:r>
              <w:rPr>
                <w:noProof/>
              </w:rPr>
              <w:t>Santé mentale – 50 unités ouvertes – étape 1 de 2</w:t>
            </w:r>
          </w:p>
        </w:tc>
      </w:tr>
      <w:tr w:rsidR="00A00259" w14:paraId="3C4F07E5"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03D40EA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211</w:t>
            </w:r>
          </w:p>
        </w:tc>
        <w:tc>
          <w:tcPr>
            <w:tcW w:w="4838" w:type="dxa"/>
            <w:tcBorders>
              <w:top w:val="nil"/>
              <w:left w:val="nil"/>
              <w:bottom w:val="single" w:sz="4" w:space="0" w:color="auto"/>
              <w:right w:val="single" w:sz="4" w:space="0" w:color="auto"/>
            </w:tcBorders>
            <w:shd w:val="clear" w:color="auto" w:fill="C6EFCE"/>
            <w:noWrap/>
            <w:vAlign w:val="center"/>
          </w:tcPr>
          <w:p w14:paraId="7941DF0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13 - 4.2. Moderniser l'administration publique, notamment en accélérant la mise en œuvre des investissements publics, en améliorant le cadre des marchés publics, les mesures de renforcement des capacités et en luttant contre la corruption - 16952_Renforcer le cadre national de lutte contre la corruption au moyen d'interventions ciblées dans les domaines de la détection, de la prévention et de la sensibilisation</w:t>
            </w:r>
          </w:p>
        </w:tc>
        <w:tc>
          <w:tcPr>
            <w:tcW w:w="1134" w:type="dxa"/>
            <w:tcBorders>
              <w:top w:val="nil"/>
              <w:left w:val="nil"/>
              <w:bottom w:val="single" w:sz="4" w:space="0" w:color="auto"/>
              <w:right w:val="single" w:sz="4" w:space="0" w:color="auto"/>
            </w:tcBorders>
            <w:shd w:val="clear" w:color="auto" w:fill="C6EFCE"/>
            <w:noWrap/>
            <w:vAlign w:val="center"/>
          </w:tcPr>
          <w:p w14:paraId="6F15CD48"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327136C6" w14:textId="77777777" w:rsidR="00A00259" w:rsidRDefault="00371282">
            <w:pPr>
              <w:pStyle w:val="P68B1DB1-Normal55"/>
              <w:keepNext/>
              <w:spacing w:before="40" w:after="0" w:line="240" w:lineRule="auto"/>
              <w:jc w:val="both"/>
              <w:rPr>
                <w:rFonts w:eastAsia="Times New Roman" w:cs="Times New Roman"/>
                <w:noProof/>
                <w:szCs w:val="18"/>
              </w:rPr>
            </w:pPr>
            <w:r>
              <w:rPr>
                <w:noProof/>
              </w:rPr>
              <w:t>Mise en œuvre de la législation sur les contrôles internes</w:t>
            </w:r>
          </w:p>
        </w:tc>
      </w:tr>
      <w:tr w:rsidR="00A00259" w14:paraId="7131852F"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3EEEBE5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214</w:t>
            </w:r>
          </w:p>
        </w:tc>
        <w:tc>
          <w:tcPr>
            <w:tcW w:w="4838" w:type="dxa"/>
            <w:tcBorders>
              <w:top w:val="nil"/>
              <w:left w:val="nil"/>
              <w:bottom w:val="single" w:sz="4" w:space="0" w:color="auto"/>
              <w:right w:val="single" w:sz="4" w:space="0" w:color="auto"/>
            </w:tcBorders>
            <w:shd w:val="clear" w:color="auto" w:fill="C6EFCE"/>
            <w:noWrap/>
            <w:vAlign w:val="center"/>
          </w:tcPr>
          <w:p w14:paraId="6809343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- 16701_Enhance State-aid network</w:t>
            </w:r>
          </w:p>
        </w:tc>
        <w:tc>
          <w:tcPr>
            <w:tcW w:w="1134" w:type="dxa"/>
            <w:tcBorders>
              <w:top w:val="nil"/>
              <w:left w:val="nil"/>
              <w:bottom w:val="single" w:sz="4" w:space="0" w:color="auto"/>
              <w:right w:val="single" w:sz="4" w:space="0" w:color="auto"/>
            </w:tcBorders>
            <w:shd w:val="clear" w:color="auto" w:fill="C6EFCE"/>
            <w:noWrap/>
            <w:vAlign w:val="center"/>
          </w:tcPr>
          <w:p w14:paraId="44254B05"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65BBD043" w14:textId="77777777" w:rsidR="00A00259" w:rsidRDefault="00371282">
            <w:pPr>
              <w:pStyle w:val="P68B1DB1-Normal55"/>
              <w:keepNext/>
              <w:spacing w:before="40" w:after="0" w:line="240" w:lineRule="auto"/>
              <w:jc w:val="both"/>
              <w:rPr>
                <w:rFonts w:eastAsia="Times New Roman" w:cs="Times New Roman"/>
                <w:noProof/>
                <w:szCs w:val="18"/>
              </w:rPr>
            </w:pPr>
            <w:r>
              <w:rPr>
                <w:noProof/>
              </w:rPr>
              <w:t>Renforcement du réseau d'aides d'État</w:t>
            </w:r>
          </w:p>
        </w:tc>
      </w:tr>
      <w:tr w:rsidR="00A00259" w14:paraId="54B3EF8E"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13CF5D0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215</w:t>
            </w:r>
          </w:p>
        </w:tc>
        <w:tc>
          <w:tcPr>
            <w:tcW w:w="4838" w:type="dxa"/>
            <w:tcBorders>
              <w:top w:val="nil"/>
              <w:left w:val="nil"/>
              <w:bottom w:val="single" w:sz="4" w:space="0" w:color="auto"/>
              <w:right w:val="single" w:sz="4" w:space="0" w:color="auto"/>
            </w:tcBorders>
            <w:shd w:val="clear" w:color="auto" w:fill="C6EFCE"/>
            <w:noWrap/>
            <w:vAlign w:val="center"/>
          </w:tcPr>
          <w:p w14:paraId="1530A04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- 16981_Amélioration de la planification et de la coordination des politiques</w:t>
            </w:r>
          </w:p>
        </w:tc>
        <w:tc>
          <w:tcPr>
            <w:tcW w:w="1134" w:type="dxa"/>
            <w:tcBorders>
              <w:top w:val="nil"/>
              <w:left w:val="nil"/>
              <w:bottom w:val="single" w:sz="4" w:space="0" w:color="auto"/>
              <w:right w:val="single" w:sz="4" w:space="0" w:color="auto"/>
            </w:tcBorders>
            <w:shd w:val="clear" w:color="auto" w:fill="C6EFCE"/>
            <w:noWrap/>
            <w:vAlign w:val="center"/>
          </w:tcPr>
          <w:p w14:paraId="05806E67"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2B180CE8" w14:textId="77777777" w:rsidR="00A00259" w:rsidRDefault="00371282">
            <w:pPr>
              <w:pStyle w:val="P68B1DB1-Normal55"/>
              <w:keepNext/>
              <w:spacing w:before="40" w:after="0" w:line="240" w:lineRule="auto"/>
              <w:jc w:val="both"/>
              <w:rPr>
                <w:rFonts w:eastAsia="Times New Roman" w:cs="Times New Roman"/>
                <w:noProof/>
                <w:szCs w:val="18"/>
              </w:rPr>
            </w:pPr>
            <w:r>
              <w:rPr>
                <w:noProof/>
              </w:rPr>
              <w:t>Planification et coordination des politiques – analyse d’impact</w:t>
            </w:r>
          </w:p>
        </w:tc>
      </w:tr>
      <w:tr w:rsidR="00A00259" w14:paraId="73686DE5"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15F9FB2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226</w:t>
            </w:r>
          </w:p>
        </w:tc>
        <w:tc>
          <w:tcPr>
            <w:tcW w:w="4838" w:type="dxa"/>
            <w:tcBorders>
              <w:top w:val="nil"/>
              <w:left w:val="nil"/>
              <w:bottom w:val="single" w:sz="4" w:space="0" w:color="auto"/>
              <w:right w:val="single" w:sz="4" w:space="0" w:color="auto"/>
            </w:tcBorders>
            <w:shd w:val="clear" w:color="auto" w:fill="C6EFCE"/>
            <w:noWrap/>
            <w:vAlign w:val="center"/>
          </w:tcPr>
          <w:p w14:paraId="32257FA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14 - 4.3. Améliorer l’efficacité du système judiciaire – 16575 Accélérer l’administration de la justice</w:t>
            </w:r>
          </w:p>
        </w:tc>
        <w:tc>
          <w:tcPr>
            <w:tcW w:w="1134" w:type="dxa"/>
            <w:tcBorders>
              <w:top w:val="nil"/>
              <w:left w:val="nil"/>
              <w:bottom w:val="single" w:sz="4" w:space="0" w:color="auto"/>
              <w:right w:val="single" w:sz="4" w:space="0" w:color="auto"/>
            </w:tcBorders>
            <w:shd w:val="clear" w:color="auto" w:fill="C6EFCE"/>
            <w:noWrap/>
            <w:vAlign w:val="center"/>
          </w:tcPr>
          <w:p w14:paraId="639E299D"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45AF5BFA" w14:textId="77777777" w:rsidR="00A00259" w:rsidRDefault="00371282">
            <w:pPr>
              <w:pStyle w:val="P68B1DB1-Normal55"/>
              <w:keepNext/>
              <w:spacing w:before="40" w:after="0" w:line="240" w:lineRule="auto"/>
              <w:jc w:val="both"/>
              <w:rPr>
                <w:rFonts w:eastAsia="Times New Roman" w:cs="Times New Roman"/>
                <w:noProof/>
                <w:szCs w:val="18"/>
              </w:rPr>
            </w:pPr>
            <w:r>
              <w:rPr>
                <w:noProof/>
              </w:rPr>
              <w:t>Carte judiciaire - législation primaire - administrative</w:t>
            </w:r>
          </w:p>
        </w:tc>
      </w:tr>
      <w:tr w:rsidR="00A00259" w14:paraId="050048B0"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084CCF8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227</w:t>
            </w:r>
          </w:p>
        </w:tc>
        <w:tc>
          <w:tcPr>
            <w:tcW w:w="4838" w:type="dxa"/>
            <w:tcBorders>
              <w:top w:val="nil"/>
              <w:left w:val="nil"/>
              <w:bottom w:val="single" w:sz="4" w:space="0" w:color="auto"/>
              <w:right w:val="single" w:sz="4" w:space="0" w:color="auto"/>
            </w:tcBorders>
            <w:shd w:val="clear" w:color="auto" w:fill="C6EFCE"/>
            <w:noWrap/>
            <w:vAlign w:val="center"/>
          </w:tcPr>
          <w:p w14:paraId="05C104C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14 - 4.3. Améliorer l'efficacité du système judiciaire - 16292_Nouveaux bâtiments judiciaires</w:t>
            </w:r>
          </w:p>
        </w:tc>
        <w:tc>
          <w:tcPr>
            <w:tcW w:w="1134" w:type="dxa"/>
            <w:tcBorders>
              <w:top w:val="nil"/>
              <w:left w:val="nil"/>
              <w:bottom w:val="single" w:sz="4" w:space="0" w:color="auto"/>
              <w:right w:val="single" w:sz="4" w:space="0" w:color="auto"/>
            </w:tcBorders>
            <w:shd w:val="clear" w:color="auto" w:fill="C6EFCE"/>
            <w:noWrap/>
            <w:vAlign w:val="center"/>
          </w:tcPr>
          <w:p w14:paraId="58E1A86D"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110" w:type="dxa"/>
            <w:tcBorders>
              <w:top w:val="nil"/>
              <w:left w:val="nil"/>
              <w:bottom w:val="single" w:sz="4" w:space="0" w:color="auto"/>
              <w:right w:val="single" w:sz="4" w:space="0" w:color="auto"/>
            </w:tcBorders>
            <w:shd w:val="clear" w:color="auto" w:fill="C6EFCE"/>
            <w:noWrap/>
            <w:vAlign w:val="center"/>
          </w:tcPr>
          <w:p w14:paraId="64073EC7" w14:textId="77777777" w:rsidR="00A00259" w:rsidRDefault="00371282">
            <w:pPr>
              <w:pStyle w:val="P68B1DB1-Normal55"/>
              <w:keepNext/>
              <w:spacing w:before="40" w:after="0" w:line="240" w:lineRule="auto"/>
              <w:jc w:val="both"/>
              <w:rPr>
                <w:rFonts w:eastAsia="Times New Roman" w:cs="Times New Roman"/>
                <w:noProof/>
                <w:szCs w:val="18"/>
              </w:rPr>
            </w:pPr>
            <w:r>
              <w:rPr>
                <w:noProof/>
              </w:rPr>
              <w:t>Construction et Rénovation de Bâtiments Judiciaires - Ajustement de Liste - Lancement d'appels d'offres</w:t>
            </w:r>
          </w:p>
        </w:tc>
      </w:tr>
      <w:tr w:rsidR="00A00259" w14:paraId="5540D51A" w14:textId="77777777">
        <w:trPr>
          <w:trHeight w:val="302"/>
          <w:jc w:val="center"/>
        </w:trPr>
        <w:tc>
          <w:tcPr>
            <w:tcW w:w="542"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6F14D18" w14:textId="77777777" w:rsidR="00A00259" w:rsidRDefault="00A00259">
            <w:pPr>
              <w:keepNext/>
              <w:spacing w:before="40" w:after="0" w:line="240" w:lineRule="auto"/>
              <w:jc w:val="both"/>
              <w:rPr>
                <w:rFonts w:ascii="Times New Roman" w:eastAsia="Times New Roman" w:hAnsi="Times New Roman" w:cs="Times New Roman"/>
                <w:bCs/>
                <w:noProof/>
                <w:sz w:val="18"/>
                <w:szCs w:val="18"/>
              </w:rPr>
            </w:pPr>
          </w:p>
        </w:tc>
        <w:tc>
          <w:tcPr>
            <w:tcW w:w="4838" w:type="dxa"/>
            <w:tcBorders>
              <w:top w:val="single" w:sz="4" w:space="0" w:color="auto"/>
              <w:left w:val="nil"/>
              <w:bottom w:val="single" w:sz="4" w:space="0" w:color="auto"/>
              <w:right w:val="single" w:sz="4" w:space="0" w:color="auto"/>
            </w:tcBorders>
            <w:shd w:val="clear" w:color="auto" w:fill="C6EFCE"/>
            <w:noWrap/>
            <w:vAlign w:val="bottom"/>
          </w:tcPr>
          <w:p w14:paraId="222784A9" w14:textId="77777777" w:rsidR="00A00259" w:rsidRDefault="00A00259">
            <w:pPr>
              <w:keepNext/>
              <w:spacing w:before="40" w:after="0" w:line="240" w:lineRule="auto"/>
              <w:jc w:val="both"/>
              <w:rPr>
                <w:rFonts w:ascii="Times New Roman" w:eastAsia="Times New Roman" w:hAnsi="Times New Roman" w:cs="Times New Roman"/>
                <w:bCs/>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vAlign w:val="bottom"/>
          </w:tcPr>
          <w:p w14:paraId="61191372" w14:textId="77777777" w:rsidR="00A00259" w:rsidRDefault="00371282">
            <w:pPr>
              <w:pStyle w:val="P68B1DB1-Normal55"/>
              <w:keepNext/>
              <w:spacing w:before="40" w:after="0" w:line="240" w:lineRule="auto"/>
              <w:jc w:val="both"/>
              <w:rPr>
                <w:rFonts w:eastAsia="Times New Roman" w:cs="Times New Roman"/>
                <w:noProof/>
                <w:szCs w:val="18"/>
              </w:rPr>
            </w:pPr>
            <w:r>
              <w:rPr>
                <w:noProof/>
              </w:rPr>
              <w:t>Montant des acomptes provisionnels</w:t>
            </w:r>
          </w:p>
        </w:tc>
        <w:tc>
          <w:tcPr>
            <w:tcW w:w="3110" w:type="dxa"/>
            <w:tcBorders>
              <w:top w:val="single" w:sz="4" w:space="0" w:color="auto"/>
              <w:left w:val="nil"/>
              <w:bottom w:val="single" w:sz="4" w:space="0" w:color="auto"/>
              <w:right w:val="single" w:sz="4" w:space="0" w:color="auto"/>
            </w:tcBorders>
            <w:shd w:val="clear" w:color="auto" w:fill="C6EFCE"/>
            <w:noWrap/>
            <w:vAlign w:val="bottom"/>
          </w:tcPr>
          <w:p w14:paraId="1A0BE444" w14:textId="77777777" w:rsidR="00A00259" w:rsidRDefault="00371282">
            <w:pPr>
              <w:pStyle w:val="P68B1DB1-Normal55"/>
              <w:keepNext/>
              <w:spacing w:before="40" w:after="0" w:line="240" w:lineRule="auto"/>
              <w:jc w:val="both"/>
              <w:rPr>
                <w:rFonts w:eastAsia="Times New Roman" w:cs="Times New Roman"/>
                <w:noProof/>
                <w:szCs w:val="18"/>
              </w:rPr>
            </w:pPr>
            <w:r>
              <w:rPr>
                <w:noProof/>
              </w:rPr>
              <w:t>1 974 438 067 EUR</w:t>
            </w:r>
          </w:p>
        </w:tc>
      </w:tr>
    </w:tbl>
    <w:p w14:paraId="333C1C77" w14:textId="77777777" w:rsidR="00A00259" w:rsidRDefault="00A00259">
      <w:pPr>
        <w:keepNext/>
        <w:spacing w:before="40" w:after="0" w:line="259" w:lineRule="auto"/>
        <w:jc w:val="both"/>
        <w:rPr>
          <w:rFonts w:ascii="Times New Roman" w:eastAsia="Times New Roman" w:hAnsi="Times New Roman" w:cs="Times New Roman"/>
          <w:bCs/>
          <w:noProof/>
          <w:sz w:val="24"/>
          <w:szCs w:val="26"/>
        </w:rPr>
      </w:pPr>
    </w:p>
    <w:p w14:paraId="241CC8CA" w14:textId="77777777" w:rsidR="00A00259" w:rsidRDefault="00A00259">
      <w:pPr>
        <w:keepNext/>
        <w:numPr>
          <w:ilvl w:val="1"/>
          <w:numId w:val="93"/>
        </w:numPr>
        <w:spacing w:before="40" w:after="0" w:line="259" w:lineRule="auto"/>
        <w:ind w:left="0"/>
        <w:contextualSpacing/>
        <w:jc w:val="both"/>
        <w:rPr>
          <w:rFonts w:ascii="Times New Roman" w:hAnsi="Times New Roman"/>
          <w:noProof/>
          <w:sz w:val="24"/>
        </w:rPr>
        <w:sectPr w:rsidR="00A00259">
          <w:headerReference w:type="even" r:id="rId438"/>
          <w:headerReference w:type="default" r:id="rId439"/>
          <w:footerReference w:type="even" r:id="rId440"/>
          <w:footerReference w:type="default" r:id="rId441"/>
          <w:headerReference w:type="first" r:id="rId442"/>
          <w:footerReference w:type="first" r:id="rId443"/>
          <w:pgSz w:w="11906" w:h="16838"/>
          <w:pgMar w:top="1134" w:right="1134" w:bottom="1134" w:left="1134" w:header="567" w:footer="567" w:gutter="0"/>
          <w:cols w:space="708"/>
          <w:docGrid w:linePitch="360"/>
        </w:sectPr>
      </w:pPr>
    </w:p>
    <w:p w14:paraId="7F4FB2C3" w14:textId="77777777" w:rsidR="00A00259" w:rsidRDefault="00371282">
      <w:pPr>
        <w:pStyle w:val="P68B1DB1-Normal5"/>
        <w:keepNext/>
        <w:numPr>
          <w:ilvl w:val="1"/>
          <w:numId w:val="93"/>
        </w:numPr>
        <w:spacing w:before="40" w:after="0" w:line="259" w:lineRule="auto"/>
        <w:ind w:left="0"/>
        <w:contextualSpacing/>
        <w:jc w:val="both"/>
        <w:rPr>
          <w:rFonts w:eastAsia="Times New Roman" w:cs="Times New Roman"/>
          <w:i/>
          <w:noProof/>
          <w:color w:val="4F81BD"/>
        </w:rPr>
      </w:pPr>
      <w:r>
        <w:rPr>
          <w:noProof/>
        </w:rPr>
        <w:t xml:space="preserve"> Quatrième demande de paiement (soutien non remboursable): </w:t>
      </w:r>
    </w:p>
    <w:p w14:paraId="2F89EAB0" w14:textId="77777777" w:rsidR="00A00259" w:rsidRDefault="00A00259">
      <w:pPr>
        <w:keepNext/>
        <w:spacing w:before="40" w:after="0" w:line="259" w:lineRule="auto"/>
        <w:contextualSpacing/>
        <w:jc w:val="both"/>
        <w:rPr>
          <w:rFonts w:ascii="Times New Roman" w:eastAsia="Times New Roman" w:hAnsi="Times New Roman" w:cs="Times New Roman"/>
          <w:i/>
          <w:noProof/>
          <w:color w:val="4F81BD"/>
          <w:sz w:val="24"/>
        </w:rPr>
      </w:pPr>
    </w:p>
    <w:tbl>
      <w:tblPr>
        <w:tblW w:w="9595" w:type="dxa"/>
        <w:jc w:val="center"/>
        <w:tblLayout w:type="fixed"/>
        <w:tblLook w:val="04A0" w:firstRow="1" w:lastRow="0" w:firstColumn="1" w:lastColumn="0" w:noHBand="0" w:noVBand="1"/>
      </w:tblPr>
      <w:tblGrid>
        <w:gridCol w:w="675"/>
        <w:gridCol w:w="4962"/>
        <w:gridCol w:w="992"/>
        <w:gridCol w:w="2966"/>
      </w:tblGrid>
      <w:tr w:rsidR="00A00259" w14:paraId="1E98D105" w14:textId="77777777">
        <w:trPr>
          <w:trHeight w:val="906"/>
          <w:tblHeader/>
          <w:jc w:val="center"/>
        </w:trPr>
        <w:tc>
          <w:tcPr>
            <w:tcW w:w="6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FD218D" w14:textId="77777777" w:rsidR="00A00259" w:rsidRDefault="00371282">
            <w:pPr>
              <w:pStyle w:val="P68B1DB1-Normal15"/>
              <w:keepNext/>
              <w:spacing w:before="40" w:after="0" w:line="259" w:lineRule="auto"/>
              <w:jc w:val="center"/>
              <w:rPr>
                <w:rFonts w:eastAsia="Times New Roman"/>
                <w:bCs/>
                <w:noProof/>
              </w:rPr>
            </w:pPr>
            <w:r>
              <w:rPr>
                <w:noProof/>
              </w:rPr>
              <w:t xml:space="preserve">Seq. </w:t>
            </w:r>
            <w:r>
              <w:rPr>
                <w:noProof/>
              </w:rPr>
              <w:br/>
              <w:t>Non.</w:t>
            </w:r>
          </w:p>
        </w:tc>
        <w:tc>
          <w:tcPr>
            <w:tcW w:w="496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1FD003C"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Mesure connexe (réforme ou investissement)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FEA163"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Étape/cible</w:t>
            </w:r>
          </w:p>
        </w:tc>
        <w:tc>
          <w:tcPr>
            <w:tcW w:w="29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0823786"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Nom</w:t>
            </w:r>
          </w:p>
        </w:tc>
      </w:tr>
      <w:tr w:rsidR="00A00259" w14:paraId="024F3CE9" w14:textId="77777777">
        <w:trPr>
          <w:trHeight w:val="269"/>
          <w:jc w:val="center"/>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67976F47"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4962" w:type="dxa"/>
            <w:vMerge/>
            <w:tcBorders>
              <w:left w:val="single" w:sz="4" w:space="0" w:color="auto"/>
              <w:right w:val="single" w:sz="4" w:space="0" w:color="auto"/>
            </w:tcBorders>
            <w:vAlign w:val="center"/>
            <w:hideMark/>
          </w:tcPr>
          <w:p w14:paraId="3794E08E"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5777D01"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2966" w:type="dxa"/>
            <w:vMerge/>
            <w:tcBorders>
              <w:top w:val="single" w:sz="4" w:space="0" w:color="auto"/>
              <w:left w:val="single" w:sz="4" w:space="0" w:color="auto"/>
              <w:bottom w:val="single" w:sz="4" w:space="0" w:color="auto"/>
              <w:right w:val="single" w:sz="4" w:space="0" w:color="auto"/>
            </w:tcBorders>
            <w:vAlign w:val="center"/>
            <w:hideMark/>
          </w:tcPr>
          <w:p w14:paraId="34036BE7"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r>
      <w:tr w:rsidR="00A00259" w14:paraId="2B029052" w14:textId="77777777">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E06EC4" w14:textId="77777777" w:rsidR="00A00259" w:rsidRDefault="00371282">
            <w:pPr>
              <w:pStyle w:val="P68B1DB1-Normal55"/>
              <w:keepNext/>
              <w:spacing w:before="40" w:after="0" w:line="240" w:lineRule="auto"/>
              <w:jc w:val="both"/>
              <w:rPr>
                <w:noProof/>
              </w:rPr>
            </w:pPr>
            <w:r>
              <w:rPr>
                <w:noProof/>
              </w:rPr>
              <w:t>7</w:t>
            </w:r>
          </w:p>
        </w:tc>
        <w:tc>
          <w:tcPr>
            <w:tcW w:w="4962" w:type="dxa"/>
            <w:tcBorders>
              <w:top w:val="single" w:sz="4" w:space="0" w:color="auto"/>
              <w:left w:val="nil"/>
              <w:bottom w:val="single" w:sz="4" w:space="0" w:color="auto"/>
              <w:right w:val="single" w:sz="4" w:space="0" w:color="auto"/>
            </w:tcBorders>
            <w:shd w:val="clear" w:color="auto" w:fill="C6EFCE"/>
            <w:noWrap/>
            <w:vAlign w:val="center"/>
          </w:tcPr>
          <w:p w14:paraId="210630EB" w14:textId="77777777" w:rsidR="00A00259" w:rsidRDefault="00371282">
            <w:pPr>
              <w:pStyle w:val="P68B1DB1-Normal55"/>
              <w:keepNext/>
              <w:spacing w:before="40" w:after="0" w:line="240" w:lineRule="auto"/>
              <w:jc w:val="both"/>
              <w:rPr>
                <w:noProof/>
              </w:rPr>
            </w:pPr>
            <w:r>
              <w:rPr>
                <w:noProof/>
              </w:rPr>
              <w:t>1 - 1.1. 16865_Restructuration et amélioration des revenus du compte de cogénération SER</w:t>
            </w:r>
          </w:p>
        </w:tc>
        <w:tc>
          <w:tcPr>
            <w:tcW w:w="992" w:type="dxa"/>
            <w:tcBorders>
              <w:top w:val="single" w:sz="4" w:space="0" w:color="auto"/>
              <w:left w:val="nil"/>
              <w:bottom w:val="single" w:sz="4" w:space="0" w:color="auto"/>
              <w:right w:val="single" w:sz="4" w:space="0" w:color="auto"/>
            </w:tcBorders>
            <w:shd w:val="clear" w:color="auto" w:fill="C6EFCE"/>
            <w:noWrap/>
            <w:vAlign w:val="center"/>
          </w:tcPr>
          <w:p w14:paraId="058F7E71" w14:textId="77777777" w:rsidR="00A00259" w:rsidRDefault="00371282">
            <w:pPr>
              <w:pStyle w:val="P68B1DB1-Normal55"/>
              <w:keepNext/>
              <w:spacing w:before="40" w:after="0" w:line="240" w:lineRule="auto"/>
              <w:jc w:val="both"/>
              <w:rPr>
                <w:noProof/>
              </w:rPr>
            </w:pPr>
            <w:r>
              <w:rPr>
                <w:noProof/>
              </w:rPr>
              <w:t>Objectif</w:t>
            </w:r>
          </w:p>
        </w:tc>
        <w:tc>
          <w:tcPr>
            <w:tcW w:w="2966" w:type="dxa"/>
            <w:tcBorders>
              <w:top w:val="single" w:sz="4" w:space="0" w:color="auto"/>
              <w:left w:val="nil"/>
              <w:bottom w:val="single" w:sz="4" w:space="0" w:color="auto"/>
              <w:right w:val="single" w:sz="4" w:space="0" w:color="auto"/>
            </w:tcBorders>
            <w:shd w:val="clear" w:color="auto" w:fill="C6EFCE"/>
            <w:noWrap/>
            <w:vAlign w:val="center"/>
          </w:tcPr>
          <w:p w14:paraId="6CF26B12" w14:textId="77777777" w:rsidR="00A00259" w:rsidRDefault="00371282">
            <w:pPr>
              <w:pStyle w:val="P68B1DB1-Normal55"/>
              <w:keepNext/>
              <w:spacing w:before="40" w:after="0" w:line="240" w:lineRule="auto"/>
              <w:jc w:val="both"/>
              <w:rPr>
                <w:noProof/>
              </w:rPr>
            </w:pPr>
            <w:r>
              <w:rPr>
                <w:noProof/>
              </w:rPr>
              <w:t>Compte SER — objectif d’augmentation de la capacité 2</w:t>
            </w:r>
          </w:p>
        </w:tc>
      </w:tr>
      <w:tr w:rsidR="00A00259" w14:paraId="7F5172AD" w14:textId="77777777">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675A28" w14:textId="77777777" w:rsidR="00A00259" w:rsidRDefault="00371282">
            <w:pPr>
              <w:pStyle w:val="P68B1DB1-Normal55"/>
              <w:keepNext/>
              <w:spacing w:before="40" w:after="0" w:line="240" w:lineRule="auto"/>
              <w:jc w:val="both"/>
              <w:rPr>
                <w:rFonts w:eastAsia="Times New Roman" w:cs="Times New Roman"/>
                <w:noProof/>
                <w:szCs w:val="18"/>
              </w:rPr>
            </w:pPr>
            <w:r>
              <w:rPr>
                <w:noProof/>
              </w:rPr>
              <w:t>37</w:t>
            </w:r>
          </w:p>
        </w:tc>
        <w:tc>
          <w:tcPr>
            <w:tcW w:w="4962" w:type="dxa"/>
            <w:tcBorders>
              <w:top w:val="single" w:sz="4" w:space="0" w:color="auto"/>
              <w:left w:val="nil"/>
              <w:bottom w:val="single" w:sz="4" w:space="0" w:color="auto"/>
              <w:right w:val="single" w:sz="4" w:space="0" w:color="auto"/>
            </w:tcBorders>
            <w:shd w:val="clear" w:color="auto" w:fill="C6EFCE"/>
            <w:noWrap/>
            <w:vAlign w:val="center"/>
          </w:tcPr>
          <w:p w14:paraId="43FA652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2 - 1.2. 16932_Centre olympique d'athlétisme d'Athènes</w:t>
            </w:r>
          </w:p>
        </w:tc>
        <w:tc>
          <w:tcPr>
            <w:tcW w:w="992" w:type="dxa"/>
            <w:tcBorders>
              <w:top w:val="single" w:sz="4" w:space="0" w:color="auto"/>
              <w:left w:val="nil"/>
              <w:bottom w:val="single" w:sz="4" w:space="0" w:color="auto"/>
              <w:right w:val="single" w:sz="4" w:space="0" w:color="auto"/>
            </w:tcBorders>
            <w:shd w:val="clear" w:color="auto" w:fill="C6EFCE"/>
            <w:noWrap/>
            <w:vAlign w:val="center"/>
          </w:tcPr>
          <w:p w14:paraId="7806907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2966" w:type="dxa"/>
            <w:tcBorders>
              <w:top w:val="single" w:sz="4" w:space="0" w:color="auto"/>
              <w:left w:val="nil"/>
              <w:bottom w:val="single" w:sz="4" w:space="0" w:color="auto"/>
              <w:right w:val="single" w:sz="4" w:space="0" w:color="auto"/>
            </w:tcBorders>
            <w:shd w:val="clear" w:color="auto" w:fill="C6EFCE"/>
            <w:noWrap/>
            <w:vAlign w:val="center"/>
          </w:tcPr>
          <w:p w14:paraId="2EE0C0C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OAKA – Attribution du marché</w:t>
            </w:r>
          </w:p>
        </w:tc>
      </w:tr>
      <w:tr w:rsidR="00A00259" w14:paraId="57E7DAF2"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hideMark/>
          </w:tcPr>
          <w:p w14:paraId="72A960DD" w14:textId="77777777" w:rsidR="00A00259" w:rsidRDefault="00371282">
            <w:pPr>
              <w:pStyle w:val="P68B1DB1-Normal55"/>
              <w:keepNext/>
              <w:spacing w:before="40" w:after="0" w:line="240" w:lineRule="auto"/>
              <w:jc w:val="both"/>
              <w:rPr>
                <w:rFonts w:eastAsia="Times New Roman" w:cs="Times New Roman"/>
                <w:noProof/>
                <w:szCs w:val="18"/>
              </w:rPr>
            </w:pPr>
            <w:r>
              <w:rPr>
                <w:noProof/>
              </w:rPr>
              <w:t>228</w:t>
            </w:r>
          </w:p>
        </w:tc>
        <w:tc>
          <w:tcPr>
            <w:tcW w:w="4962" w:type="dxa"/>
            <w:tcBorders>
              <w:top w:val="nil"/>
              <w:left w:val="nil"/>
              <w:bottom w:val="single" w:sz="4" w:space="0" w:color="auto"/>
              <w:right w:val="single" w:sz="4" w:space="0" w:color="auto"/>
            </w:tcBorders>
            <w:shd w:val="clear" w:color="auto" w:fill="C6EFCE"/>
            <w:noWrap/>
            <w:vAlign w:val="center"/>
          </w:tcPr>
          <w:p w14:paraId="66F5EE9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14 - 4.3. «Améliorer l'efficacité du système judiciaire» - 16733_Compétences et compétences numériques des juges et du personnel judiciaire (personnel judiciaire)</w:t>
            </w:r>
          </w:p>
        </w:tc>
        <w:tc>
          <w:tcPr>
            <w:tcW w:w="992" w:type="dxa"/>
            <w:tcBorders>
              <w:top w:val="nil"/>
              <w:left w:val="nil"/>
              <w:bottom w:val="single" w:sz="4" w:space="0" w:color="auto"/>
              <w:right w:val="single" w:sz="4" w:space="0" w:color="auto"/>
            </w:tcBorders>
            <w:shd w:val="clear" w:color="auto" w:fill="C6EFCE"/>
            <w:noWrap/>
            <w:vAlign w:val="center"/>
          </w:tcPr>
          <w:p w14:paraId="03CF6E94"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Objectif</w:t>
            </w:r>
          </w:p>
        </w:tc>
        <w:tc>
          <w:tcPr>
            <w:tcW w:w="2966" w:type="dxa"/>
            <w:tcBorders>
              <w:top w:val="nil"/>
              <w:left w:val="nil"/>
              <w:bottom w:val="single" w:sz="4" w:space="0" w:color="auto"/>
              <w:right w:val="single" w:sz="4" w:space="0" w:color="auto"/>
            </w:tcBorders>
            <w:shd w:val="clear" w:color="auto" w:fill="C6EFCE"/>
            <w:noWrap/>
            <w:vAlign w:val="center"/>
          </w:tcPr>
          <w:p w14:paraId="47D1D51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Formation – Juges et greffiers</w:t>
            </w:r>
          </w:p>
        </w:tc>
      </w:tr>
      <w:tr w:rsidR="00A00259" w14:paraId="665612B6"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4C753B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w:t>
            </w:r>
          </w:p>
        </w:tc>
        <w:tc>
          <w:tcPr>
            <w:tcW w:w="4962" w:type="dxa"/>
            <w:tcBorders>
              <w:top w:val="nil"/>
              <w:left w:val="nil"/>
              <w:bottom w:val="single" w:sz="4" w:space="0" w:color="auto"/>
              <w:right w:val="single" w:sz="4" w:space="0" w:color="auto"/>
            </w:tcBorders>
            <w:shd w:val="clear" w:color="auto" w:fill="C6EFCE"/>
            <w:noWrap/>
            <w:vAlign w:val="center"/>
          </w:tcPr>
          <w:p w14:paraId="1DE3C9E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1 - 1.1. 16870_Interventions pour l'interconnexion électrique des îles et la modernisation du réseau électrique</w:t>
            </w:r>
          </w:p>
        </w:tc>
        <w:tc>
          <w:tcPr>
            <w:tcW w:w="992" w:type="dxa"/>
            <w:tcBorders>
              <w:top w:val="nil"/>
              <w:left w:val="nil"/>
              <w:bottom w:val="single" w:sz="4" w:space="0" w:color="auto"/>
              <w:right w:val="single" w:sz="4" w:space="0" w:color="auto"/>
            </w:tcBorders>
            <w:shd w:val="clear" w:color="auto" w:fill="C6EFCE"/>
            <w:noWrap/>
            <w:vAlign w:val="center"/>
          </w:tcPr>
          <w:p w14:paraId="46C694B0"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966" w:type="dxa"/>
            <w:tcBorders>
              <w:top w:val="nil"/>
              <w:left w:val="nil"/>
              <w:bottom w:val="single" w:sz="4" w:space="0" w:color="auto"/>
              <w:right w:val="single" w:sz="4" w:space="0" w:color="auto"/>
            </w:tcBorders>
            <w:shd w:val="clear" w:color="auto" w:fill="C6EFCE"/>
            <w:noWrap/>
            <w:vAlign w:val="center"/>
          </w:tcPr>
          <w:p w14:paraId="4B430CFD" w14:textId="77777777" w:rsidR="00A00259" w:rsidRDefault="00371282">
            <w:pPr>
              <w:pStyle w:val="P68B1DB1-Normal55"/>
              <w:keepNext/>
              <w:spacing w:before="40" w:after="0" w:line="240" w:lineRule="auto"/>
              <w:jc w:val="both"/>
              <w:rPr>
                <w:rFonts w:eastAsia="Times New Roman" w:cs="Times New Roman"/>
                <w:noProof/>
                <w:szCs w:val="18"/>
              </w:rPr>
            </w:pPr>
            <w:r>
              <w:rPr>
                <w:noProof/>
              </w:rPr>
              <w:t>Interconnexion des îles — Attribution des marchés</w:t>
            </w:r>
          </w:p>
        </w:tc>
      </w:tr>
      <w:tr w:rsidR="00A00259" w14:paraId="7966E008"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F18B0E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w:t>
            </w:r>
          </w:p>
        </w:tc>
        <w:tc>
          <w:tcPr>
            <w:tcW w:w="4962" w:type="dxa"/>
            <w:tcBorders>
              <w:top w:val="nil"/>
              <w:left w:val="nil"/>
              <w:bottom w:val="single" w:sz="4" w:space="0" w:color="auto"/>
              <w:right w:val="single" w:sz="4" w:space="0" w:color="auto"/>
            </w:tcBorders>
            <w:shd w:val="clear" w:color="auto" w:fill="C6EFCE"/>
            <w:noWrap/>
            <w:vAlign w:val="center"/>
          </w:tcPr>
          <w:p w14:paraId="414841A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1 - 1.1. 16865_Restructuration et amélioration des revenus du compte de cogénération SER</w:t>
            </w:r>
          </w:p>
        </w:tc>
        <w:tc>
          <w:tcPr>
            <w:tcW w:w="992" w:type="dxa"/>
            <w:tcBorders>
              <w:top w:val="nil"/>
              <w:left w:val="nil"/>
              <w:bottom w:val="single" w:sz="4" w:space="0" w:color="auto"/>
              <w:right w:val="single" w:sz="4" w:space="0" w:color="auto"/>
            </w:tcBorders>
            <w:shd w:val="clear" w:color="auto" w:fill="C6EFCE"/>
            <w:noWrap/>
            <w:vAlign w:val="center"/>
          </w:tcPr>
          <w:p w14:paraId="0C0B5713" w14:textId="77777777" w:rsidR="00A00259" w:rsidRDefault="00371282">
            <w:pPr>
              <w:pStyle w:val="P68B1DB1-Normal55"/>
              <w:keepNext/>
              <w:spacing w:before="40" w:after="0" w:line="240" w:lineRule="auto"/>
              <w:jc w:val="both"/>
              <w:rPr>
                <w:rFonts w:eastAsia="Times New Roman" w:cs="Times New Roman"/>
                <w:noProof/>
                <w:szCs w:val="18"/>
              </w:rPr>
            </w:pPr>
            <w:r>
              <w:rPr>
                <w:noProof/>
              </w:rPr>
              <w:t>Objectif</w:t>
            </w:r>
          </w:p>
        </w:tc>
        <w:tc>
          <w:tcPr>
            <w:tcW w:w="2966" w:type="dxa"/>
            <w:tcBorders>
              <w:top w:val="nil"/>
              <w:left w:val="nil"/>
              <w:bottom w:val="single" w:sz="4" w:space="0" w:color="auto"/>
              <w:right w:val="single" w:sz="4" w:space="0" w:color="auto"/>
            </w:tcBorders>
            <w:shd w:val="clear" w:color="auto" w:fill="C6EFCE"/>
            <w:noWrap/>
            <w:vAlign w:val="center"/>
          </w:tcPr>
          <w:p w14:paraId="2A18183F" w14:textId="77777777" w:rsidR="00A00259" w:rsidRDefault="00371282">
            <w:pPr>
              <w:pStyle w:val="P68B1DB1-Normal55"/>
              <w:keepNext/>
              <w:spacing w:before="40" w:after="0" w:line="240" w:lineRule="auto"/>
              <w:jc w:val="both"/>
              <w:rPr>
                <w:rFonts w:eastAsia="Times New Roman" w:cs="Times New Roman"/>
                <w:noProof/>
                <w:szCs w:val="18"/>
              </w:rPr>
            </w:pPr>
            <w:r>
              <w:rPr>
                <w:noProof/>
              </w:rPr>
              <w:t>Compte SER — objectif d’augmentation de la capacité 1</w:t>
            </w:r>
          </w:p>
        </w:tc>
      </w:tr>
      <w:tr w:rsidR="00A00259" w14:paraId="7CC8AB7B"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AAD871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11</w:t>
            </w:r>
          </w:p>
        </w:tc>
        <w:tc>
          <w:tcPr>
            <w:tcW w:w="4962" w:type="dxa"/>
            <w:tcBorders>
              <w:top w:val="nil"/>
              <w:left w:val="nil"/>
              <w:bottom w:val="single" w:sz="4" w:space="0" w:color="auto"/>
              <w:right w:val="single" w:sz="4" w:space="0" w:color="auto"/>
            </w:tcBorders>
            <w:shd w:val="clear" w:color="auto" w:fill="C6EFCE"/>
            <w:noWrap/>
            <w:vAlign w:val="center"/>
          </w:tcPr>
          <w:p w14:paraId="6E257F9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1 - 1.1. 16926_Soutien à l'installation de systèmes de stockage pour améliorer la pénétration des SER</w:t>
            </w:r>
          </w:p>
        </w:tc>
        <w:tc>
          <w:tcPr>
            <w:tcW w:w="992" w:type="dxa"/>
            <w:tcBorders>
              <w:top w:val="nil"/>
              <w:left w:val="nil"/>
              <w:bottom w:val="single" w:sz="4" w:space="0" w:color="auto"/>
              <w:right w:val="single" w:sz="4" w:space="0" w:color="auto"/>
            </w:tcBorders>
            <w:shd w:val="clear" w:color="auto" w:fill="C6EFCE"/>
            <w:noWrap/>
            <w:vAlign w:val="center"/>
          </w:tcPr>
          <w:p w14:paraId="2F9D6B4D"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966" w:type="dxa"/>
            <w:tcBorders>
              <w:top w:val="nil"/>
              <w:left w:val="nil"/>
              <w:bottom w:val="single" w:sz="4" w:space="0" w:color="auto"/>
              <w:right w:val="single" w:sz="4" w:space="0" w:color="auto"/>
            </w:tcBorders>
            <w:shd w:val="clear" w:color="auto" w:fill="C6EFCE"/>
            <w:noWrap/>
            <w:vAlign w:val="center"/>
          </w:tcPr>
          <w:p w14:paraId="452A248A" w14:textId="77777777" w:rsidR="00A00259" w:rsidRDefault="00371282">
            <w:pPr>
              <w:pStyle w:val="P68B1DB1-Normal55"/>
              <w:keepNext/>
              <w:spacing w:before="40" w:after="0" w:line="240" w:lineRule="auto"/>
              <w:jc w:val="both"/>
              <w:rPr>
                <w:rFonts w:eastAsia="Times New Roman" w:cs="Times New Roman"/>
                <w:noProof/>
                <w:szCs w:val="18"/>
              </w:rPr>
            </w:pPr>
            <w:r>
              <w:rPr>
                <w:noProof/>
              </w:rPr>
              <w:t>Stockage — contrats</w:t>
            </w:r>
          </w:p>
        </w:tc>
      </w:tr>
      <w:tr w:rsidR="00A00259" w14:paraId="7FD9A05B"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967765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34</w:t>
            </w:r>
          </w:p>
        </w:tc>
        <w:tc>
          <w:tcPr>
            <w:tcW w:w="4962" w:type="dxa"/>
            <w:tcBorders>
              <w:top w:val="nil"/>
              <w:left w:val="nil"/>
              <w:bottom w:val="single" w:sz="4" w:space="0" w:color="auto"/>
              <w:right w:val="single" w:sz="4" w:space="0" w:color="auto"/>
            </w:tcBorders>
            <w:shd w:val="clear" w:color="auto" w:fill="C6EFCE"/>
            <w:noWrap/>
            <w:vAlign w:val="center"/>
          </w:tcPr>
          <w:p w14:paraId="513477D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 xml:space="preserve">2 - 1.2. Rénover - 16876_Amélioration énergétique des bâtiments du secteur public </w:t>
            </w:r>
          </w:p>
        </w:tc>
        <w:tc>
          <w:tcPr>
            <w:tcW w:w="992" w:type="dxa"/>
            <w:tcBorders>
              <w:top w:val="nil"/>
              <w:left w:val="nil"/>
              <w:bottom w:val="single" w:sz="4" w:space="0" w:color="auto"/>
              <w:right w:val="single" w:sz="4" w:space="0" w:color="auto"/>
            </w:tcBorders>
            <w:shd w:val="clear" w:color="auto" w:fill="C6EFCE"/>
            <w:noWrap/>
            <w:vAlign w:val="center"/>
          </w:tcPr>
          <w:p w14:paraId="64E5894E"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966" w:type="dxa"/>
            <w:tcBorders>
              <w:top w:val="nil"/>
              <w:left w:val="nil"/>
              <w:bottom w:val="single" w:sz="4" w:space="0" w:color="auto"/>
              <w:right w:val="single" w:sz="4" w:space="0" w:color="auto"/>
            </w:tcBorders>
            <w:shd w:val="clear" w:color="auto" w:fill="C6EFCE"/>
            <w:noWrap/>
            <w:vAlign w:val="center"/>
          </w:tcPr>
          <w:p w14:paraId="54D16341" w14:textId="77777777" w:rsidR="00A00259" w:rsidRDefault="00371282">
            <w:pPr>
              <w:pStyle w:val="P68B1DB1-Normal55"/>
              <w:keepNext/>
              <w:spacing w:before="40" w:after="0" w:line="240" w:lineRule="auto"/>
              <w:jc w:val="both"/>
              <w:rPr>
                <w:rFonts w:eastAsia="Times New Roman" w:cs="Times New Roman"/>
                <w:noProof/>
                <w:szCs w:val="18"/>
              </w:rPr>
            </w:pPr>
            <w:r>
              <w:rPr>
                <w:noProof/>
              </w:rPr>
              <w:t>Bâtiments publics à haut rendement énergétique – demandes approuvées</w:t>
            </w:r>
          </w:p>
        </w:tc>
      </w:tr>
      <w:tr w:rsidR="00A00259" w14:paraId="5FFECD3C"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5AE9CAE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61</w:t>
            </w:r>
          </w:p>
        </w:tc>
        <w:tc>
          <w:tcPr>
            <w:tcW w:w="4962" w:type="dxa"/>
            <w:tcBorders>
              <w:top w:val="nil"/>
              <w:left w:val="nil"/>
              <w:bottom w:val="single" w:sz="4" w:space="0" w:color="auto"/>
              <w:right w:val="single" w:sz="4" w:space="0" w:color="auto"/>
            </w:tcBorders>
            <w:shd w:val="clear" w:color="auto" w:fill="C6EFCE"/>
            <w:noWrap/>
            <w:vAlign w:val="center"/>
          </w:tcPr>
          <w:p w14:paraId="5619E5E5" w14:textId="77777777" w:rsidR="00A00259" w:rsidRDefault="00371282">
            <w:pPr>
              <w:keepNext/>
              <w:spacing w:before="40" w:after="0" w:line="240" w:lineRule="auto"/>
              <w:jc w:val="both"/>
              <w:rPr>
                <w:rFonts w:ascii="Times New Roman" w:eastAsia="Times New Roman" w:hAnsi="Times New Roman" w:cs="Times New Roman"/>
                <w:bCs/>
                <w:noProof/>
                <w:sz w:val="18"/>
                <w:szCs w:val="18"/>
              </w:rPr>
            </w:pPr>
            <w:r>
              <w:rPr>
                <w:rFonts w:ascii="Times New Roman" w:hAnsi="Times New Roman"/>
                <w:noProof/>
                <w:sz w:val="18"/>
              </w:rPr>
              <w:t>4 - 1.4. «Utilisation durable des ressources, résilience au changement climatique et protection de l’environnement» - 16849_Plan national de reboisement, mesures de restauration et de prévention («antiNERO»), mesures de lutte contre l’érosion et les inondations</w:t>
            </w:r>
          </w:p>
        </w:tc>
        <w:tc>
          <w:tcPr>
            <w:tcW w:w="992" w:type="dxa"/>
            <w:tcBorders>
              <w:top w:val="nil"/>
              <w:left w:val="nil"/>
              <w:bottom w:val="single" w:sz="4" w:space="0" w:color="auto"/>
              <w:right w:val="single" w:sz="4" w:space="0" w:color="auto"/>
            </w:tcBorders>
            <w:shd w:val="clear" w:color="auto" w:fill="C6EFCE"/>
            <w:noWrap/>
            <w:vAlign w:val="center"/>
          </w:tcPr>
          <w:p w14:paraId="3A956433"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966" w:type="dxa"/>
            <w:tcBorders>
              <w:top w:val="nil"/>
              <w:left w:val="nil"/>
              <w:bottom w:val="single" w:sz="4" w:space="0" w:color="auto"/>
              <w:right w:val="single" w:sz="4" w:space="0" w:color="auto"/>
            </w:tcBorders>
            <w:shd w:val="clear" w:color="auto" w:fill="C6EFCE"/>
            <w:noWrap/>
            <w:vAlign w:val="center"/>
          </w:tcPr>
          <w:p w14:paraId="1031C27C" w14:textId="77777777" w:rsidR="00A00259" w:rsidRDefault="00371282">
            <w:pPr>
              <w:pStyle w:val="P68B1DB1-Normal55"/>
              <w:keepNext/>
              <w:spacing w:before="40" w:after="0" w:line="240" w:lineRule="auto"/>
              <w:jc w:val="both"/>
              <w:rPr>
                <w:rFonts w:eastAsia="Times New Roman" w:cs="Times New Roman"/>
                <w:noProof/>
                <w:szCs w:val="18"/>
              </w:rPr>
            </w:pPr>
            <w:r>
              <w:rPr>
                <w:noProof/>
              </w:rPr>
              <w:t>Reboisement, restauration et prévention - contrats 1</w:t>
            </w:r>
          </w:p>
        </w:tc>
      </w:tr>
      <w:tr w:rsidR="00A00259" w14:paraId="0143D2AF"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D146DD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66</w:t>
            </w:r>
          </w:p>
        </w:tc>
        <w:tc>
          <w:tcPr>
            <w:tcW w:w="4962" w:type="dxa"/>
            <w:tcBorders>
              <w:top w:val="nil"/>
              <w:left w:val="nil"/>
              <w:bottom w:val="single" w:sz="4" w:space="0" w:color="auto"/>
              <w:right w:val="single" w:sz="4" w:space="0" w:color="auto"/>
            </w:tcBorders>
            <w:shd w:val="clear" w:color="auto" w:fill="C6EFCE"/>
            <w:noWrap/>
            <w:vAlign w:val="center"/>
          </w:tcPr>
          <w:p w14:paraId="23C75C74"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4 - 1.4. Utilisation durable des ressources, résilience au changement climatique et protection de l'environnement - 16850_Drinking Water Supply and Saving Infrastructures</w:t>
            </w:r>
          </w:p>
        </w:tc>
        <w:tc>
          <w:tcPr>
            <w:tcW w:w="992" w:type="dxa"/>
            <w:tcBorders>
              <w:top w:val="nil"/>
              <w:left w:val="nil"/>
              <w:bottom w:val="single" w:sz="4" w:space="0" w:color="auto"/>
              <w:right w:val="single" w:sz="4" w:space="0" w:color="auto"/>
            </w:tcBorders>
            <w:shd w:val="clear" w:color="auto" w:fill="C6EFCE"/>
            <w:noWrap/>
            <w:vAlign w:val="center"/>
          </w:tcPr>
          <w:p w14:paraId="32328537"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966" w:type="dxa"/>
            <w:tcBorders>
              <w:top w:val="nil"/>
              <w:left w:val="nil"/>
              <w:bottom w:val="single" w:sz="4" w:space="0" w:color="auto"/>
              <w:right w:val="single" w:sz="4" w:space="0" w:color="auto"/>
            </w:tcBorders>
            <w:shd w:val="clear" w:color="auto" w:fill="C6EFCE"/>
            <w:noWrap/>
            <w:vAlign w:val="center"/>
          </w:tcPr>
          <w:p w14:paraId="572D55DD" w14:textId="77777777" w:rsidR="00A00259" w:rsidRDefault="00371282">
            <w:pPr>
              <w:pStyle w:val="P68B1DB1-Normal55"/>
              <w:keepNext/>
              <w:spacing w:before="40" w:after="0" w:line="240" w:lineRule="auto"/>
              <w:jc w:val="both"/>
              <w:rPr>
                <w:rFonts w:eastAsia="Times New Roman" w:cs="Times New Roman"/>
                <w:noProof/>
                <w:szCs w:val="18"/>
              </w:rPr>
            </w:pPr>
            <w:r>
              <w:rPr>
                <w:noProof/>
              </w:rPr>
              <w:t>Approbation des demandes d'infrastructures hydrauliques</w:t>
            </w:r>
          </w:p>
        </w:tc>
      </w:tr>
      <w:tr w:rsidR="00A00259" w14:paraId="5D3EEBD4"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21F63D6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87</w:t>
            </w:r>
          </w:p>
        </w:tc>
        <w:tc>
          <w:tcPr>
            <w:tcW w:w="4962" w:type="dxa"/>
            <w:tcBorders>
              <w:top w:val="nil"/>
              <w:left w:val="nil"/>
              <w:bottom w:val="single" w:sz="4" w:space="0" w:color="auto"/>
              <w:right w:val="single" w:sz="4" w:space="0" w:color="auto"/>
            </w:tcBorders>
            <w:shd w:val="clear" w:color="auto" w:fill="C6EFCE"/>
            <w:noWrap/>
            <w:vAlign w:val="center"/>
          </w:tcPr>
          <w:p w14:paraId="7E9F146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5 - 2.1. Connect - 16855_Small-satellites</w:t>
            </w:r>
          </w:p>
        </w:tc>
        <w:tc>
          <w:tcPr>
            <w:tcW w:w="992" w:type="dxa"/>
            <w:tcBorders>
              <w:top w:val="nil"/>
              <w:left w:val="nil"/>
              <w:bottom w:val="single" w:sz="4" w:space="0" w:color="auto"/>
              <w:right w:val="single" w:sz="4" w:space="0" w:color="auto"/>
            </w:tcBorders>
            <w:shd w:val="clear" w:color="auto" w:fill="C6EFCE"/>
            <w:noWrap/>
            <w:vAlign w:val="center"/>
          </w:tcPr>
          <w:p w14:paraId="37DE934A"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966" w:type="dxa"/>
            <w:tcBorders>
              <w:top w:val="nil"/>
              <w:left w:val="nil"/>
              <w:bottom w:val="single" w:sz="4" w:space="0" w:color="auto"/>
              <w:right w:val="single" w:sz="4" w:space="0" w:color="auto"/>
            </w:tcBorders>
            <w:shd w:val="clear" w:color="auto" w:fill="C6EFCE"/>
            <w:noWrap/>
            <w:vAlign w:val="center"/>
          </w:tcPr>
          <w:p w14:paraId="70C55446" w14:textId="77777777" w:rsidR="00A00259" w:rsidRDefault="00371282">
            <w:pPr>
              <w:pStyle w:val="P68B1DB1-Normal55"/>
              <w:keepNext/>
              <w:spacing w:before="40" w:after="0" w:line="240" w:lineRule="auto"/>
              <w:jc w:val="both"/>
              <w:rPr>
                <w:rFonts w:eastAsia="Times New Roman" w:cs="Times New Roman"/>
                <w:noProof/>
                <w:szCs w:val="18"/>
              </w:rPr>
            </w:pPr>
            <w:r>
              <w:rPr>
                <w:noProof/>
              </w:rPr>
              <w:t>Attribution du ou des marchés pour le projet «Petits satellites»</w:t>
            </w:r>
          </w:p>
        </w:tc>
      </w:tr>
      <w:tr w:rsidR="00A00259" w14:paraId="67C16234"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51E9FB28" w14:textId="77777777" w:rsidR="00A00259" w:rsidRDefault="00371282">
            <w:pPr>
              <w:pStyle w:val="P68B1DB1-Normal55"/>
              <w:keepNext/>
              <w:spacing w:before="40" w:after="0" w:line="240" w:lineRule="auto"/>
              <w:jc w:val="both"/>
              <w:rPr>
                <w:noProof/>
              </w:rPr>
            </w:pPr>
            <w:r>
              <w:rPr>
                <w:noProof/>
              </w:rPr>
              <w:t>135</w:t>
            </w:r>
          </w:p>
        </w:tc>
        <w:tc>
          <w:tcPr>
            <w:tcW w:w="4962" w:type="dxa"/>
            <w:tcBorders>
              <w:top w:val="nil"/>
              <w:left w:val="nil"/>
              <w:bottom w:val="single" w:sz="4" w:space="0" w:color="auto"/>
              <w:right w:val="single" w:sz="4" w:space="0" w:color="auto"/>
            </w:tcBorders>
            <w:shd w:val="clear" w:color="auto" w:fill="C6EFCE"/>
            <w:noWrap/>
            <w:vAlign w:val="center"/>
          </w:tcPr>
          <w:p w14:paraId="185510E4" w14:textId="77777777" w:rsidR="00A00259" w:rsidRDefault="00371282">
            <w:pPr>
              <w:pStyle w:val="P68B1DB1-Normal55"/>
              <w:keepNext/>
              <w:spacing w:before="40" w:after="0" w:line="240" w:lineRule="auto"/>
              <w:jc w:val="both"/>
              <w:rPr>
                <w:noProof/>
              </w:rPr>
            </w:pPr>
            <w:r>
              <w:rPr>
                <w:noProof/>
              </w:rPr>
              <w:t>8 - 3.1. Promouvoir la création d'emplois et la participation au marché du travail - 16942_Transformation numérique du service public de l'emploi (DYPA)</w:t>
            </w:r>
          </w:p>
        </w:tc>
        <w:tc>
          <w:tcPr>
            <w:tcW w:w="992" w:type="dxa"/>
            <w:tcBorders>
              <w:top w:val="nil"/>
              <w:left w:val="nil"/>
              <w:bottom w:val="single" w:sz="4" w:space="0" w:color="auto"/>
              <w:right w:val="single" w:sz="4" w:space="0" w:color="auto"/>
            </w:tcBorders>
            <w:shd w:val="clear" w:color="auto" w:fill="C6EFCE"/>
            <w:noWrap/>
            <w:vAlign w:val="center"/>
          </w:tcPr>
          <w:p w14:paraId="1275A8C3" w14:textId="77777777" w:rsidR="00A00259" w:rsidRDefault="00371282">
            <w:pPr>
              <w:pStyle w:val="P68B1DB1-Normal11"/>
              <w:keepNext/>
              <w:spacing w:before="40" w:after="0" w:line="240" w:lineRule="auto"/>
              <w:jc w:val="both"/>
              <w:rPr>
                <w:noProof/>
              </w:rPr>
            </w:pPr>
            <w:r>
              <w:rPr>
                <w:noProof/>
              </w:rPr>
              <w:t>Étape</w:t>
            </w:r>
          </w:p>
        </w:tc>
        <w:tc>
          <w:tcPr>
            <w:tcW w:w="2966" w:type="dxa"/>
            <w:tcBorders>
              <w:top w:val="nil"/>
              <w:left w:val="nil"/>
              <w:bottom w:val="single" w:sz="4" w:space="0" w:color="auto"/>
              <w:right w:val="single" w:sz="4" w:space="0" w:color="auto"/>
            </w:tcBorders>
            <w:shd w:val="clear" w:color="auto" w:fill="C6EFCE"/>
            <w:noWrap/>
            <w:vAlign w:val="center"/>
          </w:tcPr>
          <w:p w14:paraId="46D80194" w14:textId="77777777" w:rsidR="00A00259" w:rsidRDefault="00371282">
            <w:pPr>
              <w:pStyle w:val="P68B1DB1-Normal16"/>
              <w:keepNext/>
              <w:spacing w:before="40" w:after="0" w:line="240" w:lineRule="auto"/>
              <w:jc w:val="both"/>
              <w:rPr>
                <w:noProof/>
              </w:rPr>
            </w:pPr>
            <w:r>
              <w:rPr>
                <w:noProof/>
              </w:rPr>
              <w:t>DYPA Numérisation, stockage et classement des archives</w:t>
            </w:r>
          </w:p>
        </w:tc>
      </w:tr>
      <w:tr w:rsidR="00A00259" w14:paraId="22915BB6"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0E1641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143</w:t>
            </w:r>
          </w:p>
        </w:tc>
        <w:tc>
          <w:tcPr>
            <w:tcW w:w="4962" w:type="dxa"/>
            <w:tcBorders>
              <w:top w:val="nil"/>
              <w:left w:val="nil"/>
              <w:bottom w:val="single" w:sz="4" w:space="0" w:color="auto"/>
              <w:right w:val="single" w:sz="4" w:space="0" w:color="auto"/>
            </w:tcBorders>
            <w:shd w:val="clear" w:color="auto" w:fill="C6EFCE"/>
            <w:noWrap/>
            <w:vAlign w:val="center"/>
          </w:tcPr>
          <w:p w14:paraId="61CABD1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9 - 3.2. Éducation, enseignement et formation professionnels et compétences - 16792_Formation, reconversion et perfectionnement professionnels de la main-d'œuvre grâce à un modèle de formation réformé (enseignement et formation professionnels; réforme de la formation)</w:t>
            </w:r>
          </w:p>
        </w:tc>
        <w:tc>
          <w:tcPr>
            <w:tcW w:w="992" w:type="dxa"/>
            <w:tcBorders>
              <w:top w:val="nil"/>
              <w:left w:val="nil"/>
              <w:bottom w:val="single" w:sz="4" w:space="0" w:color="auto"/>
              <w:right w:val="single" w:sz="4" w:space="0" w:color="auto"/>
            </w:tcBorders>
            <w:shd w:val="clear" w:color="auto" w:fill="C6EFCE"/>
            <w:noWrap/>
            <w:vAlign w:val="center"/>
          </w:tcPr>
          <w:p w14:paraId="39C44424"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966" w:type="dxa"/>
            <w:tcBorders>
              <w:top w:val="nil"/>
              <w:left w:val="nil"/>
              <w:bottom w:val="single" w:sz="4" w:space="0" w:color="auto"/>
              <w:right w:val="single" w:sz="4" w:space="0" w:color="auto"/>
            </w:tcBorders>
            <w:shd w:val="clear" w:color="auto" w:fill="C6EFCE"/>
            <w:noWrap/>
            <w:vAlign w:val="center"/>
          </w:tcPr>
          <w:p w14:paraId="3976EDE6" w14:textId="77777777" w:rsidR="00A00259" w:rsidRDefault="00371282">
            <w:pPr>
              <w:pStyle w:val="P68B1DB1-Normal55"/>
              <w:keepNext/>
              <w:spacing w:before="40" w:after="0" w:line="240" w:lineRule="auto"/>
              <w:jc w:val="both"/>
              <w:rPr>
                <w:rFonts w:eastAsia="Times New Roman" w:cs="Times New Roman"/>
                <w:noProof/>
                <w:szCs w:val="18"/>
              </w:rPr>
            </w:pPr>
            <w:r>
              <w:rPr>
                <w:noProof/>
              </w:rPr>
              <w:t>Attribution du contrat relatif au système de contrôle de la qualité de l’EFP</w:t>
            </w:r>
          </w:p>
        </w:tc>
      </w:tr>
      <w:tr w:rsidR="00A00259" w14:paraId="2F7866D9"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D780FB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154</w:t>
            </w:r>
          </w:p>
        </w:tc>
        <w:tc>
          <w:tcPr>
            <w:tcW w:w="4962" w:type="dxa"/>
            <w:tcBorders>
              <w:top w:val="nil"/>
              <w:left w:val="nil"/>
              <w:bottom w:val="single" w:sz="4" w:space="0" w:color="auto"/>
              <w:right w:val="single" w:sz="4" w:space="0" w:color="auto"/>
            </w:tcBorders>
            <w:shd w:val="clear" w:color="auto" w:fill="C6EFCE"/>
            <w:noWrap/>
            <w:vAlign w:val="center"/>
          </w:tcPr>
          <w:p w14:paraId="41FF949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10 - 3.3. Améliorer la résilience, l'accessibilité et la durabilité des soins de santé - 16816_Clawback Réduction et rationalisation des dépenses de santé</w:t>
            </w:r>
          </w:p>
        </w:tc>
        <w:tc>
          <w:tcPr>
            <w:tcW w:w="992" w:type="dxa"/>
            <w:tcBorders>
              <w:top w:val="nil"/>
              <w:left w:val="nil"/>
              <w:bottom w:val="single" w:sz="4" w:space="0" w:color="auto"/>
              <w:right w:val="single" w:sz="4" w:space="0" w:color="auto"/>
            </w:tcBorders>
            <w:shd w:val="clear" w:color="auto" w:fill="C6EFCE"/>
            <w:noWrap/>
            <w:vAlign w:val="center"/>
          </w:tcPr>
          <w:p w14:paraId="04F4CFD6" w14:textId="77777777" w:rsidR="00A00259" w:rsidRDefault="00371282">
            <w:pPr>
              <w:pStyle w:val="P68B1DB1-Normal55"/>
              <w:keepNext/>
              <w:spacing w:before="40" w:after="0" w:line="240" w:lineRule="auto"/>
              <w:jc w:val="both"/>
              <w:rPr>
                <w:rFonts w:eastAsia="Times New Roman" w:cs="Times New Roman"/>
                <w:noProof/>
                <w:szCs w:val="18"/>
              </w:rPr>
            </w:pPr>
            <w:r>
              <w:rPr>
                <w:noProof/>
              </w:rPr>
              <w:t>Objectif</w:t>
            </w:r>
          </w:p>
        </w:tc>
        <w:tc>
          <w:tcPr>
            <w:tcW w:w="2966" w:type="dxa"/>
            <w:tcBorders>
              <w:top w:val="nil"/>
              <w:left w:val="nil"/>
              <w:bottom w:val="single" w:sz="4" w:space="0" w:color="auto"/>
              <w:right w:val="single" w:sz="4" w:space="0" w:color="auto"/>
            </w:tcBorders>
            <w:shd w:val="clear" w:color="auto" w:fill="C6EFCE"/>
            <w:noWrap/>
            <w:vAlign w:val="center"/>
          </w:tcPr>
          <w:p w14:paraId="3ED5E9D5" w14:textId="77777777" w:rsidR="00A00259" w:rsidRDefault="00371282">
            <w:pPr>
              <w:pStyle w:val="P68B1DB1-Normal55"/>
              <w:keepNext/>
              <w:spacing w:before="40" w:after="0" w:line="240" w:lineRule="auto"/>
              <w:jc w:val="both"/>
              <w:rPr>
                <w:rFonts w:eastAsia="Times New Roman" w:cs="Times New Roman"/>
                <w:noProof/>
                <w:szCs w:val="18"/>
              </w:rPr>
            </w:pPr>
            <w:r>
              <w:rPr>
                <w:noProof/>
              </w:rPr>
              <w:t>Baisse de récupération de 50 000 000 - étape 1</w:t>
            </w:r>
          </w:p>
        </w:tc>
      </w:tr>
      <w:tr w:rsidR="00A00259" w14:paraId="6DF08800"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90E5DD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203</w:t>
            </w:r>
          </w:p>
        </w:tc>
        <w:tc>
          <w:tcPr>
            <w:tcW w:w="4962" w:type="dxa"/>
            <w:tcBorders>
              <w:top w:val="nil"/>
              <w:left w:val="nil"/>
              <w:bottom w:val="single" w:sz="4" w:space="0" w:color="auto"/>
              <w:right w:val="single" w:sz="4" w:space="0" w:color="auto"/>
            </w:tcBorders>
            <w:shd w:val="clear" w:color="auto" w:fill="C6EFCE"/>
            <w:noWrap/>
            <w:vAlign w:val="center"/>
          </w:tcPr>
          <w:p w14:paraId="7732ADC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12 - 4.1. Rendre les impôts plus propices à la croissance et améliorer l'administration fiscale et la perception des impôts - 16643_Codification et simplification de la législation fiscale</w:t>
            </w:r>
          </w:p>
        </w:tc>
        <w:tc>
          <w:tcPr>
            <w:tcW w:w="992" w:type="dxa"/>
            <w:tcBorders>
              <w:top w:val="nil"/>
              <w:left w:val="nil"/>
              <w:bottom w:val="single" w:sz="4" w:space="0" w:color="auto"/>
              <w:right w:val="single" w:sz="4" w:space="0" w:color="auto"/>
            </w:tcBorders>
            <w:shd w:val="clear" w:color="auto" w:fill="C6EFCE"/>
            <w:noWrap/>
            <w:vAlign w:val="center"/>
          </w:tcPr>
          <w:p w14:paraId="6E40F591"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966" w:type="dxa"/>
            <w:tcBorders>
              <w:top w:val="nil"/>
              <w:left w:val="nil"/>
              <w:bottom w:val="single" w:sz="4" w:space="0" w:color="auto"/>
              <w:right w:val="single" w:sz="4" w:space="0" w:color="auto"/>
            </w:tcBorders>
            <w:shd w:val="clear" w:color="auto" w:fill="C6EFCE"/>
            <w:noWrap/>
            <w:vAlign w:val="center"/>
          </w:tcPr>
          <w:p w14:paraId="4D19B2E3" w14:textId="77777777" w:rsidR="00A00259" w:rsidRDefault="00371282">
            <w:pPr>
              <w:pStyle w:val="P68B1DB1-Normal55"/>
              <w:keepNext/>
              <w:spacing w:before="40" w:after="0" w:line="240" w:lineRule="auto"/>
              <w:jc w:val="both"/>
              <w:rPr>
                <w:rFonts w:eastAsia="Times New Roman" w:cs="Times New Roman"/>
                <w:noProof/>
                <w:szCs w:val="18"/>
              </w:rPr>
            </w:pPr>
            <w:r>
              <w:rPr>
                <w:noProof/>
              </w:rPr>
              <w:t>Recodification des codes d'impôt sur le revenu et de procédure fiscale</w:t>
            </w:r>
          </w:p>
        </w:tc>
      </w:tr>
      <w:tr w:rsidR="00A00259" w14:paraId="212701FF"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F9E6A8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229</w:t>
            </w:r>
          </w:p>
        </w:tc>
        <w:tc>
          <w:tcPr>
            <w:tcW w:w="4962" w:type="dxa"/>
            <w:tcBorders>
              <w:top w:val="nil"/>
              <w:left w:val="nil"/>
              <w:bottom w:val="single" w:sz="4" w:space="0" w:color="auto"/>
              <w:right w:val="single" w:sz="4" w:space="0" w:color="auto"/>
            </w:tcBorders>
            <w:shd w:val="clear" w:color="auto" w:fill="C6EFCE"/>
            <w:noWrap/>
            <w:vAlign w:val="center"/>
          </w:tcPr>
          <w:p w14:paraId="3B6980B4" w14:textId="4004472F" w:rsidR="00A00259" w:rsidRDefault="00371282">
            <w:pPr>
              <w:pStyle w:val="P68B1DB1-Normal55"/>
              <w:keepNext/>
              <w:spacing w:before="40" w:after="0" w:line="240" w:lineRule="auto"/>
              <w:jc w:val="both"/>
              <w:rPr>
                <w:rFonts w:eastAsia="Times New Roman" w:cs="Times New Roman"/>
                <w:bCs/>
                <w:noProof/>
                <w:szCs w:val="18"/>
              </w:rPr>
            </w:pPr>
            <w:r>
              <w:rPr>
                <w:noProof/>
              </w:rPr>
              <w:t>14 - 4.3. Améliorer l’efficacité du système judiciaire – 16727 Transformation numérique de la justice (Justice en ligne)</w:t>
            </w:r>
          </w:p>
        </w:tc>
        <w:tc>
          <w:tcPr>
            <w:tcW w:w="992" w:type="dxa"/>
            <w:tcBorders>
              <w:top w:val="nil"/>
              <w:left w:val="nil"/>
              <w:bottom w:val="single" w:sz="4" w:space="0" w:color="auto"/>
              <w:right w:val="single" w:sz="4" w:space="0" w:color="auto"/>
            </w:tcBorders>
            <w:shd w:val="clear" w:color="auto" w:fill="C6EFCE"/>
            <w:noWrap/>
            <w:vAlign w:val="center"/>
          </w:tcPr>
          <w:p w14:paraId="597B540D"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966" w:type="dxa"/>
            <w:tcBorders>
              <w:top w:val="nil"/>
              <w:left w:val="nil"/>
              <w:bottom w:val="single" w:sz="4" w:space="0" w:color="auto"/>
              <w:right w:val="single" w:sz="4" w:space="0" w:color="auto"/>
            </w:tcBorders>
            <w:shd w:val="clear" w:color="auto" w:fill="C6EFCE"/>
            <w:noWrap/>
            <w:vAlign w:val="center"/>
          </w:tcPr>
          <w:p w14:paraId="6B546EAE" w14:textId="77777777" w:rsidR="00A00259" w:rsidRDefault="00371282">
            <w:pPr>
              <w:pStyle w:val="P68B1DB1-Normal55"/>
              <w:keepNext/>
              <w:spacing w:before="40" w:after="0" w:line="240" w:lineRule="auto"/>
              <w:jc w:val="both"/>
              <w:rPr>
                <w:rFonts w:eastAsia="Times New Roman" w:cs="Times New Roman"/>
                <w:noProof/>
                <w:szCs w:val="18"/>
              </w:rPr>
            </w:pPr>
            <w:r>
              <w:rPr>
                <w:noProof/>
              </w:rPr>
              <w:t>Mise à niveau des systèmes d'enregistrement &amp; Systèmes de justice informatique</w:t>
            </w:r>
          </w:p>
        </w:tc>
      </w:tr>
      <w:tr w:rsidR="00A00259" w14:paraId="66767854"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08465F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230</w:t>
            </w:r>
          </w:p>
        </w:tc>
        <w:tc>
          <w:tcPr>
            <w:tcW w:w="4962" w:type="dxa"/>
            <w:tcBorders>
              <w:top w:val="nil"/>
              <w:left w:val="nil"/>
              <w:bottom w:val="single" w:sz="4" w:space="0" w:color="auto"/>
              <w:right w:val="single" w:sz="4" w:space="0" w:color="auto"/>
            </w:tcBorders>
            <w:shd w:val="clear" w:color="auto" w:fill="C6EFCE"/>
            <w:noWrap/>
            <w:vAlign w:val="center"/>
          </w:tcPr>
          <w:p w14:paraId="22493FED" w14:textId="7F2BAAE4" w:rsidR="00A00259" w:rsidRDefault="00371282">
            <w:pPr>
              <w:pStyle w:val="P68B1DB1-Normal55"/>
              <w:keepNext/>
              <w:spacing w:before="40" w:after="0" w:line="240" w:lineRule="auto"/>
              <w:jc w:val="both"/>
              <w:rPr>
                <w:rFonts w:eastAsia="Times New Roman" w:cs="Times New Roman"/>
                <w:bCs/>
                <w:noProof/>
                <w:szCs w:val="18"/>
              </w:rPr>
            </w:pPr>
            <w:r>
              <w:rPr>
                <w:noProof/>
              </w:rPr>
              <w:t>14 - 4.3. Améliorer l'efficacité du système judiciaire - 16575 Accélérer l'administration de la justice</w:t>
            </w:r>
          </w:p>
        </w:tc>
        <w:tc>
          <w:tcPr>
            <w:tcW w:w="992" w:type="dxa"/>
            <w:tcBorders>
              <w:top w:val="nil"/>
              <w:left w:val="nil"/>
              <w:bottom w:val="single" w:sz="4" w:space="0" w:color="auto"/>
              <w:right w:val="single" w:sz="4" w:space="0" w:color="auto"/>
            </w:tcBorders>
            <w:shd w:val="clear" w:color="auto" w:fill="C6EFCE"/>
            <w:noWrap/>
            <w:vAlign w:val="center"/>
          </w:tcPr>
          <w:p w14:paraId="6F2636BE"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966" w:type="dxa"/>
            <w:tcBorders>
              <w:top w:val="nil"/>
              <w:left w:val="nil"/>
              <w:bottom w:val="single" w:sz="4" w:space="0" w:color="auto"/>
              <w:right w:val="single" w:sz="4" w:space="0" w:color="auto"/>
            </w:tcBorders>
            <w:shd w:val="clear" w:color="auto" w:fill="C6EFCE"/>
            <w:noWrap/>
            <w:vAlign w:val="center"/>
          </w:tcPr>
          <w:p w14:paraId="280F1A73" w14:textId="77777777" w:rsidR="00A00259" w:rsidRDefault="00371282">
            <w:pPr>
              <w:pStyle w:val="P68B1DB1-Normal55"/>
              <w:keepNext/>
              <w:spacing w:before="40" w:after="0" w:line="240" w:lineRule="auto"/>
              <w:jc w:val="both"/>
              <w:rPr>
                <w:rFonts w:eastAsia="Times New Roman" w:cs="Times New Roman"/>
                <w:noProof/>
                <w:szCs w:val="18"/>
              </w:rPr>
            </w:pPr>
            <w:r>
              <w:rPr>
                <w:noProof/>
              </w:rPr>
              <w:t>Entrée en vigueur – Outil de performance des huissiers de justice</w:t>
            </w:r>
          </w:p>
        </w:tc>
      </w:tr>
      <w:tr w:rsidR="00A00259" w14:paraId="5E963970"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9F3247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231</w:t>
            </w:r>
          </w:p>
        </w:tc>
        <w:tc>
          <w:tcPr>
            <w:tcW w:w="4962" w:type="dxa"/>
            <w:tcBorders>
              <w:top w:val="nil"/>
              <w:left w:val="nil"/>
              <w:bottom w:val="single" w:sz="4" w:space="0" w:color="auto"/>
              <w:right w:val="single" w:sz="4" w:space="0" w:color="auto"/>
            </w:tcBorders>
            <w:shd w:val="clear" w:color="auto" w:fill="C6EFCE"/>
            <w:noWrap/>
            <w:vAlign w:val="center"/>
          </w:tcPr>
          <w:p w14:paraId="2FCA4C3C" w14:textId="4947DE58" w:rsidR="00A00259" w:rsidRDefault="00371282">
            <w:pPr>
              <w:pStyle w:val="P68B1DB1-Normal55"/>
              <w:keepNext/>
              <w:spacing w:before="40" w:after="0" w:line="240" w:lineRule="auto"/>
              <w:jc w:val="both"/>
              <w:rPr>
                <w:rFonts w:eastAsia="Times New Roman" w:cs="Times New Roman"/>
                <w:bCs/>
                <w:noProof/>
                <w:szCs w:val="18"/>
              </w:rPr>
            </w:pPr>
            <w:r>
              <w:rPr>
                <w:noProof/>
              </w:rPr>
              <w:t>14 - 4.3. Améliorer l'efficacité du système judiciaire - 16292_Nouveaux bâtiments judiciaires</w:t>
            </w:r>
          </w:p>
        </w:tc>
        <w:tc>
          <w:tcPr>
            <w:tcW w:w="992" w:type="dxa"/>
            <w:tcBorders>
              <w:top w:val="nil"/>
              <w:left w:val="nil"/>
              <w:bottom w:val="single" w:sz="4" w:space="0" w:color="auto"/>
              <w:right w:val="single" w:sz="4" w:space="0" w:color="auto"/>
            </w:tcBorders>
            <w:shd w:val="clear" w:color="auto" w:fill="C6EFCE"/>
            <w:noWrap/>
            <w:vAlign w:val="center"/>
          </w:tcPr>
          <w:p w14:paraId="7EDB6851"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966" w:type="dxa"/>
            <w:tcBorders>
              <w:top w:val="nil"/>
              <w:left w:val="nil"/>
              <w:bottom w:val="single" w:sz="4" w:space="0" w:color="auto"/>
              <w:right w:val="single" w:sz="4" w:space="0" w:color="auto"/>
            </w:tcBorders>
            <w:shd w:val="clear" w:color="auto" w:fill="C6EFCE"/>
            <w:noWrap/>
            <w:vAlign w:val="center"/>
          </w:tcPr>
          <w:p w14:paraId="423DF96A" w14:textId="77777777" w:rsidR="00A00259" w:rsidRDefault="00371282">
            <w:pPr>
              <w:pStyle w:val="P68B1DB1-Normal55"/>
              <w:keepNext/>
              <w:spacing w:before="40" w:after="0" w:line="240" w:lineRule="auto"/>
              <w:jc w:val="both"/>
              <w:rPr>
                <w:rFonts w:eastAsia="Times New Roman" w:cs="Times New Roman"/>
                <w:noProof/>
                <w:szCs w:val="18"/>
              </w:rPr>
            </w:pPr>
            <w:r>
              <w:rPr>
                <w:noProof/>
              </w:rPr>
              <w:t xml:space="preserve">Contrats </w:t>
            </w:r>
          </w:p>
        </w:tc>
      </w:tr>
      <w:tr w:rsidR="00A00259" w14:paraId="69473A4B"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426670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257</w:t>
            </w:r>
          </w:p>
        </w:tc>
        <w:tc>
          <w:tcPr>
            <w:tcW w:w="4962" w:type="dxa"/>
            <w:tcBorders>
              <w:top w:val="single" w:sz="4" w:space="0" w:color="auto"/>
              <w:left w:val="nil"/>
              <w:bottom w:val="single" w:sz="4" w:space="0" w:color="auto"/>
              <w:right w:val="single" w:sz="4" w:space="0" w:color="auto"/>
            </w:tcBorders>
            <w:shd w:val="clear" w:color="auto" w:fill="C6EFCE"/>
            <w:noWrap/>
            <w:vAlign w:val="center"/>
          </w:tcPr>
          <w:p w14:paraId="104BACF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- 16631_Renforcement de la sécurité routière</w:t>
            </w:r>
          </w:p>
        </w:tc>
        <w:tc>
          <w:tcPr>
            <w:tcW w:w="992" w:type="dxa"/>
            <w:tcBorders>
              <w:top w:val="nil"/>
              <w:left w:val="nil"/>
              <w:bottom w:val="single" w:sz="4" w:space="0" w:color="auto"/>
              <w:right w:val="single" w:sz="4" w:space="0" w:color="auto"/>
            </w:tcBorders>
            <w:shd w:val="clear" w:color="auto" w:fill="C6EFCE"/>
            <w:noWrap/>
            <w:vAlign w:val="center"/>
          </w:tcPr>
          <w:p w14:paraId="4236903D"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966" w:type="dxa"/>
            <w:tcBorders>
              <w:top w:val="nil"/>
              <w:left w:val="nil"/>
              <w:bottom w:val="single" w:sz="4" w:space="0" w:color="auto"/>
              <w:right w:val="single" w:sz="4" w:space="0" w:color="auto"/>
            </w:tcBorders>
            <w:shd w:val="clear" w:color="auto" w:fill="C6EFCE"/>
            <w:noWrap/>
            <w:vAlign w:val="center"/>
          </w:tcPr>
          <w:p w14:paraId="42484336" w14:textId="77777777" w:rsidR="00A00259" w:rsidRDefault="00371282">
            <w:pPr>
              <w:pStyle w:val="P68B1DB1-Normal55"/>
              <w:keepNext/>
              <w:spacing w:before="40" w:after="0" w:line="240" w:lineRule="auto"/>
              <w:jc w:val="both"/>
              <w:rPr>
                <w:rFonts w:eastAsia="Times New Roman" w:cs="Times New Roman"/>
                <w:noProof/>
                <w:szCs w:val="18"/>
              </w:rPr>
            </w:pPr>
            <w:r>
              <w:rPr>
                <w:noProof/>
              </w:rPr>
              <w:t>Attribution du marché pour la sécurité routière – premier lot de marchés</w:t>
            </w:r>
          </w:p>
        </w:tc>
      </w:tr>
      <w:tr w:rsidR="00A00259" w14:paraId="2E969001"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C943A9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260</w:t>
            </w:r>
          </w:p>
        </w:tc>
        <w:tc>
          <w:tcPr>
            <w:tcW w:w="4962" w:type="dxa"/>
            <w:tcBorders>
              <w:top w:val="nil"/>
              <w:left w:val="nil"/>
              <w:bottom w:val="single" w:sz="4" w:space="0" w:color="auto"/>
              <w:right w:val="single" w:sz="4" w:space="0" w:color="auto"/>
            </w:tcBorders>
            <w:shd w:val="clear" w:color="auto" w:fill="C6EFCE"/>
            <w:noWrap/>
            <w:vAlign w:val="center"/>
          </w:tcPr>
          <w:p w14:paraId="0D99A46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- 16630_Cretan Northern Highway (Β.Ο.Α.Κ.)</w:t>
            </w:r>
          </w:p>
        </w:tc>
        <w:tc>
          <w:tcPr>
            <w:tcW w:w="992" w:type="dxa"/>
            <w:tcBorders>
              <w:top w:val="nil"/>
              <w:left w:val="nil"/>
              <w:bottom w:val="single" w:sz="4" w:space="0" w:color="auto"/>
              <w:right w:val="single" w:sz="4" w:space="0" w:color="auto"/>
            </w:tcBorders>
            <w:shd w:val="clear" w:color="auto" w:fill="C6EFCE"/>
            <w:noWrap/>
            <w:vAlign w:val="center"/>
          </w:tcPr>
          <w:p w14:paraId="5A44D790"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966" w:type="dxa"/>
            <w:tcBorders>
              <w:top w:val="nil"/>
              <w:left w:val="nil"/>
              <w:bottom w:val="single" w:sz="4" w:space="0" w:color="auto"/>
              <w:right w:val="single" w:sz="4" w:space="0" w:color="auto"/>
            </w:tcBorders>
            <w:shd w:val="clear" w:color="auto" w:fill="C6EFCE"/>
            <w:noWrap/>
            <w:vAlign w:val="center"/>
          </w:tcPr>
          <w:p w14:paraId="1E0E887B" w14:textId="77777777" w:rsidR="00A00259" w:rsidRDefault="00371282">
            <w:pPr>
              <w:pStyle w:val="P68B1DB1-Normal55"/>
              <w:keepNext/>
              <w:spacing w:before="40" w:after="0" w:line="240" w:lineRule="auto"/>
              <w:jc w:val="both"/>
              <w:rPr>
                <w:rFonts w:eastAsia="Times New Roman" w:cs="Times New Roman"/>
                <w:noProof/>
                <w:szCs w:val="18"/>
              </w:rPr>
            </w:pPr>
            <w:r>
              <w:rPr>
                <w:noProof/>
              </w:rPr>
              <w:t>Notification de l’attribution de marchés pour trois sous-projets du BOAK</w:t>
            </w:r>
          </w:p>
        </w:tc>
      </w:tr>
      <w:tr w:rsidR="00A00259" w14:paraId="6C365BA9"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11F4E7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267</w:t>
            </w:r>
          </w:p>
        </w:tc>
        <w:tc>
          <w:tcPr>
            <w:tcW w:w="4962" w:type="dxa"/>
            <w:tcBorders>
              <w:top w:val="nil"/>
              <w:left w:val="nil"/>
              <w:bottom w:val="single" w:sz="4" w:space="0" w:color="auto"/>
              <w:right w:val="single" w:sz="4" w:space="0" w:color="auto"/>
            </w:tcBorders>
            <w:shd w:val="clear" w:color="auto" w:fill="C6EFCE"/>
            <w:noWrap/>
            <w:vAlign w:val="center"/>
          </w:tcPr>
          <w:p w14:paraId="09128F8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- 16833_Mise en œuvre des travaux de rectification de la conformité de l'AESA</w:t>
            </w:r>
          </w:p>
        </w:tc>
        <w:tc>
          <w:tcPr>
            <w:tcW w:w="992" w:type="dxa"/>
            <w:tcBorders>
              <w:top w:val="nil"/>
              <w:left w:val="nil"/>
              <w:bottom w:val="single" w:sz="4" w:space="0" w:color="auto"/>
              <w:right w:val="single" w:sz="4" w:space="0" w:color="auto"/>
            </w:tcBorders>
            <w:shd w:val="clear" w:color="auto" w:fill="C6EFCE"/>
            <w:noWrap/>
            <w:vAlign w:val="center"/>
          </w:tcPr>
          <w:p w14:paraId="28196638"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966" w:type="dxa"/>
            <w:tcBorders>
              <w:top w:val="nil"/>
              <w:left w:val="nil"/>
              <w:bottom w:val="single" w:sz="4" w:space="0" w:color="auto"/>
              <w:right w:val="single" w:sz="4" w:space="0" w:color="auto"/>
            </w:tcBorders>
            <w:shd w:val="clear" w:color="auto" w:fill="C6EFCE"/>
            <w:noWrap/>
            <w:vAlign w:val="center"/>
          </w:tcPr>
          <w:p w14:paraId="717337F3" w14:textId="77777777" w:rsidR="00A00259" w:rsidRDefault="00371282">
            <w:pPr>
              <w:pStyle w:val="P68B1DB1-Normal55"/>
              <w:keepNext/>
              <w:spacing w:before="40" w:after="0" w:line="240" w:lineRule="auto"/>
              <w:jc w:val="both"/>
              <w:rPr>
                <w:rFonts w:eastAsia="Times New Roman" w:cs="Times New Roman"/>
                <w:noProof/>
                <w:szCs w:val="18"/>
              </w:rPr>
            </w:pPr>
            <w:r>
              <w:rPr>
                <w:noProof/>
              </w:rPr>
              <w:t>Notification d’attribution pour les travaux de l’Agence de l’Union européenne pour la sécurité aérienne (AESA) dans les aéroports régionaux</w:t>
            </w:r>
          </w:p>
        </w:tc>
      </w:tr>
      <w:tr w:rsidR="00A00259" w14:paraId="1816B93A" w14:textId="77777777">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C67624B"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4962" w:type="dxa"/>
            <w:tcBorders>
              <w:top w:val="single" w:sz="4" w:space="0" w:color="auto"/>
              <w:left w:val="nil"/>
              <w:bottom w:val="single" w:sz="4" w:space="0" w:color="auto"/>
              <w:right w:val="single" w:sz="4" w:space="0" w:color="auto"/>
            </w:tcBorders>
            <w:shd w:val="clear" w:color="auto" w:fill="C6EFCE"/>
            <w:noWrap/>
            <w:vAlign w:val="bottom"/>
          </w:tcPr>
          <w:p w14:paraId="2532D9D9"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vAlign w:val="bottom"/>
          </w:tcPr>
          <w:p w14:paraId="2ADC2463" w14:textId="77777777" w:rsidR="00A00259" w:rsidRDefault="00371282">
            <w:pPr>
              <w:pStyle w:val="P68B1DB1-Normal55"/>
              <w:keepNext/>
              <w:spacing w:before="40" w:after="0" w:line="259" w:lineRule="auto"/>
              <w:jc w:val="both"/>
              <w:rPr>
                <w:rFonts w:eastAsia="Times New Roman" w:cs="Times New Roman"/>
                <w:noProof/>
                <w:szCs w:val="18"/>
              </w:rPr>
            </w:pPr>
            <w:r>
              <w:rPr>
                <w:noProof/>
              </w:rPr>
              <w:t>Montant des acomptes provisionnels</w:t>
            </w:r>
          </w:p>
        </w:tc>
        <w:tc>
          <w:tcPr>
            <w:tcW w:w="2966" w:type="dxa"/>
            <w:tcBorders>
              <w:top w:val="single" w:sz="4" w:space="0" w:color="auto"/>
              <w:left w:val="nil"/>
              <w:bottom w:val="single" w:sz="4" w:space="0" w:color="auto"/>
              <w:right w:val="single" w:sz="4" w:space="0" w:color="auto"/>
            </w:tcBorders>
            <w:shd w:val="clear" w:color="auto" w:fill="C6EFCE"/>
            <w:noWrap/>
            <w:vAlign w:val="bottom"/>
          </w:tcPr>
          <w:p w14:paraId="5A6CB98A" w14:textId="7613DF6E" w:rsidR="00A00259" w:rsidRDefault="00371282">
            <w:pPr>
              <w:pStyle w:val="P68B1DB1-Normal55"/>
              <w:keepNext/>
              <w:spacing w:before="40" w:after="0" w:line="259" w:lineRule="auto"/>
              <w:jc w:val="both"/>
              <w:rPr>
                <w:rFonts w:eastAsia="Times New Roman" w:cs="Times New Roman"/>
                <w:noProof/>
                <w:szCs w:val="18"/>
              </w:rPr>
            </w:pPr>
            <w:r>
              <w:rPr>
                <w:noProof/>
              </w:rPr>
              <w:t>1 155 362 463 EUR</w:t>
            </w:r>
          </w:p>
        </w:tc>
      </w:tr>
    </w:tbl>
    <w:p w14:paraId="3ACCB499" w14:textId="77777777" w:rsidR="00A00259" w:rsidRDefault="00A00259">
      <w:pPr>
        <w:keepNext/>
        <w:spacing w:before="40" w:after="0" w:line="259" w:lineRule="auto"/>
        <w:jc w:val="both"/>
        <w:rPr>
          <w:rFonts w:ascii="Times New Roman" w:eastAsia="Times New Roman" w:hAnsi="Times New Roman" w:cs="Times New Roman"/>
          <w:bCs/>
          <w:noProof/>
          <w:sz w:val="24"/>
          <w:szCs w:val="26"/>
        </w:rPr>
      </w:pPr>
    </w:p>
    <w:p w14:paraId="5A3912D8" w14:textId="77777777" w:rsidR="00A00259" w:rsidRDefault="00371282">
      <w:pPr>
        <w:pStyle w:val="P68B1DB1-Normal5"/>
        <w:keepNext/>
        <w:numPr>
          <w:ilvl w:val="1"/>
          <w:numId w:val="93"/>
        </w:numPr>
        <w:spacing w:before="40" w:after="160" w:line="259" w:lineRule="auto"/>
        <w:ind w:left="0"/>
        <w:contextualSpacing/>
        <w:jc w:val="both"/>
        <w:rPr>
          <w:rFonts w:eastAsia="Times New Roman" w:cs="Times New Roman"/>
          <w:noProof/>
        </w:rPr>
      </w:pPr>
      <w:bookmarkStart w:id="8" w:name="_Hlk234259007"/>
      <w:r>
        <w:rPr>
          <w:noProof/>
        </w:rPr>
        <w:t xml:space="preserve">Cinquième demande de paiement </w:t>
      </w:r>
      <w:bookmarkEnd w:id="8"/>
      <w:r>
        <w:rPr>
          <w:noProof/>
        </w:rPr>
        <w:t>(aide non remboursable):</w:t>
      </w:r>
    </w:p>
    <w:p w14:paraId="5A94CA53" w14:textId="77777777" w:rsidR="00A00259" w:rsidRDefault="00A00259">
      <w:pPr>
        <w:keepNext/>
        <w:spacing w:before="40" w:after="160" w:line="259" w:lineRule="auto"/>
        <w:contextualSpacing/>
        <w:jc w:val="both"/>
        <w:rPr>
          <w:rFonts w:ascii="Times New Roman" w:eastAsia="Times New Roman" w:hAnsi="Times New Roman" w:cs="Times New Roman"/>
          <w:noProof/>
          <w:sz w:val="24"/>
        </w:rPr>
      </w:pPr>
    </w:p>
    <w:tbl>
      <w:tblPr>
        <w:tblW w:w="9595" w:type="dxa"/>
        <w:jc w:val="center"/>
        <w:tblLayout w:type="fixed"/>
        <w:tblLook w:val="04A0" w:firstRow="1" w:lastRow="0" w:firstColumn="1" w:lastColumn="0" w:noHBand="0" w:noVBand="1"/>
      </w:tblPr>
      <w:tblGrid>
        <w:gridCol w:w="675"/>
        <w:gridCol w:w="5440"/>
        <w:gridCol w:w="1680"/>
        <w:gridCol w:w="1800"/>
      </w:tblGrid>
      <w:tr w:rsidR="00A00259" w14:paraId="5B35D321" w14:textId="77777777">
        <w:trPr>
          <w:trHeight w:val="990"/>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922B489" w14:textId="77777777" w:rsidR="00A00259" w:rsidRDefault="00371282">
            <w:pPr>
              <w:pStyle w:val="P68B1DB1-Normal15"/>
              <w:keepNext/>
              <w:spacing w:before="40" w:after="0" w:line="259" w:lineRule="auto"/>
              <w:jc w:val="center"/>
              <w:rPr>
                <w:rFonts w:eastAsia="Times New Roman"/>
                <w:bCs/>
                <w:noProof/>
              </w:rPr>
            </w:pPr>
            <w:r>
              <w:rPr>
                <w:noProof/>
              </w:rPr>
              <w:t xml:space="preserve">Seq. </w:t>
            </w:r>
            <w:r>
              <w:rPr>
                <w:noProof/>
              </w:rPr>
              <w:br/>
              <w:t>Non.</w:t>
            </w:r>
          </w:p>
        </w:tc>
        <w:tc>
          <w:tcPr>
            <w:tcW w:w="544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374B233"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Mesure connexe (réforme ou investissement)</w:t>
            </w:r>
          </w:p>
        </w:tc>
        <w:tc>
          <w:tcPr>
            <w:tcW w:w="168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EE544D8"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Étape/cible</w:t>
            </w:r>
          </w:p>
        </w:tc>
        <w:tc>
          <w:tcPr>
            <w:tcW w:w="180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8EBEAE"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Nom</w:t>
            </w:r>
          </w:p>
        </w:tc>
      </w:tr>
      <w:tr w:rsidR="00A00259" w14:paraId="72762DE5"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F1827D" w14:textId="77777777" w:rsidR="00A00259" w:rsidRDefault="00371282">
            <w:pPr>
              <w:pStyle w:val="P68B1DB1-Normal55"/>
              <w:keepNext/>
              <w:spacing w:before="40" w:after="0" w:line="240" w:lineRule="auto"/>
              <w:jc w:val="both"/>
              <w:rPr>
                <w:rFonts w:eastAsia="Times New Roman" w:cs="Times New Roman"/>
                <w:noProof/>
                <w:szCs w:val="18"/>
              </w:rPr>
            </w:pPr>
            <w:r>
              <w:rPr>
                <w:noProof/>
              </w:rPr>
              <w:t>12</w:t>
            </w:r>
          </w:p>
        </w:tc>
        <w:tc>
          <w:tcPr>
            <w:tcW w:w="5440" w:type="dxa"/>
            <w:tcBorders>
              <w:top w:val="single" w:sz="4" w:space="0" w:color="auto"/>
              <w:left w:val="nil"/>
              <w:bottom w:val="single" w:sz="4" w:space="0" w:color="auto"/>
              <w:right w:val="single" w:sz="4" w:space="0" w:color="auto"/>
            </w:tcBorders>
            <w:shd w:val="clear" w:color="auto" w:fill="C6EFCE"/>
            <w:noWrap/>
            <w:vAlign w:val="center"/>
          </w:tcPr>
          <w:p w14:paraId="5E27C5A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1 - 1.1. 16901 Mises à niveau du réseau _HEDNO visant à améliorer la résilience et à protéger l'environnement</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36D6AC7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64A3941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HEDNO — contrats 1</w:t>
            </w:r>
          </w:p>
        </w:tc>
      </w:tr>
      <w:tr w:rsidR="00A00259" w14:paraId="5E0B85C1"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CB92B8" w14:textId="77777777" w:rsidR="00A00259" w:rsidRDefault="00371282">
            <w:pPr>
              <w:pStyle w:val="P68B1DB1-Normal55"/>
              <w:keepNext/>
              <w:spacing w:before="40" w:after="0" w:line="240" w:lineRule="auto"/>
              <w:jc w:val="both"/>
              <w:rPr>
                <w:rFonts w:eastAsia="Times New Roman" w:cs="Times New Roman"/>
                <w:noProof/>
                <w:szCs w:val="18"/>
              </w:rPr>
            </w:pPr>
            <w:r>
              <w:rPr>
                <w:noProof/>
              </w:rPr>
              <w:t>13</w:t>
            </w:r>
          </w:p>
        </w:tc>
        <w:tc>
          <w:tcPr>
            <w:tcW w:w="5440" w:type="dxa"/>
            <w:tcBorders>
              <w:top w:val="single" w:sz="4" w:space="0" w:color="auto"/>
              <w:left w:val="nil"/>
              <w:bottom w:val="single" w:sz="4" w:space="0" w:color="auto"/>
              <w:right w:val="single" w:sz="4" w:space="0" w:color="auto"/>
            </w:tcBorders>
            <w:shd w:val="clear" w:color="auto" w:fill="C6EFCE"/>
            <w:noWrap/>
            <w:vAlign w:val="center"/>
          </w:tcPr>
          <w:p w14:paraId="2EC85F4E" w14:textId="7E3563E6" w:rsidR="00A00259" w:rsidRDefault="00371282">
            <w:pPr>
              <w:keepNext/>
              <w:spacing w:before="40" w:after="0" w:line="240" w:lineRule="auto"/>
              <w:jc w:val="both"/>
              <w:rPr>
                <w:rFonts w:ascii="Times New Roman" w:eastAsia="Times New Roman" w:hAnsi="Times New Roman" w:cs="Times New Roman"/>
                <w:bCs/>
                <w:noProof/>
                <w:sz w:val="18"/>
                <w:szCs w:val="18"/>
              </w:rPr>
            </w:pPr>
            <w:r>
              <w:rPr>
                <w:rFonts w:ascii="Times New Roman" w:hAnsi="Times New Roman"/>
                <w:noProof/>
                <w:sz w:val="18"/>
              </w:rPr>
              <w:t>1 - 1.1. Mise à niveau du réseau 16900_ HEDNO</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57FD119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2298E164"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HEDNO — contrats 2</w:t>
            </w:r>
          </w:p>
        </w:tc>
      </w:tr>
      <w:tr w:rsidR="00A00259" w14:paraId="1D6CD358"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hideMark/>
          </w:tcPr>
          <w:p w14:paraId="7B172170" w14:textId="77777777" w:rsidR="00A00259" w:rsidRDefault="00371282">
            <w:pPr>
              <w:pStyle w:val="P68B1DB1-Normal55"/>
              <w:keepNext/>
              <w:spacing w:before="40" w:after="0" w:line="240" w:lineRule="auto"/>
              <w:jc w:val="both"/>
              <w:rPr>
                <w:rFonts w:eastAsia="Times New Roman" w:cs="Times New Roman"/>
                <w:noProof/>
                <w:szCs w:val="18"/>
              </w:rPr>
            </w:pPr>
            <w:r>
              <w:rPr>
                <w:noProof/>
              </w:rPr>
              <w:t>14</w:t>
            </w:r>
          </w:p>
        </w:tc>
        <w:tc>
          <w:tcPr>
            <w:tcW w:w="5440" w:type="dxa"/>
            <w:tcBorders>
              <w:top w:val="nil"/>
              <w:left w:val="nil"/>
              <w:bottom w:val="single" w:sz="4" w:space="0" w:color="auto"/>
              <w:right w:val="single" w:sz="4" w:space="0" w:color="auto"/>
            </w:tcBorders>
            <w:shd w:val="clear" w:color="auto" w:fill="C6EFCE"/>
            <w:noWrap/>
            <w:vAlign w:val="center"/>
          </w:tcPr>
          <w:p w14:paraId="416ACE3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1 - 1.1. 16899_Augmentation de la capacité installée des sous-stations HV/MV du HEDNO (Hellenic Electricity Distribution Network Operator) pour la nouvelle connexion SER</w:t>
            </w:r>
          </w:p>
        </w:tc>
        <w:tc>
          <w:tcPr>
            <w:tcW w:w="1680" w:type="dxa"/>
            <w:tcBorders>
              <w:top w:val="nil"/>
              <w:left w:val="nil"/>
              <w:bottom w:val="single" w:sz="4" w:space="0" w:color="auto"/>
              <w:right w:val="single" w:sz="4" w:space="0" w:color="auto"/>
            </w:tcBorders>
            <w:shd w:val="clear" w:color="auto" w:fill="C6EFCE"/>
            <w:noWrap/>
            <w:vAlign w:val="center"/>
          </w:tcPr>
          <w:p w14:paraId="39759F4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1800" w:type="dxa"/>
            <w:tcBorders>
              <w:top w:val="nil"/>
              <w:left w:val="nil"/>
              <w:bottom w:val="single" w:sz="4" w:space="0" w:color="auto"/>
              <w:right w:val="single" w:sz="4" w:space="0" w:color="auto"/>
            </w:tcBorders>
            <w:shd w:val="clear" w:color="auto" w:fill="C6EFCE"/>
            <w:noWrap/>
            <w:vAlign w:val="center"/>
          </w:tcPr>
          <w:p w14:paraId="706CEA7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HEDNO — contrats 3</w:t>
            </w:r>
          </w:p>
        </w:tc>
      </w:tr>
      <w:tr w:rsidR="00A00259" w14:paraId="3E756D97"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2F49C4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23</w:t>
            </w:r>
          </w:p>
        </w:tc>
        <w:tc>
          <w:tcPr>
            <w:tcW w:w="5440" w:type="dxa"/>
            <w:tcBorders>
              <w:top w:val="nil"/>
              <w:left w:val="nil"/>
              <w:bottom w:val="single" w:sz="4" w:space="0" w:color="auto"/>
              <w:right w:val="single" w:sz="4" w:space="0" w:color="auto"/>
            </w:tcBorders>
            <w:shd w:val="clear" w:color="auto" w:fill="C6EFCE"/>
            <w:noWrap/>
            <w:vAlign w:val="center"/>
          </w:tcPr>
          <w:p w14:paraId="2D1C2A4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2 - 1.2. Rénovation - 16872_Rénovation énergétique des bâtiments résidentiels</w:t>
            </w:r>
          </w:p>
        </w:tc>
        <w:tc>
          <w:tcPr>
            <w:tcW w:w="1680" w:type="dxa"/>
            <w:tcBorders>
              <w:top w:val="nil"/>
              <w:left w:val="nil"/>
              <w:bottom w:val="single" w:sz="4" w:space="0" w:color="auto"/>
              <w:right w:val="single" w:sz="4" w:space="0" w:color="auto"/>
            </w:tcBorders>
            <w:shd w:val="clear" w:color="auto" w:fill="C6EFCE"/>
            <w:noWrap/>
            <w:vAlign w:val="center"/>
          </w:tcPr>
          <w:p w14:paraId="2C8FDC5C" w14:textId="77777777" w:rsidR="00A00259" w:rsidRDefault="00371282">
            <w:pPr>
              <w:pStyle w:val="P68B1DB1-Normal55"/>
              <w:keepNext/>
              <w:spacing w:before="40" w:after="0" w:line="240" w:lineRule="auto"/>
              <w:jc w:val="both"/>
              <w:rPr>
                <w:rFonts w:eastAsia="Times New Roman" w:cs="Times New Roman"/>
                <w:noProof/>
                <w:szCs w:val="18"/>
              </w:rPr>
            </w:pPr>
            <w:r>
              <w:rPr>
                <w:noProof/>
              </w:rPr>
              <w:t>Objectif</w:t>
            </w:r>
          </w:p>
        </w:tc>
        <w:tc>
          <w:tcPr>
            <w:tcW w:w="1800" w:type="dxa"/>
            <w:tcBorders>
              <w:top w:val="nil"/>
              <w:left w:val="nil"/>
              <w:bottom w:val="single" w:sz="4" w:space="0" w:color="auto"/>
              <w:right w:val="single" w:sz="4" w:space="0" w:color="auto"/>
            </w:tcBorders>
            <w:shd w:val="clear" w:color="auto" w:fill="C6EFCE"/>
            <w:noWrap/>
            <w:vAlign w:val="center"/>
          </w:tcPr>
          <w:p w14:paraId="26059016" w14:textId="77777777" w:rsidR="00A00259" w:rsidRDefault="00371282">
            <w:pPr>
              <w:pStyle w:val="P68B1DB1-Normal55"/>
              <w:keepNext/>
              <w:spacing w:before="40" w:after="0" w:line="240" w:lineRule="auto"/>
              <w:jc w:val="both"/>
              <w:rPr>
                <w:rFonts w:eastAsia="Times New Roman" w:cs="Times New Roman"/>
                <w:noProof/>
                <w:szCs w:val="18"/>
              </w:rPr>
            </w:pPr>
            <w:r>
              <w:rPr>
                <w:noProof/>
              </w:rPr>
              <w:t>Rénovation résidentielle – rénovation des résidences #1</w:t>
            </w:r>
          </w:p>
        </w:tc>
      </w:tr>
      <w:tr w:rsidR="00A00259" w14:paraId="0277B77E"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9FA0C4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28</w:t>
            </w:r>
          </w:p>
        </w:tc>
        <w:tc>
          <w:tcPr>
            <w:tcW w:w="5440" w:type="dxa"/>
            <w:tcBorders>
              <w:top w:val="nil"/>
              <w:left w:val="nil"/>
              <w:bottom w:val="single" w:sz="4" w:space="0" w:color="auto"/>
              <w:right w:val="single" w:sz="4" w:space="0" w:color="auto"/>
            </w:tcBorders>
            <w:shd w:val="clear" w:color="auto" w:fill="C6EFCE"/>
            <w:noWrap/>
            <w:vAlign w:val="center"/>
          </w:tcPr>
          <w:p w14:paraId="48B5D224"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2 - 1.2. 16879_Préparation des plans urbains dans le cadre de la mise en œuvre de la réforme de la politique urbaine</w:t>
            </w:r>
          </w:p>
        </w:tc>
        <w:tc>
          <w:tcPr>
            <w:tcW w:w="1680" w:type="dxa"/>
            <w:tcBorders>
              <w:top w:val="nil"/>
              <w:left w:val="nil"/>
              <w:bottom w:val="single" w:sz="4" w:space="0" w:color="auto"/>
              <w:right w:val="single" w:sz="4" w:space="0" w:color="auto"/>
            </w:tcBorders>
            <w:shd w:val="clear" w:color="auto" w:fill="C6EFCE"/>
            <w:noWrap/>
            <w:vAlign w:val="center"/>
          </w:tcPr>
          <w:p w14:paraId="024B7A76"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1800" w:type="dxa"/>
            <w:tcBorders>
              <w:top w:val="nil"/>
              <w:left w:val="nil"/>
              <w:bottom w:val="single" w:sz="4" w:space="0" w:color="auto"/>
              <w:right w:val="single" w:sz="4" w:space="0" w:color="auto"/>
            </w:tcBorders>
            <w:shd w:val="clear" w:color="auto" w:fill="C6EFCE"/>
            <w:noWrap/>
            <w:vAlign w:val="center"/>
          </w:tcPr>
          <w:p w14:paraId="24A5AA01" w14:textId="77777777" w:rsidR="00A00259" w:rsidRDefault="00371282">
            <w:pPr>
              <w:pStyle w:val="P68B1DB1-Normal55"/>
              <w:keepNext/>
              <w:spacing w:before="40" w:after="0" w:line="240" w:lineRule="auto"/>
              <w:jc w:val="both"/>
              <w:rPr>
                <w:rFonts w:eastAsia="Times New Roman" w:cs="Times New Roman"/>
                <w:noProof/>
                <w:szCs w:val="18"/>
              </w:rPr>
            </w:pPr>
            <w:r>
              <w:rPr>
                <w:noProof/>
              </w:rPr>
              <w:t>Prix des plans urbains</w:t>
            </w:r>
          </w:p>
        </w:tc>
      </w:tr>
      <w:tr w:rsidR="00A00259" w14:paraId="0C64E93F"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5C7200F" w14:textId="77777777" w:rsidR="00A00259" w:rsidRDefault="00371282">
            <w:pPr>
              <w:pStyle w:val="P68B1DB1-Normal55"/>
              <w:keepNext/>
              <w:spacing w:before="40" w:after="0" w:line="240" w:lineRule="auto"/>
              <w:jc w:val="both"/>
              <w:rPr>
                <w:noProof/>
              </w:rPr>
            </w:pPr>
            <w:r>
              <w:rPr>
                <w:noProof/>
              </w:rPr>
              <w:t>33</w:t>
            </w:r>
          </w:p>
        </w:tc>
        <w:tc>
          <w:tcPr>
            <w:tcW w:w="5440" w:type="dxa"/>
            <w:tcBorders>
              <w:top w:val="nil"/>
              <w:left w:val="nil"/>
              <w:bottom w:val="single" w:sz="4" w:space="0" w:color="auto"/>
              <w:right w:val="single" w:sz="4" w:space="0" w:color="auto"/>
            </w:tcBorders>
            <w:shd w:val="clear" w:color="auto" w:fill="C6EFCE"/>
            <w:noWrap/>
            <w:vAlign w:val="center"/>
          </w:tcPr>
          <w:p w14:paraId="0325BDA4" w14:textId="77777777" w:rsidR="00A00259" w:rsidRDefault="00371282">
            <w:pPr>
              <w:pStyle w:val="P68B1DB1-Normal55"/>
              <w:keepNext/>
              <w:spacing w:before="40" w:after="0" w:line="240" w:lineRule="auto"/>
              <w:jc w:val="both"/>
              <w:rPr>
                <w:noProof/>
              </w:rPr>
            </w:pPr>
            <w:r>
              <w:rPr>
                <w:noProof/>
              </w:rPr>
              <w:t>2 - 1.2. Rénover - 16874_Énergie et entrepreneuriat</w:t>
            </w:r>
          </w:p>
        </w:tc>
        <w:tc>
          <w:tcPr>
            <w:tcW w:w="1680" w:type="dxa"/>
            <w:tcBorders>
              <w:top w:val="nil"/>
              <w:left w:val="nil"/>
              <w:bottom w:val="single" w:sz="4" w:space="0" w:color="auto"/>
              <w:right w:val="single" w:sz="4" w:space="0" w:color="auto"/>
            </w:tcBorders>
            <w:shd w:val="clear" w:color="auto" w:fill="C6EFCE"/>
            <w:noWrap/>
            <w:vAlign w:val="center"/>
          </w:tcPr>
          <w:p w14:paraId="59E8ED0E" w14:textId="77777777" w:rsidR="00A00259" w:rsidRDefault="00371282">
            <w:pPr>
              <w:pStyle w:val="P68B1DB1-Normal55"/>
              <w:keepNext/>
              <w:spacing w:before="40" w:after="0" w:line="240" w:lineRule="auto"/>
              <w:jc w:val="both"/>
              <w:rPr>
                <w:noProof/>
              </w:rPr>
            </w:pPr>
            <w:r>
              <w:rPr>
                <w:noProof/>
              </w:rPr>
              <w:t>Étape</w:t>
            </w:r>
          </w:p>
        </w:tc>
        <w:tc>
          <w:tcPr>
            <w:tcW w:w="1800" w:type="dxa"/>
            <w:tcBorders>
              <w:top w:val="nil"/>
              <w:left w:val="nil"/>
              <w:bottom w:val="single" w:sz="4" w:space="0" w:color="auto"/>
              <w:right w:val="single" w:sz="4" w:space="0" w:color="auto"/>
            </w:tcBorders>
            <w:shd w:val="clear" w:color="auto" w:fill="C6EFCE"/>
            <w:noWrap/>
            <w:vAlign w:val="center"/>
          </w:tcPr>
          <w:p w14:paraId="57DB1FEF" w14:textId="77777777" w:rsidR="00A00259" w:rsidRDefault="00371282">
            <w:pPr>
              <w:pStyle w:val="P68B1DB1-Normal55"/>
              <w:keepNext/>
              <w:spacing w:before="40" w:after="0" w:line="240" w:lineRule="auto"/>
              <w:jc w:val="both"/>
              <w:rPr>
                <w:noProof/>
              </w:rPr>
            </w:pPr>
            <w:r>
              <w:rPr>
                <w:noProof/>
              </w:rPr>
              <w:t>Efficacité énergétique du secteur privé – demandes approuvées</w:t>
            </w:r>
          </w:p>
        </w:tc>
      </w:tr>
      <w:tr w:rsidR="00A00259" w14:paraId="794F67E7"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654CC10" w14:textId="77777777" w:rsidR="00A00259" w:rsidRDefault="00371282">
            <w:pPr>
              <w:pStyle w:val="P68B1DB1-Normal55"/>
              <w:keepNext/>
              <w:spacing w:before="40" w:after="0" w:line="240" w:lineRule="auto"/>
              <w:jc w:val="both"/>
              <w:rPr>
                <w:noProof/>
              </w:rPr>
            </w:pPr>
            <w:r>
              <w:rPr>
                <w:noProof/>
              </w:rPr>
              <w:t>38</w:t>
            </w:r>
          </w:p>
        </w:tc>
        <w:tc>
          <w:tcPr>
            <w:tcW w:w="5440" w:type="dxa"/>
            <w:tcBorders>
              <w:top w:val="nil"/>
              <w:left w:val="nil"/>
              <w:bottom w:val="single" w:sz="4" w:space="0" w:color="auto"/>
              <w:right w:val="single" w:sz="4" w:space="0" w:color="auto"/>
            </w:tcBorders>
            <w:shd w:val="clear" w:color="auto" w:fill="C6EFCE"/>
            <w:noWrap/>
            <w:vAlign w:val="center"/>
          </w:tcPr>
          <w:p w14:paraId="4E2541CD" w14:textId="77777777" w:rsidR="00A00259" w:rsidRDefault="00371282">
            <w:pPr>
              <w:pStyle w:val="P68B1DB1-Normal55"/>
              <w:keepNext/>
              <w:spacing w:before="40" w:after="0" w:line="240" w:lineRule="auto"/>
              <w:jc w:val="both"/>
              <w:rPr>
                <w:noProof/>
              </w:rPr>
            </w:pPr>
            <w:r>
              <w:rPr>
                <w:noProof/>
              </w:rPr>
              <w:t>2 - 1.2. Rénover - 16873_ Interventions dans les zones résidentielles et dans le parc immobilier</w:t>
            </w:r>
          </w:p>
        </w:tc>
        <w:tc>
          <w:tcPr>
            <w:tcW w:w="1680" w:type="dxa"/>
            <w:tcBorders>
              <w:top w:val="nil"/>
              <w:left w:val="nil"/>
              <w:bottom w:val="single" w:sz="4" w:space="0" w:color="auto"/>
              <w:right w:val="single" w:sz="4" w:space="0" w:color="auto"/>
            </w:tcBorders>
            <w:shd w:val="clear" w:color="auto" w:fill="C6EFCE"/>
            <w:noWrap/>
            <w:vAlign w:val="center"/>
          </w:tcPr>
          <w:p w14:paraId="065A33F6" w14:textId="77777777" w:rsidR="00A00259" w:rsidRDefault="00371282">
            <w:pPr>
              <w:pStyle w:val="P68B1DB1-Normal55"/>
              <w:keepNext/>
              <w:spacing w:before="40" w:after="0" w:line="240" w:lineRule="auto"/>
              <w:jc w:val="both"/>
              <w:rPr>
                <w:noProof/>
              </w:rPr>
            </w:pPr>
            <w:r>
              <w:rPr>
                <w:noProof/>
              </w:rPr>
              <w:t>Étape</w:t>
            </w:r>
          </w:p>
        </w:tc>
        <w:tc>
          <w:tcPr>
            <w:tcW w:w="1800" w:type="dxa"/>
            <w:tcBorders>
              <w:top w:val="nil"/>
              <w:left w:val="nil"/>
              <w:bottom w:val="single" w:sz="4" w:space="0" w:color="auto"/>
              <w:right w:val="single" w:sz="4" w:space="0" w:color="auto"/>
            </w:tcBorders>
            <w:shd w:val="clear" w:color="auto" w:fill="C6EFCE"/>
            <w:noWrap/>
            <w:vAlign w:val="center"/>
          </w:tcPr>
          <w:p w14:paraId="4D8819B7" w14:textId="77777777" w:rsidR="00A00259" w:rsidRDefault="00371282">
            <w:pPr>
              <w:pStyle w:val="P68B1DB1-Normal55"/>
              <w:keepNext/>
              <w:spacing w:before="40" w:after="0" w:line="240" w:lineRule="auto"/>
              <w:jc w:val="both"/>
              <w:rPr>
                <w:noProof/>
              </w:rPr>
            </w:pPr>
            <w:r>
              <w:rPr>
                <w:noProof/>
              </w:rPr>
              <w:t>Interventions urbaines - attribution de contrats</w:t>
            </w:r>
          </w:p>
        </w:tc>
      </w:tr>
      <w:tr w:rsidR="00A00259" w14:paraId="4E9AAAA5"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65214B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50</w:t>
            </w:r>
          </w:p>
        </w:tc>
        <w:tc>
          <w:tcPr>
            <w:tcW w:w="5440" w:type="dxa"/>
            <w:tcBorders>
              <w:top w:val="nil"/>
              <w:left w:val="nil"/>
              <w:bottom w:val="single" w:sz="4" w:space="0" w:color="auto"/>
              <w:right w:val="single" w:sz="4" w:space="0" w:color="auto"/>
            </w:tcBorders>
            <w:shd w:val="clear" w:color="auto" w:fill="C6EFCE"/>
            <w:noWrap/>
            <w:vAlign w:val="center"/>
          </w:tcPr>
          <w:p w14:paraId="45F2480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3 - 1.3. Recharge et ravitaillement - 16831_Produc- E Green</w:t>
            </w:r>
          </w:p>
        </w:tc>
        <w:tc>
          <w:tcPr>
            <w:tcW w:w="1680" w:type="dxa"/>
            <w:tcBorders>
              <w:top w:val="nil"/>
              <w:left w:val="nil"/>
              <w:bottom w:val="single" w:sz="4" w:space="0" w:color="auto"/>
              <w:right w:val="single" w:sz="4" w:space="0" w:color="auto"/>
            </w:tcBorders>
            <w:shd w:val="clear" w:color="auto" w:fill="C6EFCE"/>
            <w:noWrap/>
            <w:vAlign w:val="center"/>
          </w:tcPr>
          <w:p w14:paraId="7AC27614"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1800" w:type="dxa"/>
            <w:tcBorders>
              <w:top w:val="nil"/>
              <w:left w:val="nil"/>
              <w:bottom w:val="single" w:sz="4" w:space="0" w:color="auto"/>
              <w:right w:val="single" w:sz="4" w:space="0" w:color="auto"/>
            </w:tcBorders>
            <w:shd w:val="clear" w:color="auto" w:fill="C6EFCE"/>
            <w:noWrap/>
            <w:vAlign w:val="center"/>
          </w:tcPr>
          <w:p w14:paraId="1138E44A" w14:textId="77777777" w:rsidR="00A00259" w:rsidRDefault="00371282">
            <w:pPr>
              <w:pStyle w:val="P68B1DB1-Normal55"/>
              <w:keepNext/>
              <w:spacing w:before="40" w:after="0" w:line="240" w:lineRule="auto"/>
              <w:jc w:val="both"/>
              <w:rPr>
                <w:rFonts w:eastAsia="Times New Roman" w:cs="Times New Roman"/>
                <w:noProof/>
                <w:szCs w:val="18"/>
              </w:rPr>
            </w:pPr>
            <w:r>
              <w:rPr>
                <w:noProof/>
              </w:rPr>
              <w:t>Unités industrielles — entreprises sélectionnées</w:t>
            </w:r>
          </w:p>
        </w:tc>
      </w:tr>
      <w:tr w:rsidR="00A00259" w14:paraId="0ED6FCD6"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E916BE3" w14:textId="77777777" w:rsidR="00A00259" w:rsidRDefault="00371282">
            <w:pPr>
              <w:pStyle w:val="P68B1DB1-Normal55"/>
              <w:keepNext/>
              <w:spacing w:before="40" w:after="0" w:line="240" w:lineRule="auto"/>
              <w:jc w:val="both"/>
              <w:rPr>
                <w:rFonts w:cs="Times New Roman"/>
                <w:noProof/>
                <w:szCs w:val="18"/>
              </w:rPr>
            </w:pPr>
            <w:r>
              <w:rPr>
                <w:noProof/>
              </w:rPr>
              <w:t>59</w:t>
            </w:r>
          </w:p>
        </w:tc>
        <w:tc>
          <w:tcPr>
            <w:tcW w:w="5440" w:type="dxa"/>
            <w:tcBorders>
              <w:top w:val="nil"/>
              <w:left w:val="nil"/>
              <w:bottom w:val="single" w:sz="4" w:space="0" w:color="auto"/>
              <w:right w:val="single" w:sz="4" w:space="0" w:color="auto"/>
            </w:tcBorders>
            <w:shd w:val="clear" w:color="auto" w:fill="C6EFCE"/>
            <w:noWrap/>
            <w:vAlign w:val="center"/>
          </w:tcPr>
          <w:p w14:paraId="4BE4A52D" w14:textId="77777777" w:rsidR="00A00259" w:rsidRDefault="00371282">
            <w:pPr>
              <w:pStyle w:val="P68B1DB1-Normal55"/>
              <w:keepNext/>
              <w:spacing w:before="40" w:after="0" w:line="240" w:lineRule="auto"/>
              <w:jc w:val="both"/>
              <w:rPr>
                <w:rFonts w:cs="Times New Roman"/>
                <w:noProof/>
                <w:szCs w:val="18"/>
              </w:rPr>
            </w:pPr>
            <w:r>
              <w:rPr>
                <w:noProof/>
              </w:rPr>
              <w:t>4 - 1.4. «Utilisation durable des ressources, résilience au changement climatique et protection de l’environnement» - 16772_Loi sur la gestion des déchets pour la mise en œuvre d’une mise en décharge et d’un recyclage durables</w:t>
            </w:r>
          </w:p>
        </w:tc>
        <w:tc>
          <w:tcPr>
            <w:tcW w:w="1680" w:type="dxa"/>
            <w:tcBorders>
              <w:top w:val="nil"/>
              <w:left w:val="nil"/>
              <w:bottom w:val="single" w:sz="4" w:space="0" w:color="auto"/>
              <w:right w:val="single" w:sz="4" w:space="0" w:color="auto"/>
            </w:tcBorders>
            <w:shd w:val="clear" w:color="auto" w:fill="C6EFCE"/>
            <w:noWrap/>
            <w:vAlign w:val="center"/>
          </w:tcPr>
          <w:p w14:paraId="1DA194A7" w14:textId="77777777" w:rsidR="00A00259" w:rsidRDefault="00371282">
            <w:pPr>
              <w:pStyle w:val="P68B1DB1-Normal55"/>
              <w:keepNext/>
              <w:spacing w:before="40" w:after="0" w:line="240" w:lineRule="auto"/>
              <w:jc w:val="both"/>
              <w:rPr>
                <w:rFonts w:cs="Times New Roman"/>
                <w:noProof/>
                <w:szCs w:val="18"/>
              </w:rPr>
            </w:pPr>
            <w:r>
              <w:rPr>
                <w:noProof/>
              </w:rPr>
              <w:t>Étape</w:t>
            </w:r>
          </w:p>
        </w:tc>
        <w:tc>
          <w:tcPr>
            <w:tcW w:w="1800" w:type="dxa"/>
            <w:tcBorders>
              <w:top w:val="nil"/>
              <w:left w:val="nil"/>
              <w:bottom w:val="single" w:sz="4" w:space="0" w:color="auto"/>
              <w:right w:val="single" w:sz="4" w:space="0" w:color="auto"/>
            </w:tcBorders>
            <w:shd w:val="clear" w:color="auto" w:fill="C6EFCE"/>
            <w:noWrap/>
            <w:vAlign w:val="center"/>
          </w:tcPr>
          <w:p w14:paraId="5AD09452" w14:textId="77777777" w:rsidR="00A00259" w:rsidRDefault="00371282">
            <w:pPr>
              <w:pStyle w:val="P68B1DB1-Normal55"/>
              <w:keepNext/>
              <w:spacing w:before="40" w:after="0" w:line="240" w:lineRule="auto"/>
              <w:jc w:val="both"/>
              <w:rPr>
                <w:rFonts w:cs="Times New Roman"/>
                <w:noProof/>
                <w:szCs w:val="18"/>
              </w:rPr>
            </w:pPr>
            <w:r>
              <w:rPr>
                <w:noProof/>
              </w:rPr>
              <w:t>Mise en place et fonctionnement du régulateur de la gestion des déchets</w:t>
            </w:r>
          </w:p>
        </w:tc>
      </w:tr>
      <w:tr w:rsidR="00A00259" w14:paraId="45E49794"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8AE588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60</w:t>
            </w:r>
          </w:p>
        </w:tc>
        <w:tc>
          <w:tcPr>
            <w:tcW w:w="5440" w:type="dxa"/>
            <w:tcBorders>
              <w:top w:val="nil"/>
              <w:left w:val="nil"/>
              <w:bottom w:val="single" w:sz="4" w:space="0" w:color="auto"/>
              <w:right w:val="single" w:sz="4" w:space="0" w:color="auto"/>
            </w:tcBorders>
            <w:shd w:val="clear" w:color="auto" w:fill="C6EFCE"/>
            <w:noWrap/>
            <w:vAlign w:val="center"/>
          </w:tcPr>
          <w:p w14:paraId="0388565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4 - 1.4. Utilisation durable des ressources, résilience au changement climatique et protection de l'environnement - 16979_Création d'une nouvelle autorité de régulation de l'eau et des eaux usées</w:t>
            </w:r>
          </w:p>
        </w:tc>
        <w:tc>
          <w:tcPr>
            <w:tcW w:w="1680" w:type="dxa"/>
            <w:tcBorders>
              <w:top w:val="nil"/>
              <w:left w:val="nil"/>
              <w:bottom w:val="single" w:sz="4" w:space="0" w:color="auto"/>
              <w:right w:val="single" w:sz="4" w:space="0" w:color="auto"/>
            </w:tcBorders>
            <w:shd w:val="clear" w:color="auto" w:fill="C6EFCE"/>
            <w:noWrap/>
            <w:vAlign w:val="center"/>
          </w:tcPr>
          <w:p w14:paraId="20653321"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1800" w:type="dxa"/>
            <w:tcBorders>
              <w:top w:val="nil"/>
              <w:left w:val="nil"/>
              <w:bottom w:val="single" w:sz="4" w:space="0" w:color="auto"/>
              <w:right w:val="single" w:sz="4" w:space="0" w:color="auto"/>
            </w:tcBorders>
            <w:shd w:val="clear" w:color="auto" w:fill="C6EFCE"/>
            <w:noWrap/>
            <w:vAlign w:val="center"/>
          </w:tcPr>
          <w:p w14:paraId="65674590" w14:textId="77777777" w:rsidR="00A00259" w:rsidRDefault="00371282">
            <w:pPr>
              <w:pStyle w:val="P68B1DB1-Normal55"/>
              <w:keepNext/>
              <w:spacing w:before="40" w:after="0" w:line="240" w:lineRule="auto"/>
              <w:jc w:val="both"/>
              <w:rPr>
                <w:rFonts w:eastAsia="Times New Roman" w:cs="Times New Roman"/>
                <w:noProof/>
                <w:szCs w:val="18"/>
              </w:rPr>
            </w:pPr>
            <w:r>
              <w:rPr>
                <w:noProof/>
              </w:rPr>
              <w:t>Mise en place et fonctionnement du régulateur de gestion de l'eau</w:t>
            </w:r>
          </w:p>
        </w:tc>
      </w:tr>
      <w:tr w:rsidR="00A00259" w14:paraId="534ACD5F"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D97E2AD" w14:textId="77777777" w:rsidR="00A00259" w:rsidRDefault="00371282">
            <w:pPr>
              <w:pStyle w:val="P68B1DB1-Normal55"/>
              <w:keepNext/>
              <w:spacing w:before="40" w:after="0" w:line="240" w:lineRule="auto"/>
              <w:jc w:val="both"/>
              <w:rPr>
                <w:rFonts w:cs="Times New Roman"/>
                <w:noProof/>
                <w:szCs w:val="18"/>
              </w:rPr>
            </w:pPr>
            <w:r>
              <w:rPr>
                <w:noProof/>
              </w:rPr>
              <w:t>62</w:t>
            </w:r>
          </w:p>
        </w:tc>
        <w:tc>
          <w:tcPr>
            <w:tcW w:w="5440" w:type="dxa"/>
            <w:tcBorders>
              <w:top w:val="nil"/>
              <w:left w:val="nil"/>
              <w:bottom w:val="single" w:sz="4" w:space="0" w:color="auto"/>
              <w:right w:val="single" w:sz="4" w:space="0" w:color="auto"/>
            </w:tcBorders>
            <w:shd w:val="clear" w:color="auto" w:fill="C6EFCE"/>
            <w:noWrap/>
            <w:vAlign w:val="center"/>
          </w:tcPr>
          <w:p w14:paraId="76E005D9" w14:textId="77777777" w:rsidR="00A00259" w:rsidRDefault="00371282">
            <w:pPr>
              <w:pStyle w:val="P68B1DB1-Normal55"/>
              <w:keepNext/>
              <w:spacing w:before="40" w:after="0" w:line="240" w:lineRule="auto"/>
              <w:jc w:val="both"/>
              <w:rPr>
                <w:rFonts w:cs="Times New Roman"/>
                <w:noProof/>
                <w:szCs w:val="18"/>
              </w:rPr>
            </w:pPr>
            <w:r>
              <w:rPr>
                <w:noProof/>
              </w:rPr>
              <w:t>4 - 1.4. «Utilisation durable des ressources, résilience au changement climatique et protection de l’environnement» - 16849_Plan national de reboisement, mesures de restauration et de prévention («antiNERO»), mesures de lutte contre l’érosion et les inondations</w:t>
            </w:r>
          </w:p>
        </w:tc>
        <w:tc>
          <w:tcPr>
            <w:tcW w:w="1680" w:type="dxa"/>
            <w:tcBorders>
              <w:top w:val="nil"/>
              <w:left w:val="nil"/>
              <w:bottom w:val="single" w:sz="4" w:space="0" w:color="auto"/>
              <w:right w:val="single" w:sz="4" w:space="0" w:color="auto"/>
            </w:tcBorders>
            <w:shd w:val="clear" w:color="auto" w:fill="C6EFCE"/>
            <w:noWrap/>
            <w:vAlign w:val="center"/>
          </w:tcPr>
          <w:p w14:paraId="0B4D518B" w14:textId="77777777" w:rsidR="00A00259" w:rsidRDefault="00371282">
            <w:pPr>
              <w:pStyle w:val="P68B1DB1-Normal55"/>
              <w:keepNext/>
              <w:spacing w:before="40" w:after="0" w:line="240" w:lineRule="auto"/>
              <w:jc w:val="both"/>
              <w:rPr>
                <w:rFonts w:cs="Times New Roman"/>
                <w:noProof/>
                <w:szCs w:val="18"/>
              </w:rPr>
            </w:pPr>
            <w:r>
              <w:rPr>
                <w:noProof/>
              </w:rPr>
              <w:t>Étape</w:t>
            </w:r>
          </w:p>
        </w:tc>
        <w:tc>
          <w:tcPr>
            <w:tcW w:w="1800" w:type="dxa"/>
            <w:tcBorders>
              <w:top w:val="nil"/>
              <w:left w:val="nil"/>
              <w:bottom w:val="single" w:sz="4" w:space="0" w:color="auto"/>
              <w:right w:val="single" w:sz="4" w:space="0" w:color="auto"/>
            </w:tcBorders>
            <w:shd w:val="clear" w:color="auto" w:fill="C6EFCE"/>
            <w:noWrap/>
            <w:vAlign w:val="center"/>
          </w:tcPr>
          <w:p w14:paraId="303DF0C7" w14:textId="77777777" w:rsidR="00A00259" w:rsidRDefault="00371282">
            <w:pPr>
              <w:pStyle w:val="P68B1DB1-Normal55"/>
              <w:keepNext/>
              <w:spacing w:before="40" w:after="0" w:line="240" w:lineRule="auto"/>
              <w:jc w:val="both"/>
              <w:rPr>
                <w:rFonts w:cs="Times New Roman"/>
                <w:noProof/>
                <w:szCs w:val="18"/>
              </w:rPr>
            </w:pPr>
            <w:r>
              <w:rPr>
                <w:noProof/>
              </w:rPr>
              <w:t>Reboisement, restauration et prévention – contrats 2</w:t>
            </w:r>
          </w:p>
        </w:tc>
      </w:tr>
      <w:tr w:rsidR="00A00259" w14:paraId="045D82CB"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B608E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68</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7F7C46" w14:textId="27EE16CF" w:rsidR="00A00259" w:rsidRDefault="00371282">
            <w:pPr>
              <w:pStyle w:val="P68B1DB1-Normal11"/>
              <w:keepNext/>
              <w:spacing w:before="40" w:after="0" w:line="240" w:lineRule="auto"/>
              <w:jc w:val="both"/>
              <w:rPr>
                <w:noProof/>
                <w:highlight w:val="yellow"/>
              </w:rPr>
            </w:pPr>
            <w:r>
              <w:rPr>
                <w:noProof/>
              </w:rPr>
              <w:t>4 - 1.4. Utilisation durable des ressources, résilience au changement climatique et protection de l'environnement - 16846_ Infrastructures de gestion des eaux urbaines résiduaires et des boues et achat d'équipements municipaux de gestion des déchets</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CF6FC8"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18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002A24" w14:textId="77777777" w:rsidR="00A00259" w:rsidRDefault="00371282">
            <w:pPr>
              <w:pStyle w:val="P68B1DB1-Normal55"/>
              <w:keepNext/>
              <w:spacing w:before="40" w:after="0" w:line="240" w:lineRule="auto"/>
              <w:jc w:val="both"/>
              <w:rPr>
                <w:rFonts w:eastAsia="Times New Roman" w:cs="Times New Roman"/>
                <w:noProof/>
                <w:szCs w:val="18"/>
              </w:rPr>
            </w:pPr>
            <w:r>
              <w:rPr>
                <w:noProof/>
              </w:rPr>
              <w:t>Notification de l’attribution d’un marché pour des projets relatifs aux eaux usées</w:t>
            </w:r>
          </w:p>
        </w:tc>
      </w:tr>
      <w:tr w:rsidR="00A00259" w14:paraId="6F4F6B39"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6F65D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79</w:t>
            </w:r>
          </w:p>
        </w:tc>
        <w:tc>
          <w:tcPr>
            <w:tcW w:w="5440" w:type="dxa"/>
            <w:tcBorders>
              <w:top w:val="single" w:sz="4" w:space="0" w:color="auto"/>
              <w:left w:val="nil"/>
              <w:bottom w:val="single" w:sz="4" w:space="0" w:color="auto"/>
              <w:right w:val="single" w:sz="4" w:space="0" w:color="auto"/>
            </w:tcBorders>
            <w:shd w:val="clear" w:color="auto" w:fill="C6EFCE"/>
            <w:noWrap/>
            <w:vAlign w:val="center"/>
          </w:tcPr>
          <w:p w14:paraId="56A19BA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4 - 1.4. Utilisation durable des ressources, résilience au changement climatique et protection de l'environnement - 16911_Moyens aériens pour la gestion des crises</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10DD2D43"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101E23C8" w14:textId="77777777" w:rsidR="00A00259" w:rsidRDefault="00371282">
            <w:pPr>
              <w:pStyle w:val="P68B1DB1-Normal55"/>
              <w:keepNext/>
              <w:spacing w:before="40" w:after="0" w:line="240" w:lineRule="auto"/>
              <w:jc w:val="both"/>
              <w:rPr>
                <w:rFonts w:eastAsia="Times New Roman" w:cs="Times New Roman"/>
                <w:noProof/>
                <w:szCs w:val="18"/>
              </w:rPr>
            </w:pPr>
            <w:r>
              <w:rPr>
                <w:noProof/>
              </w:rPr>
              <w:t>Achat de deux hélicoptères de lutte contre les incendies de taille moyenne</w:t>
            </w:r>
          </w:p>
        </w:tc>
      </w:tr>
      <w:tr w:rsidR="00A00259" w14:paraId="4B864D86"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tcPr>
          <w:p w14:paraId="54D1530E" w14:textId="77777777" w:rsidR="00A00259" w:rsidRDefault="00371282">
            <w:pPr>
              <w:pStyle w:val="P68B1DB1-Normal55"/>
              <w:keepNext/>
              <w:spacing w:before="40" w:after="0" w:line="240" w:lineRule="auto"/>
              <w:jc w:val="both"/>
              <w:rPr>
                <w:noProof/>
              </w:rPr>
            </w:pPr>
            <w:r>
              <w:rPr>
                <w:noProof/>
              </w:rPr>
              <w:t>334</w:t>
            </w:r>
          </w:p>
        </w:tc>
        <w:tc>
          <w:tcPr>
            <w:tcW w:w="5440" w:type="dxa"/>
            <w:tcBorders>
              <w:top w:val="nil"/>
              <w:left w:val="nil"/>
              <w:bottom w:val="single" w:sz="4" w:space="0" w:color="auto"/>
              <w:right w:val="single" w:sz="4" w:space="0" w:color="auto"/>
            </w:tcBorders>
            <w:shd w:val="clear" w:color="auto" w:fill="C6EFCE"/>
            <w:noWrap/>
          </w:tcPr>
          <w:p w14:paraId="7D6C28E8" w14:textId="47BE478D" w:rsidR="00A00259" w:rsidRDefault="00371282">
            <w:pPr>
              <w:pStyle w:val="P68B1DB1-Normal55"/>
              <w:keepNext/>
              <w:spacing w:before="40" w:after="0" w:line="240" w:lineRule="auto"/>
              <w:jc w:val="both"/>
              <w:rPr>
                <w:noProof/>
              </w:rPr>
            </w:pPr>
            <w:r>
              <w:rPr>
                <w:noProof/>
              </w:rPr>
              <w:t>5 à 21. 16857_Switch to Gigabit broadband connections – Transition to Gigabit broadband connections and strengthening of Gigabit broadband demand (Connecter - 16857Switch aux connexions à haut débit gigabit – Transition vers les connexions à haut débit gigabit et renforcement de la demande de haut débit gigabit)</w:t>
            </w:r>
          </w:p>
        </w:tc>
        <w:tc>
          <w:tcPr>
            <w:tcW w:w="1680" w:type="dxa"/>
            <w:tcBorders>
              <w:top w:val="nil"/>
              <w:left w:val="nil"/>
              <w:bottom w:val="single" w:sz="4" w:space="0" w:color="auto"/>
              <w:right w:val="single" w:sz="4" w:space="0" w:color="auto"/>
            </w:tcBorders>
            <w:shd w:val="clear" w:color="auto" w:fill="C6EFCE"/>
            <w:noWrap/>
          </w:tcPr>
          <w:p w14:paraId="396A50E8" w14:textId="77777777" w:rsidR="00A00259" w:rsidRDefault="00371282">
            <w:pPr>
              <w:pStyle w:val="P68B1DB1-Normal55"/>
              <w:keepNext/>
              <w:spacing w:before="40" w:after="0" w:line="240" w:lineRule="auto"/>
              <w:jc w:val="both"/>
              <w:rPr>
                <w:noProof/>
              </w:rPr>
            </w:pPr>
            <w:r>
              <w:rPr>
                <w:noProof/>
              </w:rPr>
              <w:t>Étape</w:t>
            </w:r>
          </w:p>
        </w:tc>
        <w:tc>
          <w:tcPr>
            <w:tcW w:w="1800" w:type="dxa"/>
            <w:tcBorders>
              <w:top w:val="nil"/>
              <w:left w:val="nil"/>
              <w:bottom w:val="single" w:sz="4" w:space="0" w:color="auto"/>
              <w:right w:val="single" w:sz="4" w:space="0" w:color="auto"/>
            </w:tcBorders>
            <w:shd w:val="clear" w:color="auto" w:fill="C6EFCE"/>
            <w:noWrap/>
          </w:tcPr>
          <w:p w14:paraId="3EAE9B3D" w14:textId="77777777" w:rsidR="00A00259" w:rsidRDefault="00371282">
            <w:pPr>
              <w:pStyle w:val="P68B1DB1-Normal55"/>
              <w:keepNext/>
              <w:spacing w:before="40" w:after="0" w:line="240" w:lineRule="auto"/>
              <w:jc w:val="both"/>
              <w:rPr>
                <w:noProof/>
              </w:rPr>
            </w:pPr>
            <w:r>
              <w:rPr>
                <w:noProof/>
              </w:rPr>
              <w:t>Entrée en vigueur de la réforme du passage aux connexions à haut débit gigabit</w:t>
            </w:r>
          </w:p>
        </w:tc>
      </w:tr>
      <w:tr w:rsidR="00A00259" w14:paraId="3A09125A"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A58E9C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97</w:t>
            </w:r>
          </w:p>
        </w:tc>
        <w:tc>
          <w:tcPr>
            <w:tcW w:w="5440" w:type="dxa"/>
            <w:tcBorders>
              <w:top w:val="nil"/>
              <w:left w:val="nil"/>
              <w:bottom w:val="single" w:sz="4" w:space="0" w:color="auto"/>
              <w:right w:val="single" w:sz="4" w:space="0" w:color="auto"/>
            </w:tcBorders>
            <w:shd w:val="clear" w:color="auto" w:fill="C6EFCE"/>
            <w:noWrap/>
            <w:vAlign w:val="center"/>
          </w:tcPr>
          <w:p w14:paraId="400CE71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6 - 2.2. 16929_Vers des services orientés «clients» de l’administration publique grâce à la simplification et à l’amélioration des processus, à l’amélioration des systèmes et au respect des stratégies et politiques européennes</w:t>
            </w:r>
          </w:p>
        </w:tc>
        <w:tc>
          <w:tcPr>
            <w:tcW w:w="1680" w:type="dxa"/>
            <w:tcBorders>
              <w:top w:val="nil"/>
              <w:left w:val="nil"/>
              <w:bottom w:val="single" w:sz="4" w:space="0" w:color="auto"/>
              <w:right w:val="single" w:sz="4" w:space="0" w:color="auto"/>
            </w:tcBorders>
            <w:shd w:val="clear" w:color="auto" w:fill="C6EFCE"/>
            <w:noWrap/>
            <w:vAlign w:val="center"/>
          </w:tcPr>
          <w:p w14:paraId="4A0AEE05"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1800" w:type="dxa"/>
            <w:tcBorders>
              <w:top w:val="nil"/>
              <w:left w:val="nil"/>
              <w:bottom w:val="single" w:sz="4" w:space="0" w:color="auto"/>
              <w:right w:val="single" w:sz="4" w:space="0" w:color="auto"/>
            </w:tcBorders>
            <w:shd w:val="clear" w:color="auto" w:fill="C6EFCE"/>
            <w:noWrap/>
            <w:vAlign w:val="center"/>
          </w:tcPr>
          <w:p w14:paraId="205A0F48" w14:textId="77777777" w:rsidR="00A00259" w:rsidRDefault="00371282">
            <w:pPr>
              <w:pStyle w:val="P68B1DB1-Normal55"/>
              <w:keepNext/>
              <w:spacing w:before="40" w:after="0" w:line="240" w:lineRule="auto"/>
              <w:jc w:val="both"/>
              <w:rPr>
                <w:rFonts w:eastAsia="Times New Roman" w:cs="Times New Roman"/>
                <w:noProof/>
                <w:szCs w:val="18"/>
              </w:rPr>
            </w:pPr>
            <w:r>
              <w:rPr>
                <w:noProof/>
              </w:rPr>
              <w:t>Mise en œuvre du plan national de simplification des processus (deuxième phase)</w:t>
            </w:r>
          </w:p>
        </w:tc>
      </w:tr>
      <w:tr w:rsidR="00A00259" w14:paraId="1C374EE2"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911CE55" w14:textId="77777777" w:rsidR="00A00259" w:rsidRDefault="00371282">
            <w:pPr>
              <w:pStyle w:val="P68B1DB1-Normal11"/>
              <w:keepNext/>
              <w:spacing w:before="40" w:after="0" w:line="240" w:lineRule="auto"/>
              <w:jc w:val="both"/>
              <w:rPr>
                <w:rFonts w:eastAsia="Times New Roman" w:cs="Times New Roman"/>
                <w:bCs/>
                <w:noProof/>
              </w:rPr>
            </w:pPr>
            <w:r>
              <w:rPr>
                <w:noProof/>
              </w:rPr>
              <w:t>147</w:t>
            </w:r>
          </w:p>
        </w:tc>
        <w:tc>
          <w:tcPr>
            <w:tcW w:w="5440" w:type="dxa"/>
            <w:tcBorders>
              <w:top w:val="nil"/>
              <w:left w:val="nil"/>
              <w:bottom w:val="single" w:sz="4" w:space="0" w:color="auto"/>
              <w:right w:val="single" w:sz="4" w:space="0" w:color="auto"/>
            </w:tcBorders>
            <w:shd w:val="clear" w:color="auto" w:fill="C6EFCE"/>
            <w:noWrap/>
            <w:vAlign w:val="center"/>
          </w:tcPr>
          <w:p w14:paraId="0B2538D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9 - 3.2. Éducation, enseignement et formation professionnels et compétences - 16289_Stratégie d'excellence dans les universités &amp; Innovation</w:t>
            </w:r>
          </w:p>
        </w:tc>
        <w:tc>
          <w:tcPr>
            <w:tcW w:w="1680" w:type="dxa"/>
            <w:tcBorders>
              <w:top w:val="nil"/>
              <w:left w:val="nil"/>
              <w:bottom w:val="single" w:sz="4" w:space="0" w:color="auto"/>
              <w:right w:val="single" w:sz="4" w:space="0" w:color="auto"/>
            </w:tcBorders>
            <w:shd w:val="clear" w:color="auto" w:fill="C6EFCE"/>
            <w:noWrap/>
            <w:vAlign w:val="center"/>
          </w:tcPr>
          <w:p w14:paraId="2E037A03"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1800" w:type="dxa"/>
            <w:tcBorders>
              <w:top w:val="nil"/>
              <w:left w:val="nil"/>
              <w:bottom w:val="single" w:sz="4" w:space="0" w:color="auto"/>
              <w:right w:val="single" w:sz="4" w:space="0" w:color="auto"/>
            </w:tcBorders>
            <w:shd w:val="clear" w:color="auto" w:fill="C6EFCE"/>
            <w:noWrap/>
            <w:vAlign w:val="center"/>
          </w:tcPr>
          <w:p w14:paraId="566C8501" w14:textId="77777777" w:rsidR="00A00259" w:rsidRDefault="00371282">
            <w:pPr>
              <w:pStyle w:val="P68B1DB1-Normal55"/>
              <w:keepNext/>
              <w:spacing w:before="40" w:after="0" w:line="240" w:lineRule="auto"/>
              <w:jc w:val="both"/>
              <w:rPr>
                <w:rFonts w:eastAsia="Times New Roman" w:cs="Times New Roman"/>
                <w:noProof/>
                <w:szCs w:val="18"/>
              </w:rPr>
            </w:pPr>
            <w:r>
              <w:rPr>
                <w:noProof/>
              </w:rPr>
              <w:t>Universités d'excellence et grappes d'excellence en recherche Décisions d'approbation</w:t>
            </w:r>
          </w:p>
        </w:tc>
      </w:tr>
      <w:tr w:rsidR="00A00259" w14:paraId="3D2A380C"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0D9ED9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162</w:t>
            </w:r>
          </w:p>
        </w:tc>
        <w:tc>
          <w:tcPr>
            <w:tcW w:w="5440" w:type="dxa"/>
            <w:tcBorders>
              <w:top w:val="nil"/>
              <w:left w:val="nil"/>
              <w:bottom w:val="single" w:sz="4" w:space="0" w:color="auto"/>
              <w:right w:val="single" w:sz="4" w:space="0" w:color="auto"/>
            </w:tcBorders>
            <w:shd w:val="clear" w:color="auto" w:fill="C6EFCE"/>
            <w:noWrap/>
            <w:vAlign w:val="center"/>
          </w:tcPr>
          <w:p w14:paraId="137BE01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10 - 3.3. «Améliorer la résilience, l'accessibilité et la durabilité des soins de santé» - 16820_Réforme dans les domaines de la santé mentale et des toxicomanies</w:t>
            </w:r>
          </w:p>
        </w:tc>
        <w:tc>
          <w:tcPr>
            <w:tcW w:w="1680" w:type="dxa"/>
            <w:tcBorders>
              <w:top w:val="nil"/>
              <w:left w:val="nil"/>
              <w:bottom w:val="single" w:sz="4" w:space="0" w:color="auto"/>
              <w:right w:val="single" w:sz="4" w:space="0" w:color="auto"/>
            </w:tcBorders>
            <w:shd w:val="clear" w:color="auto" w:fill="C6EFCE"/>
            <w:noWrap/>
            <w:vAlign w:val="center"/>
          </w:tcPr>
          <w:p w14:paraId="1250BB55" w14:textId="77777777" w:rsidR="00A00259" w:rsidRDefault="00371282">
            <w:pPr>
              <w:pStyle w:val="P68B1DB1-Normal55"/>
              <w:keepNext/>
              <w:spacing w:before="40" w:after="0" w:line="240" w:lineRule="auto"/>
              <w:jc w:val="both"/>
              <w:rPr>
                <w:rFonts w:eastAsia="Times New Roman" w:cs="Times New Roman"/>
                <w:noProof/>
                <w:szCs w:val="18"/>
              </w:rPr>
            </w:pPr>
            <w:r>
              <w:rPr>
                <w:noProof/>
              </w:rPr>
              <w:t>Objectif</w:t>
            </w:r>
          </w:p>
        </w:tc>
        <w:tc>
          <w:tcPr>
            <w:tcW w:w="1800" w:type="dxa"/>
            <w:tcBorders>
              <w:top w:val="nil"/>
              <w:left w:val="nil"/>
              <w:bottom w:val="single" w:sz="4" w:space="0" w:color="auto"/>
              <w:right w:val="single" w:sz="4" w:space="0" w:color="auto"/>
            </w:tcBorders>
            <w:shd w:val="clear" w:color="auto" w:fill="C6EFCE"/>
            <w:noWrap/>
            <w:vAlign w:val="center"/>
          </w:tcPr>
          <w:p w14:paraId="3E2F71B6" w14:textId="77777777" w:rsidR="00A00259" w:rsidRDefault="00371282">
            <w:pPr>
              <w:pStyle w:val="P68B1DB1-Normal55"/>
              <w:keepNext/>
              <w:spacing w:before="40" w:after="0" w:line="240" w:lineRule="auto"/>
              <w:jc w:val="both"/>
              <w:rPr>
                <w:rFonts w:eastAsia="Times New Roman" w:cs="Times New Roman"/>
                <w:noProof/>
                <w:szCs w:val="18"/>
              </w:rPr>
            </w:pPr>
            <w:r>
              <w:rPr>
                <w:noProof/>
              </w:rPr>
              <w:t>Santé mentale – 106 unités ouvertes – étape 2 de 2</w:t>
            </w:r>
          </w:p>
        </w:tc>
      </w:tr>
      <w:tr w:rsidR="00A00259" w14:paraId="15102E0D"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B4F18A" w14:textId="77777777" w:rsidR="00A00259" w:rsidRDefault="00371282">
            <w:pPr>
              <w:pStyle w:val="P68B1DB1-Normal55"/>
              <w:keepNext/>
              <w:spacing w:before="40" w:after="0" w:line="240" w:lineRule="auto"/>
              <w:jc w:val="both"/>
              <w:rPr>
                <w:rFonts w:cs="Times New Roman"/>
                <w:noProof/>
                <w:szCs w:val="18"/>
              </w:rPr>
            </w:pPr>
            <w:r>
              <w:rPr>
                <w:noProof/>
              </w:rPr>
              <w:t>192</w:t>
            </w:r>
          </w:p>
        </w:tc>
        <w:tc>
          <w:tcPr>
            <w:tcW w:w="5440" w:type="dxa"/>
            <w:tcBorders>
              <w:top w:val="single" w:sz="4" w:space="0" w:color="auto"/>
              <w:left w:val="nil"/>
              <w:bottom w:val="single" w:sz="4" w:space="0" w:color="auto"/>
              <w:right w:val="single" w:sz="4" w:space="0" w:color="auto"/>
            </w:tcBorders>
            <w:shd w:val="clear" w:color="auto" w:fill="C6EFCE"/>
            <w:noWrap/>
            <w:vAlign w:val="center"/>
          </w:tcPr>
          <w:p w14:paraId="13A2F20F" w14:textId="77777777" w:rsidR="00A00259" w:rsidRDefault="00371282">
            <w:pPr>
              <w:pStyle w:val="P68B1DB1-Normal55"/>
              <w:keepNext/>
              <w:spacing w:before="40" w:after="0" w:line="240" w:lineRule="auto"/>
              <w:jc w:val="both"/>
              <w:rPr>
                <w:rFonts w:cs="Times New Roman"/>
                <w:noProof/>
                <w:szCs w:val="18"/>
              </w:rPr>
            </w:pPr>
            <w:r>
              <w:rPr>
                <w:noProof/>
              </w:rPr>
              <w:t>12 - 4.1. Rendre les impôts plus propices à la croissance et améliorer l'administration fiscale et la perception des impôts - 16611_Transformation numérique des contrôles fiscaux</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6D2CE264" w14:textId="77777777" w:rsidR="00A00259" w:rsidRDefault="00371282">
            <w:pPr>
              <w:pStyle w:val="P68B1DB1-Normal55"/>
              <w:keepNext/>
              <w:spacing w:before="40" w:after="0" w:line="240" w:lineRule="auto"/>
              <w:jc w:val="both"/>
              <w:rPr>
                <w:rFonts w:cs="Times New Roman"/>
                <w:noProof/>
                <w:szCs w:val="18"/>
              </w:rPr>
            </w:pPr>
            <w:r>
              <w:rPr>
                <w:noProof/>
              </w:rPr>
              <w:t>Étape</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6DF61854" w14:textId="77777777" w:rsidR="00A00259" w:rsidRDefault="00371282">
            <w:pPr>
              <w:pStyle w:val="P68B1DB1-Normal55"/>
              <w:keepNext/>
              <w:spacing w:before="40" w:after="0" w:line="240" w:lineRule="auto"/>
              <w:jc w:val="both"/>
              <w:rPr>
                <w:rFonts w:cs="Times New Roman"/>
                <w:noProof/>
                <w:szCs w:val="18"/>
              </w:rPr>
            </w:pPr>
            <w:r>
              <w:rPr>
                <w:noProof/>
              </w:rPr>
              <w:t>Audits fiscaux – Mydata et informations bancaires</w:t>
            </w:r>
          </w:p>
        </w:tc>
      </w:tr>
      <w:tr w:rsidR="00A00259" w14:paraId="48CDB961"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C372F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193</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1EBAE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12 - 4.1. Rendre les impôts plus propices à la croissance et améliorer l'administration fiscale et la perception des impôts - 16610_Promouvoir l'accélération des remboursements de TVA</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4EF456AE"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0EAE1E51" w14:textId="77777777" w:rsidR="00A00259" w:rsidRDefault="00371282">
            <w:pPr>
              <w:pStyle w:val="P68B1DB1-Normal55"/>
              <w:keepNext/>
              <w:spacing w:before="40" w:after="0" w:line="240" w:lineRule="auto"/>
              <w:jc w:val="both"/>
              <w:rPr>
                <w:rFonts w:eastAsia="Times New Roman" w:cs="Times New Roman"/>
                <w:noProof/>
                <w:szCs w:val="18"/>
              </w:rPr>
            </w:pPr>
            <w:r>
              <w:rPr>
                <w:noProof/>
              </w:rPr>
              <w:t>Remboursements de TVA entièrement automatisés – lancement du système informatique</w:t>
            </w:r>
          </w:p>
        </w:tc>
      </w:tr>
      <w:tr w:rsidR="00A00259" w14:paraId="1BC93243"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74DA1A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207</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3FF86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- 16972_Reforming Public Administration</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6928AA94"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5824EDF2" w14:textId="77777777" w:rsidR="00A00259" w:rsidRDefault="00371282">
            <w:pPr>
              <w:pStyle w:val="P68B1DB1-Normal55"/>
              <w:keepNext/>
              <w:spacing w:before="40" w:after="0" w:line="240" w:lineRule="auto"/>
              <w:jc w:val="both"/>
              <w:rPr>
                <w:rFonts w:eastAsia="Times New Roman" w:cs="Times New Roman"/>
                <w:noProof/>
                <w:szCs w:val="18"/>
              </w:rPr>
            </w:pPr>
            <w:r>
              <w:rPr>
                <w:noProof/>
              </w:rPr>
              <w:t>Administration publique – nouveau système de récompense</w:t>
            </w:r>
          </w:p>
        </w:tc>
      </w:tr>
      <w:tr w:rsidR="00A00259" w14:paraId="1B0FB35F"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tcPr>
          <w:p w14:paraId="1099E38C" w14:textId="77777777" w:rsidR="00A00259" w:rsidRDefault="00371282">
            <w:pPr>
              <w:pStyle w:val="P68B1DB1-Normal55"/>
              <w:keepNext/>
              <w:spacing w:before="40" w:after="0" w:line="240" w:lineRule="auto"/>
              <w:jc w:val="both"/>
              <w:rPr>
                <w:rFonts w:cs="Times New Roman"/>
                <w:noProof/>
                <w:szCs w:val="18"/>
              </w:rPr>
            </w:pPr>
            <w:r>
              <w:rPr>
                <w:noProof/>
              </w:rPr>
              <w:t>216a</w:t>
            </w:r>
          </w:p>
        </w:tc>
        <w:tc>
          <w:tcPr>
            <w:tcW w:w="5440" w:type="dxa"/>
            <w:tcBorders>
              <w:top w:val="single" w:sz="4" w:space="0" w:color="auto"/>
              <w:left w:val="single" w:sz="4" w:space="0" w:color="auto"/>
              <w:bottom w:val="single" w:sz="4" w:space="0" w:color="auto"/>
              <w:right w:val="single" w:sz="4" w:space="0" w:color="auto"/>
            </w:tcBorders>
            <w:shd w:val="clear" w:color="auto" w:fill="C6EFCE"/>
            <w:noWrap/>
          </w:tcPr>
          <w:p w14:paraId="7ABB35F7" w14:textId="2E17CAAA" w:rsidR="00A00259" w:rsidRDefault="00371282">
            <w:pPr>
              <w:pStyle w:val="P68B1DB1-Normal11"/>
              <w:keepNext/>
              <w:spacing w:before="40" w:after="0" w:line="240" w:lineRule="auto"/>
              <w:jc w:val="both"/>
              <w:rPr>
                <w:rFonts w:cs="Times New Roman"/>
                <w:noProof/>
              </w:rPr>
            </w:pPr>
            <w:r>
              <w:rPr>
                <w:noProof/>
              </w:rPr>
              <w:t xml:space="preserve">13 - 4.2. Moderniser l'administration publique, notamment en accélérant la mise en œuvre des investissements publics, en améliorant le cadre des marchés publics, en prenant des mesures de renforcement des capacités et en luttant contre la corruption - 16711_Professionnalisation du domaine des marchés publics </w:t>
            </w:r>
          </w:p>
        </w:tc>
        <w:tc>
          <w:tcPr>
            <w:tcW w:w="1680" w:type="dxa"/>
            <w:tcBorders>
              <w:top w:val="single" w:sz="4" w:space="0" w:color="auto"/>
              <w:left w:val="nil"/>
              <w:bottom w:val="single" w:sz="4" w:space="0" w:color="auto"/>
              <w:right w:val="single" w:sz="4" w:space="0" w:color="auto"/>
            </w:tcBorders>
            <w:shd w:val="clear" w:color="auto" w:fill="C6EFCE"/>
            <w:noWrap/>
          </w:tcPr>
          <w:p w14:paraId="7B124933" w14:textId="77777777" w:rsidR="00A00259" w:rsidRDefault="00371282">
            <w:pPr>
              <w:pStyle w:val="P68B1DB1-Normal55"/>
              <w:keepNext/>
              <w:spacing w:before="40" w:after="0" w:line="240" w:lineRule="auto"/>
              <w:jc w:val="both"/>
              <w:rPr>
                <w:rFonts w:cs="Times New Roman"/>
                <w:noProof/>
                <w:szCs w:val="18"/>
              </w:rPr>
            </w:pPr>
            <w:r>
              <w:rPr>
                <w:noProof/>
              </w:rPr>
              <w:t>Étape</w:t>
            </w:r>
          </w:p>
        </w:tc>
        <w:tc>
          <w:tcPr>
            <w:tcW w:w="1800" w:type="dxa"/>
            <w:tcBorders>
              <w:top w:val="single" w:sz="4" w:space="0" w:color="auto"/>
              <w:left w:val="nil"/>
              <w:bottom w:val="single" w:sz="4" w:space="0" w:color="auto"/>
              <w:right w:val="single" w:sz="4" w:space="0" w:color="auto"/>
            </w:tcBorders>
            <w:shd w:val="clear" w:color="auto" w:fill="C6EFCE"/>
            <w:noWrap/>
          </w:tcPr>
          <w:p w14:paraId="078F2F21" w14:textId="77777777" w:rsidR="00A00259" w:rsidRDefault="00371282">
            <w:pPr>
              <w:pStyle w:val="P68B1DB1-Normal55"/>
              <w:keepNext/>
              <w:spacing w:before="40" w:after="0" w:line="240" w:lineRule="auto"/>
              <w:jc w:val="both"/>
              <w:rPr>
                <w:rFonts w:cs="Times New Roman"/>
                <w:noProof/>
                <w:szCs w:val="18"/>
              </w:rPr>
            </w:pPr>
            <w:r>
              <w:rPr>
                <w:noProof/>
              </w:rPr>
              <w:t>Modification de la stratégie nationale en matière de marchés publics 2021-2025</w:t>
            </w:r>
          </w:p>
        </w:tc>
      </w:tr>
      <w:tr w:rsidR="00A00259" w14:paraId="53195989"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46107B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232</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11CBE" w14:textId="77777777" w:rsidR="00A00259" w:rsidRDefault="00371282">
            <w:pPr>
              <w:pStyle w:val="P68B1DB1-Normal11"/>
              <w:keepNext/>
              <w:spacing w:before="40" w:after="0" w:line="240" w:lineRule="auto"/>
              <w:jc w:val="both"/>
              <w:rPr>
                <w:rFonts w:eastAsia="Times New Roman" w:cs="Times New Roman"/>
                <w:bCs/>
                <w:noProof/>
              </w:rPr>
            </w:pPr>
            <w:r>
              <w:rPr>
                <w:noProof/>
              </w:rPr>
              <w:t>14 - 4.3. Améliorer l’efficacité du système judiciaire – 16575 Accélérer l’administration de la justice</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63688022"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3B0893C2" w14:textId="77777777" w:rsidR="00A00259" w:rsidRDefault="00371282">
            <w:pPr>
              <w:pStyle w:val="P68B1DB1-Normal55"/>
              <w:keepNext/>
              <w:spacing w:before="40" w:after="0" w:line="240" w:lineRule="auto"/>
              <w:jc w:val="both"/>
              <w:rPr>
                <w:rFonts w:eastAsia="Times New Roman" w:cs="Times New Roman"/>
                <w:noProof/>
                <w:szCs w:val="18"/>
              </w:rPr>
            </w:pPr>
            <w:r>
              <w:rPr>
                <w:noProof/>
              </w:rPr>
              <w:t>Révision de la carte judiciaire – droit primaire – civil et pénal</w:t>
            </w:r>
          </w:p>
        </w:tc>
      </w:tr>
      <w:tr w:rsidR="00A00259" w14:paraId="1033443B"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E8CB15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233</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7D1965" w14:textId="77777777" w:rsidR="00A00259" w:rsidRDefault="00371282">
            <w:pPr>
              <w:pStyle w:val="P68B1DB1-Normal11"/>
              <w:keepNext/>
              <w:spacing w:before="40" w:after="0" w:line="240" w:lineRule="auto"/>
              <w:jc w:val="both"/>
              <w:rPr>
                <w:rFonts w:eastAsia="Times New Roman" w:cs="Times New Roman"/>
                <w:bCs/>
                <w:noProof/>
              </w:rPr>
            </w:pPr>
            <w:r>
              <w:rPr>
                <w:noProof/>
              </w:rPr>
              <w:t>14 - 4.3. Améliorer l'efficacité du système judiciaire - 16292_Nouveaux bâtiments judiciaires</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48442503"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794CBE73" w14:textId="77777777" w:rsidR="00A00259" w:rsidRDefault="00371282">
            <w:pPr>
              <w:pStyle w:val="P68B1DB1-Normal55"/>
              <w:keepNext/>
              <w:spacing w:before="40" w:after="0" w:line="240" w:lineRule="auto"/>
              <w:jc w:val="both"/>
              <w:rPr>
                <w:rFonts w:eastAsia="Times New Roman" w:cs="Times New Roman"/>
                <w:noProof/>
                <w:szCs w:val="18"/>
              </w:rPr>
            </w:pPr>
            <w:r>
              <w:rPr>
                <w:noProof/>
              </w:rPr>
              <w:t>Construction et rénovation de bâtiments judiciaires – Lancement d’appels d’offres</w:t>
            </w:r>
          </w:p>
        </w:tc>
      </w:tr>
      <w:tr w:rsidR="00A00259" w14:paraId="177DECD0"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9CD480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279</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51F289" w14:textId="77777777" w:rsidR="00A00259" w:rsidRDefault="00371282">
            <w:pPr>
              <w:pStyle w:val="P68B1DB1-Normal11"/>
              <w:keepNext/>
              <w:spacing w:before="40" w:after="0" w:line="240" w:lineRule="auto"/>
              <w:jc w:val="both"/>
              <w:rPr>
                <w:rFonts w:eastAsia="Times New Roman" w:cs="Times New Roman"/>
                <w:bCs/>
                <w:noProof/>
              </w:rPr>
            </w:pPr>
            <w:r>
              <w:rPr>
                <w:noProof/>
              </w:rPr>
              <w:t>17 - 4.6. Moderniser et améliorer la résilience des secteurs économiques clés - 16486_Musée des antiquités sous-marines</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29D26D7A"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08BEB6F8" w14:textId="77777777" w:rsidR="00A00259" w:rsidRDefault="00371282">
            <w:pPr>
              <w:pStyle w:val="P68B1DB1-Normal55"/>
              <w:keepNext/>
              <w:spacing w:before="40" w:after="0" w:line="240" w:lineRule="auto"/>
              <w:jc w:val="both"/>
              <w:rPr>
                <w:rFonts w:eastAsia="Times New Roman" w:cs="Times New Roman"/>
                <w:noProof/>
                <w:szCs w:val="18"/>
              </w:rPr>
            </w:pPr>
            <w:r>
              <w:rPr>
                <w:noProof/>
              </w:rPr>
              <w:t>Attribution du contrat pour le Musée des antiquités sous-marines</w:t>
            </w:r>
          </w:p>
        </w:tc>
      </w:tr>
      <w:tr w:rsidR="00A00259" w14:paraId="7A4A7678"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54F29B3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303</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38600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- 16593_Modification du cadre juridique visant à attirer les investissements stratégiques</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5FC97D81"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4FE0B346" w14:textId="77777777" w:rsidR="00A00259" w:rsidRDefault="00371282">
            <w:pPr>
              <w:pStyle w:val="P68B1DB1-Normal55"/>
              <w:keepNext/>
              <w:spacing w:before="40" w:after="0" w:line="240" w:lineRule="auto"/>
              <w:jc w:val="both"/>
              <w:rPr>
                <w:rFonts w:eastAsia="Times New Roman" w:cs="Times New Roman"/>
                <w:noProof/>
                <w:szCs w:val="18"/>
              </w:rPr>
            </w:pPr>
            <w:r>
              <w:rPr>
                <w:noProof/>
              </w:rPr>
              <w:t>Investissements stratégiques - sélection des projets éligibles</w:t>
            </w:r>
          </w:p>
        </w:tc>
      </w:tr>
      <w:tr w:rsidR="00A00259" w14:paraId="25A8A1F2"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tcPr>
          <w:p w14:paraId="15AFC4F8" w14:textId="77777777" w:rsidR="00A00259" w:rsidRDefault="00371282">
            <w:pPr>
              <w:pStyle w:val="P68B1DB1-Normal55"/>
              <w:keepNext/>
              <w:spacing w:before="40" w:after="0" w:line="240" w:lineRule="auto"/>
              <w:jc w:val="both"/>
              <w:rPr>
                <w:rFonts w:cs="Times New Roman"/>
                <w:noProof/>
                <w:szCs w:val="18"/>
              </w:rPr>
            </w:pPr>
            <w:r>
              <w:rPr>
                <w:noProof/>
              </w:rPr>
              <w:t>337</w:t>
            </w:r>
          </w:p>
        </w:tc>
        <w:tc>
          <w:tcPr>
            <w:tcW w:w="5440" w:type="dxa"/>
            <w:tcBorders>
              <w:top w:val="single" w:sz="4" w:space="0" w:color="auto"/>
              <w:left w:val="single" w:sz="4" w:space="0" w:color="auto"/>
              <w:bottom w:val="single" w:sz="4" w:space="0" w:color="auto"/>
              <w:right w:val="single" w:sz="4" w:space="0" w:color="auto"/>
            </w:tcBorders>
            <w:shd w:val="clear" w:color="auto" w:fill="C6EFCE"/>
            <w:noWrap/>
          </w:tcPr>
          <w:p w14:paraId="13241CD0" w14:textId="77777777" w:rsidR="00A00259" w:rsidRDefault="00371282">
            <w:pPr>
              <w:pStyle w:val="P68B1DB1-Normal55"/>
              <w:keepNext/>
              <w:spacing w:before="40" w:after="0" w:line="240" w:lineRule="auto"/>
              <w:jc w:val="both"/>
              <w:rPr>
                <w:rFonts w:cs="Times New Roman"/>
                <w:noProof/>
                <w:szCs w:val="18"/>
              </w:rPr>
            </w:pPr>
            <w:r>
              <w:rPr>
                <w:noProof/>
              </w:rPr>
              <w:t>12 - 4.1. Rendre les impôts plus propices à la croissance et améliorer l'administration fiscale et le recouvrement des impôts – 16985_Modifications du cadre de la politique fiscale de la Grèce</w:t>
            </w:r>
          </w:p>
        </w:tc>
        <w:tc>
          <w:tcPr>
            <w:tcW w:w="1680" w:type="dxa"/>
            <w:tcBorders>
              <w:top w:val="single" w:sz="4" w:space="0" w:color="auto"/>
              <w:left w:val="nil"/>
              <w:bottom w:val="single" w:sz="4" w:space="0" w:color="auto"/>
              <w:right w:val="single" w:sz="4" w:space="0" w:color="auto"/>
            </w:tcBorders>
            <w:shd w:val="clear" w:color="auto" w:fill="C6EFCE"/>
            <w:noWrap/>
          </w:tcPr>
          <w:p w14:paraId="6B720C4F" w14:textId="77777777" w:rsidR="00A00259" w:rsidRDefault="00371282">
            <w:pPr>
              <w:pStyle w:val="P68B1DB1-Normal55"/>
              <w:keepNext/>
              <w:spacing w:before="40" w:after="0" w:line="240" w:lineRule="auto"/>
              <w:jc w:val="both"/>
              <w:rPr>
                <w:rFonts w:cs="Times New Roman"/>
                <w:noProof/>
                <w:szCs w:val="18"/>
              </w:rPr>
            </w:pPr>
            <w:r>
              <w:rPr>
                <w:noProof/>
              </w:rPr>
              <w:t>Étape</w:t>
            </w:r>
          </w:p>
        </w:tc>
        <w:tc>
          <w:tcPr>
            <w:tcW w:w="1800" w:type="dxa"/>
            <w:tcBorders>
              <w:top w:val="single" w:sz="4" w:space="0" w:color="auto"/>
              <w:left w:val="nil"/>
              <w:bottom w:val="single" w:sz="4" w:space="0" w:color="auto"/>
              <w:right w:val="single" w:sz="4" w:space="0" w:color="auto"/>
            </w:tcBorders>
            <w:shd w:val="clear" w:color="auto" w:fill="C6EFCE"/>
            <w:noWrap/>
          </w:tcPr>
          <w:p w14:paraId="114F2E1C" w14:textId="77777777" w:rsidR="00A00259" w:rsidRDefault="00371282">
            <w:pPr>
              <w:pStyle w:val="P68B1DB1-Normal55"/>
              <w:keepNext/>
              <w:spacing w:before="40" w:after="0" w:line="240" w:lineRule="auto"/>
              <w:jc w:val="both"/>
              <w:rPr>
                <w:rFonts w:cs="Times New Roman"/>
                <w:noProof/>
                <w:szCs w:val="18"/>
              </w:rPr>
            </w:pPr>
            <w:r>
              <w:rPr>
                <w:noProof/>
              </w:rPr>
              <w:t>Lutte contre l'évasion fiscale et promotion des paiements électroniques</w:t>
            </w:r>
          </w:p>
        </w:tc>
      </w:tr>
      <w:tr w:rsidR="00A00259" w14:paraId="3F23E9E7"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5159761D" w14:textId="77777777" w:rsidR="00A00259" w:rsidRDefault="00371282">
            <w:pPr>
              <w:pStyle w:val="P68B1DB1-Normal55"/>
              <w:keepNext/>
              <w:spacing w:before="40" w:after="0" w:line="240" w:lineRule="auto"/>
              <w:jc w:val="both"/>
              <w:rPr>
                <w:noProof/>
              </w:rPr>
            </w:pPr>
            <w:r>
              <w:rPr>
                <w:noProof/>
              </w:rPr>
              <w:t>338</w:t>
            </w:r>
          </w:p>
        </w:tc>
        <w:tc>
          <w:tcPr>
            <w:tcW w:w="5440" w:type="dxa"/>
            <w:tcBorders>
              <w:top w:val="single" w:sz="4" w:space="0" w:color="auto"/>
              <w:left w:val="single" w:sz="4" w:space="0" w:color="auto"/>
              <w:bottom w:val="single" w:sz="4" w:space="0" w:color="auto"/>
              <w:right w:val="single" w:sz="4" w:space="0" w:color="auto"/>
            </w:tcBorders>
            <w:shd w:val="clear" w:color="auto" w:fill="C6EFCE"/>
            <w:noWrap/>
          </w:tcPr>
          <w:p w14:paraId="70150F06" w14:textId="77777777" w:rsidR="00A00259" w:rsidRDefault="00371282">
            <w:pPr>
              <w:pStyle w:val="P68B1DB1-Normal55"/>
              <w:keepNext/>
              <w:spacing w:before="40" w:after="0" w:line="240" w:lineRule="auto"/>
              <w:jc w:val="both"/>
              <w:rPr>
                <w:noProof/>
              </w:rPr>
            </w:pPr>
            <w:r>
              <w:rPr>
                <w:noProof/>
              </w:rPr>
              <w:t>12 - 4.1. Rendre les impôts plus propices à la croissance et améliorer l'administration fiscale et le recouvrement des impôts – 16985_Modifications du cadre de la politique fiscale de la Grèce</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72EE46DF" w14:textId="77777777" w:rsidR="00A00259" w:rsidRDefault="00371282">
            <w:pPr>
              <w:pStyle w:val="P68B1DB1-Normal55"/>
              <w:keepNext/>
              <w:spacing w:before="40" w:after="0" w:line="240" w:lineRule="auto"/>
              <w:jc w:val="both"/>
              <w:rPr>
                <w:noProof/>
              </w:rPr>
            </w:pPr>
            <w:r>
              <w:rPr>
                <w:noProof/>
              </w:rPr>
              <w:t>Étape</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3A21D638" w14:textId="77777777" w:rsidR="00A00259" w:rsidRDefault="00371282">
            <w:pPr>
              <w:pStyle w:val="P68B1DB1-Normal55"/>
              <w:keepNext/>
              <w:spacing w:before="40" w:after="0" w:line="240" w:lineRule="auto"/>
              <w:jc w:val="both"/>
              <w:rPr>
                <w:noProof/>
              </w:rPr>
            </w:pPr>
            <w:r>
              <w:rPr>
                <w:noProof/>
              </w:rPr>
              <w:t>Réformer l'imposition des travailleurs indépendants et le droit de timbre</w:t>
            </w:r>
          </w:p>
        </w:tc>
      </w:tr>
      <w:tr w:rsidR="00A00259" w14:paraId="14592B59"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5FD1084D" w14:textId="77777777" w:rsidR="00A00259" w:rsidRDefault="00371282">
            <w:pPr>
              <w:pStyle w:val="P68B1DB1-Normal55"/>
              <w:keepNext/>
              <w:spacing w:before="40" w:after="0" w:line="259" w:lineRule="auto"/>
              <w:jc w:val="both"/>
              <w:rPr>
                <w:rFonts w:eastAsia="Times New Roman" w:cs="Times New Roman"/>
                <w:bCs/>
                <w:noProof/>
                <w:szCs w:val="18"/>
              </w:rPr>
            </w:pPr>
            <w:r>
              <w:rPr>
                <w:noProof/>
              </w:rPr>
              <w:t>341</w:t>
            </w:r>
          </w:p>
        </w:tc>
        <w:tc>
          <w:tcPr>
            <w:tcW w:w="5440" w:type="dxa"/>
            <w:tcBorders>
              <w:top w:val="single" w:sz="4" w:space="0" w:color="auto"/>
              <w:left w:val="single" w:sz="4" w:space="0" w:color="auto"/>
              <w:bottom w:val="single" w:sz="4" w:space="0" w:color="auto"/>
              <w:right w:val="single" w:sz="4" w:space="0" w:color="auto"/>
            </w:tcBorders>
            <w:shd w:val="clear" w:color="auto" w:fill="C6EFCE"/>
            <w:noWrap/>
          </w:tcPr>
          <w:p w14:paraId="71385374" w14:textId="77777777" w:rsidR="00A00259" w:rsidRDefault="00371282">
            <w:pPr>
              <w:pStyle w:val="P68B1DB1-Normal16"/>
              <w:keepNext/>
              <w:spacing w:before="40" w:after="0" w:line="259" w:lineRule="auto"/>
              <w:jc w:val="both"/>
              <w:rPr>
                <w:rFonts w:eastAsia="Times New Roman"/>
                <w:bCs/>
                <w:noProof/>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- 16986_Achèvement du cadastre national</w:t>
            </w:r>
          </w:p>
        </w:tc>
        <w:tc>
          <w:tcPr>
            <w:tcW w:w="1680" w:type="dxa"/>
            <w:tcBorders>
              <w:top w:val="single" w:sz="4" w:space="0" w:color="auto"/>
              <w:left w:val="nil"/>
              <w:bottom w:val="single" w:sz="4" w:space="0" w:color="auto"/>
              <w:right w:val="single" w:sz="4" w:space="0" w:color="auto"/>
            </w:tcBorders>
            <w:shd w:val="clear" w:color="auto" w:fill="C6EFCE"/>
            <w:noWrap/>
          </w:tcPr>
          <w:p w14:paraId="18E66F0C" w14:textId="77777777" w:rsidR="00A00259" w:rsidRDefault="00371282">
            <w:pPr>
              <w:pStyle w:val="P68B1DB1-Normal16"/>
              <w:keepNext/>
              <w:spacing w:before="40" w:after="0" w:line="259" w:lineRule="auto"/>
              <w:jc w:val="both"/>
              <w:rPr>
                <w:rFonts w:eastAsia="Times New Roman"/>
                <w:noProof/>
              </w:rPr>
            </w:pPr>
            <w:r>
              <w:rPr>
                <w:noProof/>
              </w:rPr>
              <w:t>Objectif</w:t>
            </w:r>
          </w:p>
        </w:tc>
        <w:tc>
          <w:tcPr>
            <w:tcW w:w="1800" w:type="dxa"/>
            <w:tcBorders>
              <w:top w:val="single" w:sz="4" w:space="0" w:color="auto"/>
              <w:left w:val="nil"/>
              <w:bottom w:val="single" w:sz="4" w:space="0" w:color="auto"/>
              <w:right w:val="single" w:sz="4" w:space="0" w:color="auto"/>
            </w:tcBorders>
            <w:shd w:val="clear" w:color="auto" w:fill="C6EFCE"/>
            <w:noWrap/>
          </w:tcPr>
          <w:p w14:paraId="5B3ED408" w14:textId="77777777" w:rsidR="00A00259" w:rsidRDefault="00371282">
            <w:pPr>
              <w:pStyle w:val="P68B1DB1-Normal16"/>
              <w:keepNext/>
              <w:spacing w:before="40" w:after="0" w:line="259" w:lineRule="auto"/>
              <w:jc w:val="both"/>
              <w:rPr>
                <w:rFonts w:eastAsia="Times New Roman"/>
                <w:noProof/>
              </w:rPr>
            </w:pPr>
            <w:r>
              <w:rPr>
                <w:noProof/>
              </w:rPr>
              <w:t>Cartographie cadastrale – 85 % d’achèvement</w:t>
            </w:r>
          </w:p>
        </w:tc>
      </w:tr>
      <w:tr w:rsidR="00A00259" w14:paraId="62BD819D"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3BE0B326" w14:textId="77777777" w:rsidR="00A00259" w:rsidRDefault="00371282">
            <w:pPr>
              <w:pStyle w:val="P68B1DB1-Normal56"/>
              <w:keepNext/>
              <w:spacing w:before="40" w:after="0" w:line="259" w:lineRule="auto"/>
              <w:jc w:val="both"/>
              <w:rPr>
                <w:rFonts w:eastAsia="Times New Roman" w:cs="Times New Roman"/>
                <w:bCs/>
                <w:noProof/>
                <w:szCs w:val="18"/>
              </w:rPr>
            </w:pPr>
            <w:r>
              <w:rPr>
                <w:noProof/>
              </w:rPr>
              <w:t>367</w:t>
            </w:r>
          </w:p>
        </w:tc>
        <w:tc>
          <w:tcPr>
            <w:tcW w:w="5440" w:type="dxa"/>
            <w:tcBorders>
              <w:top w:val="single" w:sz="4" w:space="0" w:color="auto"/>
              <w:left w:val="single" w:sz="4" w:space="0" w:color="auto"/>
              <w:bottom w:val="single" w:sz="4" w:space="0" w:color="auto"/>
              <w:right w:val="single" w:sz="4" w:space="0" w:color="auto"/>
            </w:tcBorders>
            <w:shd w:val="clear" w:color="auto" w:fill="C6EFCE"/>
            <w:noWrap/>
          </w:tcPr>
          <w:p w14:paraId="36458D06" w14:textId="77777777" w:rsidR="00A00259" w:rsidRDefault="00371282">
            <w:pPr>
              <w:pStyle w:val="P68B1DB1-Normal16"/>
              <w:keepNext/>
              <w:spacing w:before="40" w:after="0" w:line="259" w:lineRule="auto"/>
              <w:jc w:val="both"/>
              <w:rPr>
                <w:rFonts w:eastAsia="Times New Roman"/>
                <w:bCs/>
                <w:noProof/>
              </w:rPr>
            </w:pPr>
            <w:r>
              <w:rPr>
                <w:noProof/>
              </w:rPr>
              <w:t xml:space="preserve">21 - 5.2 Investissements REPowerEU - 16994_Efficacité énergétique et promotion des SER pour l'autoconsommation </w:t>
            </w:r>
          </w:p>
        </w:tc>
        <w:tc>
          <w:tcPr>
            <w:tcW w:w="1680" w:type="dxa"/>
            <w:tcBorders>
              <w:top w:val="single" w:sz="4" w:space="0" w:color="auto"/>
              <w:left w:val="nil"/>
              <w:bottom w:val="single" w:sz="4" w:space="0" w:color="auto"/>
              <w:right w:val="single" w:sz="4" w:space="0" w:color="auto"/>
            </w:tcBorders>
            <w:shd w:val="clear" w:color="auto" w:fill="C6EFCE"/>
            <w:noWrap/>
          </w:tcPr>
          <w:p w14:paraId="253FFF51" w14:textId="77777777" w:rsidR="00A00259" w:rsidRDefault="00371282">
            <w:pPr>
              <w:pStyle w:val="P68B1DB1-Normal16"/>
              <w:keepNext/>
              <w:spacing w:before="40" w:after="0" w:line="259" w:lineRule="auto"/>
              <w:jc w:val="both"/>
              <w:rPr>
                <w:rFonts w:eastAsia="Times New Roman"/>
                <w:noProof/>
              </w:rPr>
            </w:pPr>
            <w:r>
              <w:rPr>
                <w:noProof/>
              </w:rPr>
              <w:t>Étape</w:t>
            </w:r>
          </w:p>
        </w:tc>
        <w:tc>
          <w:tcPr>
            <w:tcW w:w="1800" w:type="dxa"/>
            <w:tcBorders>
              <w:top w:val="single" w:sz="4" w:space="0" w:color="auto"/>
              <w:left w:val="nil"/>
              <w:bottom w:val="single" w:sz="4" w:space="0" w:color="auto"/>
              <w:right w:val="single" w:sz="4" w:space="0" w:color="auto"/>
            </w:tcBorders>
            <w:shd w:val="clear" w:color="auto" w:fill="C6EFCE"/>
            <w:noWrap/>
          </w:tcPr>
          <w:p w14:paraId="23327BA1" w14:textId="77777777" w:rsidR="00A00259" w:rsidRDefault="00371282">
            <w:pPr>
              <w:pStyle w:val="P68B1DB1-Normal16"/>
              <w:keepNext/>
              <w:spacing w:before="40" w:after="0" w:line="259" w:lineRule="auto"/>
              <w:jc w:val="both"/>
              <w:rPr>
                <w:rFonts w:eastAsia="Times New Roman"/>
                <w:noProof/>
              </w:rPr>
            </w:pPr>
            <w:r>
              <w:rPr>
                <w:noProof/>
              </w:rPr>
              <w:t>Lancement de programmes de soutien</w:t>
            </w:r>
          </w:p>
        </w:tc>
      </w:tr>
      <w:tr w:rsidR="00A00259" w14:paraId="16ACE35C"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B2251BC"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EA649C7"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1680" w:type="dxa"/>
            <w:tcBorders>
              <w:top w:val="single" w:sz="4" w:space="0" w:color="auto"/>
              <w:left w:val="nil"/>
              <w:bottom w:val="single" w:sz="4" w:space="0" w:color="auto"/>
              <w:right w:val="single" w:sz="4" w:space="0" w:color="auto"/>
            </w:tcBorders>
            <w:shd w:val="clear" w:color="auto" w:fill="C6EFCE"/>
            <w:noWrap/>
            <w:vAlign w:val="bottom"/>
          </w:tcPr>
          <w:p w14:paraId="1C691EC7" w14:textId="77777777" w:rsidR="00A00259" w:rsidRDefault="00371282">
            <w:pPr>
              <w:pStyle w:val="P68B1DB1-Normal16"/>
              <w:keepNext/>
              <w:spacing w:before="40" w:after="0" w:line="259" w:lineRule="auto"/>
              <w:jc w:val="both"/>
              <w:rPr>
                <w:rFonts w:eastAsia="Times New Roman"/>
                <w:noProof/>
              </w:rPr>
            </w:pPr>
            <w:r>
              <w:rPr>
                <w:noProof/>
              </w:rPr>
              <w:t>Montant des acomptes provisionnels</w:t>
            </w:r>
          </w:p>
        </w:tc>
        <w:tc>
          <w:tcPr>
            <w:tcW w:w="1800" w:type="dxa"/>
            <w:tcBorders>
              <w:top w:val="single" w:sz="4" w:space="0" w:color="auto"/>
              <w:left w:val="nil"/>
              <w:bottom w:val="single" w:sz="4" w:space="0" w:color="auto"/>
              <w:right w:val="single" w:sz="4" w:space="0" w:color="auto"/>
            </w:tcBorders>
            <w:shd w:val="clear" w:color="auto" w:fill="C6EFCE"/>
            <w:noWrap/>
            <w:vAlign w:val="bottom"/>
          </w:tcPr>
          <w:p w14:paraId="07CE76B6" w14:textId="77777777" w:rsidR="00A00259" w:rsidRDefault="00371282">
            <w:pPr>
              <w:pStyle w:val="P68B1DB1-Normal16"/>
              <w:keepNext/>
              <w:spacing w:before="40" w:after="0" w:line="259" w:lineRule="auto"/>
              <w:jc w:val="both"/>
              <w:rPr>
                <w:rFonts w:eastAsia="Times New Roman"/>
                <w:noProof/>
              </w:rPr>
            </w:pPr>
            <w:r>
              <w:rPr>
                <w:noProof/>
              </w:rPr>
              <w:t>1 557 198 947 EUR</w:t>
            </w:r>
          </w:p>
        </w:tc>
      </w:tr>
    </w:tbl>
    <w:p w14:paraId="019AFF97" w14:textId="196264BD" w:rsidR="00A00259" w:rsidRDefault="00A00259">
      <w:pPr>
        <w:keepNext/>
        <w:spacing w:before="40" w:line="259" w:lineRule="auto"/>
        <w:jc w:val="both"/>
        <w:rPr>
          <w:rFonts w:eastAsia="Times New Roman"/>
          <w:i/>
          <w:noProof/>
          <w:color w:val="4F81BD"/>
        </w:rPr>
      </w:pPr>
    </w:p>
    <w:p w14:paraId="2D9DCA30" w14:textId="38366E9D" w:rsidR="00A00259" w:rsidRDefault="00A00259">
      <w:pPr>
        <w:rPr>
          <w:noProof/>
        </w:rPr>
      </w:pPr>
    </w:p>
    <w:p w14:paraId="324BFC0E" w14:textId="77777777" w:rsidR="00A00259" w:rsidRDefault="00371282">
      <w:pPr>
        <w:pStyle w:val="P68B1DB1-Normal5"/>
        <w:keepNext/>
        <w:numPr>
          <w:ilvl w:val="1"/>
          <w:numId w:val="93"/>
        </w:numPr>
        <w:spacing w:before="40" w:after="160" w:line="259" w:lineRule="auto"/>
        <w:ind w:left="0"/>
        <w:contextualSpacing/>
        <w:jc w:val="both"/>
        <w:rPr>
          <w:rFonts w:eastAsia="Times New Roman" w:cs="Times New Roman"/>
          <w:noProof/>
        </w:rPr>
      </w:pPr>
      <w:r>
        <w:rPr>
          <w:noProof/>
        </w:rPr>
        <w:t xml:space="preserve"> Sixième demande de paiement (soutien non remboursable): </w:t>
      </w:r>
    </w:p>
    <w:p w14:paraId="28116168" w14:textId="77777777" w:rsidR="00A00259" w:rsidRDefault="00A00259">
      <w:pPr>
        <w:keepNext/>
        <w:spacing w:before="40" w:after="160" w:line="259" w:lineRule="auto"/>
        <w:contextualSpacing/>
        <w:jc w:val="both"/>
        <w:rPr>
          <w:rFonts w:ascii="Times New Roman" w:eastAsia="Times New Roman" w:hAnsi="Times New Roman" w:cs="Times New Roman"/>
          <w:noProof/>
          <w:sz w:val="24"/>
        </w:rPr>
      </w:pPr>
    </w:p>
    <w:tbl>
      <w:tblPr>
        <w:tblW w:w="9595" w:type="dxa"/>
        <w:jc w:val="center"/>
        <w:tblLook w:val="04A0" w:firstRow="1" w:lastRow="0" w:firstColumn="1" w:lastColumn="0" w:noHBand="0" w:noVBand="1"/>
      </w:tblPr>
      <w:tblGrid>
        <w:gridCol w:w="675"/>
        <w:gridCol w:w="5171"/>
        <w:gridCol w:w="22"/>
        <w:gridCol w:w="1658"/>
        <w:gridCol w:w="22"/>
        <w:gridCol w:w="2047"/>
      </w:tblGrid>
      <w:tr w:rsidR="00A00259" w14:paraId="040BE15E" w14:textId="77777777">
        <w:trPr>
          <w:trHeight w:val="906"/>
          <w:tblHeader/>
          <w:jc w:val="center"/>
        </w:trPr>
        <w:tc>
          <w:tcPr>
            <w:tcW w:w="6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DD29A3A" w14:textId="77777777" w:rsidR="00A00259" w:rsidRDefault="00371282">
            <w:pPr>
              <w:pStyle w:val="P68B1DB1-Normal15"/>
              <w:keepNext/>
              <w:spacing w:before="40" w:after="0" w:line="259" w:lineRule="auto"/>
              <w:jc w:val="center"/>
              <w:rPr>
                <w:rFonts w:eastAsia="Times New Roman"/>
                <w:bCs/>
                <w:noProof/>
              </w:rPr>
            </w:pPr>
            <w:r>
              <w:rPr>
                <w:noProof/>
              </w:rPr>
              <w:t xml:space="preserve">Seq. </w:t>
            </w:r>
            <w:r>
              <w:rPr>
                <w:noProof/>
              </w:rPr>
              <w:br/>
              <w:t>Non.</w:t>
            </w:r>
          </w:p>
        </w:tc>
        <w:tc>
          <w:tcPr>
            <w:tcW w:w="517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73712F"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Mesure connexe (réforme ou investissement)</w:t>
            </w:r>
          </w:p>
        </w:tc>
        <w:tc>
          <w:tcPr>
            <w:tcW w:w="1680"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C9EC99"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Étape/cible</w:t>
            </w:r>
          </w:p>
        </w:tc>
        <w:tc>
          <w:tcPr>
            <w:tcW w:w="2069"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8658DC"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Nom</w:t>
            </w:r>
          </w:p>
        </w:tc>
      </w:tr>
      <w:tr w:rsidR="00A00259" w14:paraId="0D10F4CD" w14:textId="77777777">
        <w:trPr>
          <w:trHeight w:val="269"/>
          <w:tblHeader/>
          <w:jc w:val="center"/>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56D186EC" w14:textId="77777777" w:rsidR="00A00259" w:rsidRDefault="00A00259">
            <w:pPr>
              <w:keepNext/>
              <w:spacing w:before="40" w:after="0" w:line="259" w:lineRule="auto"/>
              <w:rPr>
                <w:rFonts w:ascii="Times New Roman" w:eastAsia="Times New Roman" w:hAnsi="Times New Roman" w:cs="Times New Roman"/>
                <w:bCs/>
                <w:noProof/>
                <w:sz w:val="18"/>
                <w:szCs w:val="18"/>
              </w:rPr>
            </w:pPr>
          </w:p>
        </w:tc>
        <w:tc>
          <w:tcPr>
            <w:tcW w:w="5171" w:type="dxa"/>
            <w:vMerge/>
            <w:tcBorders>
              <w:top w:val="single" w:sz="4" w:space="0" w:color="auto"/>
              <w:left w:val="single" w:sz="4" w:space="0" w:color="auto"/>
              <w:bottom w:val="single" w:sz="4" w:space="0" w:color="auto"/>
              <w:right w:val="single" w:sz="4" w:space="0" w:color="auto"/>
            </w:tcBorders>
            <w:vAlign w:val="center"/>
            <w:hideMark/>
          </w:tcPr>
          <w:p w14:paraId="3F31F948" w14:textId="77777777" w:rsidR="00A00259" w:rsidRDefault="00A00259">
            <w:pPr>
              <w:keepNext/>
              <w:spacing w:before="40" w:after="0" w:line="259" w:lineRule="auto"/>
              <w:rPr>
                <w:rFonts w:ascii="Times New Roman" w:eastAsia="Times New Roman" w:hAnsi="Times New Roman" w:cs="Times New Roman"/>
                <w:bCs/>
                <w:noProof/>
                <w:sz w:val="18"/>
                <w:szCs w:val="18"/>
              </w:rPr>
            </w:pPr>
          </w:p>
        </w:tc>
        <w:tc>
          <w:tcPr>
            <w:tcW w:w="1680" w:type="dxa"/>
            <w:gridSpan w:val="2"/>
            <w:vMerge/>
            <w:tcBorders>
              <w:top w:val="single" w:sz="4" w:space="0" w:color="auto"/>
              <w:left w:val="single" w:sz="4" w:space="0" w:color="auto"/>
              <w:bottom w:val="single" w:sz="4" w:space="0" w:color="auto"/>
              <w:right w:val="single" w:sz="4" w:space="0" w:color="auto"/>
            </w:tcBorders>
            <w:vAlign w:val="center"/>
            <w:hideMark/>
          </w:tcPr>
          <w:p w14:paraId="7B35080F" w14:textId="77777777" w:rsidR="00A00259" w:rsidRDefault="00A00259">
            <w:pPr>
              <w:keepNext/>
              <w:spacing w:before="40" w:after="0" w:line="259" w:lineRule="auto"/>
              <w:rPr>
                <w:rFonts w:ascii="Times New Roman" w:eastAsia="Times New Roman" w:hAnsi="Times New Roman" w:cs="Times New Roman"/>
                <w:bCs/>
                <w:noProof/>
                <w:sz w:val="18"/>
                <w:szCs w:val="18"/>
              </w:rPr>
            </w:pPr>
          </w:p>
        </w:tc>
        <w:tc>
          <w:tcPr>
            <w:tcW w:w="2069" w:type="dxa"/>
            <w:gridSpan w:val="2"/>
            <w:vMerge/>
            <w:tcBorders>
              <w:top w:val="single" w:sz="4" w:space="0" w:color="auto"/>
              <w:left w:val="single" w:sz="4" w:space="0" w:color="auto"/>
              <w:bottom w:val="single" w:sz="4" w:space="0" w:color="auto"/>
              <w:right w:val="single" w:sz="4" w:space="0" w:color="auto"/>
            </w:tcBorders>
            <w:vAlign w:val="center"/>
            <w:hideMark/>
          </w:tcPr>
          <w:p w14:paraId="3C831D89" w14:textId="77777777" w:rsidR="00A00259" w:rsidRDefault="00A00259">
            <w:pPr>
              <w:keepNext/>
              <w:spacing w:before="40" w:after="0" w:line="259" w:lineRule="auto"/>
              <w:rPr>
                <w:rFonts w:ascii="Times New Roman" w:eastAsia="Times New Roman" w:hAnsi="Times New Roman" w:cs="Times New Roman"/>
                <w:bCs/>
                <w:noProof/>
                <w:sz w:val="18"/>
                <w:szCs w:val="18"/>
              </w:rPr>
            </w:pPr>
          </w:p>
        </w:tc>
      </w:tr>
      <w:tr w:rsidR="00A00259" w14:paraId="6AAB42B3"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C22C1" w14:textId="77777777" w:rsidR="00A00259" w:rsidRDefault="00371282">
            <w:pPr>
              <w:pStyle w:val="P68B1DB1-Normal55"/>
              <w:keepNext/>
              <w:spacing w:before="40" w:after="0" w:line="240" w:lineRule="auto"/>
              <w:rPr>
                <w:noProof/>
              </w:rPr>
            </w:pPr>
            <w:r>
              <w:rPr>
                <w:noProof/>
              </w:rPr>
              <w:t>8</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411E2E7D" w14:textId="77777777" w:rsidR="00A00259" w:rsidRDefault="00371282">
            <w:pPr>
              <w:pStyle w:val="P68B1DB1-Normal55"/>
              <w:keepNext/>
              <w:spacing w:before="40" w:after="0" w:line="240" w:lineRule="auto"/>
              <w:rPr>
                <w:noProof/>
              </w:rPr>
            </w:pPr>
            <w:r>
              <w:rPr>
                <w:noProof/>
              </w:rPr>
              <w:t>1 - 1.1. 16865_Restructuration et amélioration des revenus du compte de cogénération SER</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3DEA4C39" w14:textId="77777777" w:rsidR="00A00259" w:rsidRDefault="00371282">
            <w:pPr>
              <w:pStyle w:val="P68B1DB1-Normal55"/>
              <w:keepNext/>
              <w:spacing w:before="40" w:after="0" w:line="240" w:lineRule="auto"/>
              <w:rPr>
                <w:noProof/>
              </w:rPr>
            </w:pPr>
            <w:r>
              <w:rPr>
                <w:noProof/>
              </w:rPr>
              <w:t>Objectif</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607B063D" w14:textId="77777777" w:rsidR="00A00259" w:rsidRDefault="00371282">
            <w:pPr>
              <w:pStyle w:val="P68B1DB1-Normal55"/>
              <w:keepNext/>
              <w:spacing w:before="40" w:after="0" w:line="240" w:lineRule="auto"/>
              <w:rPr>
                <w:noProof/>
              </w:rPr>
            </w:pPr>
            <w:r>
              <w:rPr>
                <w:noProof/>
              </w:rPr>
              <w:t>Compte SER — objectif d’augmentation de la capacité 3 </w:t>
            </w:r>
          </w:p>
        </w:tc>
      </w:tr>
      <w:tr w:rsidR="00A00259" w14:paraId="6B2CE1A7"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2AC67C" w14:textId="77777777" w:rsidR="00A00259" w:rsidRDefault="00371282">
            <w:pPr>
              <w:pStyle w:val="P68B1DB1-Normal55"/>
              <w:keepNext/>
              <w:spacing w:before="40" w:after="0" w:line="240" w:lineRule="auto"/>
              <w:rPr>
                <w:rFonts w:cs="Times New Roman"/>
                <w:noProof/>
                <w:szCs w:val="18"/>
              </w:rPr>
            </w:pPr>
            <w:r>
              <w:rPr>
                <w:noProof/>
              </w:rPr>
              <w:t>10</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4F0D6DBF" w14:textId="77777777" w:rsidR="00A00259" w:rsidRDefault="00371282">
            <w:pPr>
              <w:pStyle w:val="P68B1DB1-Normal55"/>
              <w:keepNext/>
              <w:spacing w:before="40" w:after="0" w:line="240" w:lineRule="auto"/>
              <w:rPr>
                <w:rFonts w:cs="Times New Roman"/>
                <w:noProof/>
                <w:szCs w:val="18"/>
              </w:rPr>
            </w:pPr>
            <w:r>
              <w:rPr>
                <w:noProof/>
              </w:rPr>
              <w:t>1 - 1.1. 16871_Actions de revitalisation des territoires les plus touchés (Territoires de transition juste)</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5138050A" w14:textId="77777777" w:rsidR="00A00259" w:rsidRDefault="00371282">
            <w:pPr>
              <w:pStyle w:val="P68B1DB1-Normal55"/>
              <w:keepNext/>
              <w:spacing w:before="40" w:after="0" w:line="240" w:lineRule="auto"/>
              <w:rPr>
                <w:rFonts w:cs="Times New Roman"/>
                <w:noProof/>
                <w:szCs w:val="18"/>
              </w:rPr>
            </w:pPr>
            <w:r>
              <w:rPr>
                <w:noProof/>
              </w:rPr>
              <w:t>Étape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6D262380" w14:textId="77777777" w:rsidR="00A00259" w:rsidRDefault="00371282">
            <w:pPr>
              <w:pStyle w:val="P68B1DB1-Normal55"/>
              <w:keepNext/>
              <w:spacing w:before="40" w:after="0" w:line="240" w:lineRule="auto"/>
              <w:rPr>
                <w:rFonts w:cs="Times New Roman"/>
                <w:noProof/>
                <w:szCs w:val="18"/>
              </w:rPr>
            </w:pPr>
            <w:r>
              <w:rPr>
                <w:noProof/>
              </w:rPr>
              <w:t>Réhabilitation des terres — plans d’urbanisme</w:t>
            </w:r>
          </w:p>
        </w:tc>
      </w:tr>
      <w:tr w:rsidR="00A00259" w14:paraId="274FD746"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3D9C31F" w14:textId="77777777" w:rsidR="00A00259" w:rsidRDefault="00371282">
            <w:pPr>
              <w:pStyle w:val="P68B1DB1-Normal11"/>
              <w:keepNext/>
              <w:spacing w:before="40" w:after="0" w:line="240" w:lineRule="auto"/>
              <w:rPr>
                <w:noProof/>
              </w:rPr>
            </w:pPr>
            <w:r>
              <w:rPr>
                <w:noProof/>
              </w:rPr>
              <w:t>31</w:t>
            </w:r>
          </w:p>
        </w:tc>
        <w:tc>
          <w:tcPr>
            <w:tcW w:w="5193" w:type="dxa"/>
            <w:gridSpan w:val="2"/>
            <w:tcBorders>
              <w:top w:val="nil"/>
              <w:left w:val="nil"/>
              <w:bottom w:val="single" w:sz="4" w:space="0" w:color="auto"/>
              <w:right w:val="single" w:sz="4" w:space="0" w:color="auto"/>
            </w:tcBorders>
            <w:shd w:val="clear" w:color="auto" w:fill="C6EFCE"/>
            <w:noWrap/>
            <w:vAlign w:val="center"/>
          </w:tcPr>
          <w:p w14:paraId="441F550D" w14:textId="77777777" w:rsidR="00A00259" w:rsidRDefault="00371282">
            <w:pPr>
              <w:pStyle w:val="P68B1DB1-Normal55"/>
              <w:keepNext/>
              <w:spacing w:before="40" w:after="0" w:line="240" w:lineRule="auto"/>
              <w:rPr>
                <w:noProof/>
              </w:rPr>
            </w:pPr>
            <w:r>
              <w:rPr>
                <w:noProof/>
              </w:rPr>
              <w:t>2 - 1.2. Rénover - 16891_Établissement d'une nouvelle planification de l'espace maritime</w:t>
            </w:r>
          </w:p>
        </w:tc>
        <w:tc>
          <w:tcPr>
            <w:tcW w:w="1680" w:type="dxa"/>
            <w:gridSpan w:val="2"/>
            <w:tcBorders>
              <w:top w:val="nil"/>
              <w:left w:val="nil"/>
              <w:bottom w:val="single" w:sz="4" w:space="0" w:color="auto"/>
              <w:right w:val="single" w:sz="4" w:space="0" w:color="auto"/>
            </w:tcBorders>
            <w:shd w:val="clear" w:color="auto" w:fill="C6EFCE"/>
            <w:noWrap/>
            <w:vAlign w:val="center"/>
          </w:tcPr>
          <w:p w14:paraId="010EB6EF" w14:textId="77777777" w:rsidR="00A00259" w:rsidRDefault="00371282">
            <w:pPr>
              <w:pStyle w:val="P68B1DB1-Normal55"/>
              <w:keepNext/>
              <w:spacing w:before="40" w:after="0" w:line="240" w:lineRule="auto"/>
              <w:rPr>
                <w:noProof/>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2C8C8ED2" w14:textId="77777777" w:rsidR="00A00259" w:rsidRDefault="00371282">
            <w:pPr>
              <w:pStyle w:val="P68B1DB1-Normal11"/>
              <w:keepNext/>
              <w:spacing w:before="40" w:after="0" w:line="240" w:lineRule="auto"/>
              <w:rPr>
                <w:noProof/>
              </w:rPr>
            </w:pPr>
            <w:r>
              <w:rPr>
                <w:noProof/>
              </w:rPr>
              <w:t>Adoption de la stratégie maritime</w:t>
            </w:r>
          </w:p>
        </w:tc>
      </w:tr>
      <w:tr w:rsidR="00A00259" w14:paraId="38A937CD"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D025443" w14:textId="77777777" w:rsidR="00A00259" w:rsidRDefault="00371282">
            <w:pPr>
              <w:pStyle w:val="P68B1DB1-Normal11"/>
              <w:keepNext/>
              <w:spacing w:before="40" w:after="0" w:line="240" w:lineRule="auto"/>
              <w:rPr>
                <w:rFonts w:eastAsia="Times New Roman" w:cs="Times New Roman"/>
                <w:noProof/>
              </w:rPr>
            </w:pPr>
            <w:r>
              <w:rPr>
                <w:noProof/>
              </w:rPr>
              <w:t>113</w:t>
            </w:r>
          </w:p>
        </w:tc>
        <w:tc>
          <w:tcPr>
            <w:tcW w:w="5193" w:type="dxa"/>
            <w:gridSpan w:val="2"/>
            <w:tcBorders>
              <w:top w:val="nil"/>
              <w:left w:val="nil"/>
              <w:bottom w:val="single" w:sz="4" w:space="0" w:color="auto"/>
              <w:right w:val="single" w:sz="4" w:space="0" w:color="auto"/>
            </w:tcBorders>
            <w:shd w:val="clear" w:color="auto" w:fill="C6EFCE"/>
            <w:noWrap/>
            <w:vAlign w:val="center"/>
          </w:tcPr>
          <w:p w14:paraId="1D675689" w14:textId="77777777" w:rsidR="00A00259" w:rsidRDefault="00371282">
            <w:pPr>
              <w:pStyle w:val="P68B1DB1-Normal11"/>
              <w:keepNext/>
              <w:spacing w:before="40" w:after="0" w:line="240" w:lineRule="auto"/>
              <w:rPr>
                <w:rFonts w:eastAsia="Times New Roman" w:cs="Times New Roman"/>
                <w:noProof/>
              </w:rPr>
            </w:pPr>
            <w:r>
              <w:rPr>
                <w:noProof/>
              </w:rPr>
              <w:t>6 - 2.2. Moderniser - 16738_Central Document Management System</w:t>
            </w:r>
          </w:p>
        </w:tc>
        <w:tc>
          <w:tcPr>
            <w:tcW w:w="1680" w:type="dxa"/>
            <w:gridSpan w:val="2"/>
            <w:tcBorders>
              <w:top w:val="nil"/>
              <w:left w:val="nil"/>
              <w:bottom w:val="single" w:sz="4" w:space="0" w:color="auto"/>
              <w:right w:val="single" w:sz="4" w:space="0" w:color="auto"/>
            </w:tcBorders>
            <w:shd w:val="clear" w:color="auto" w:fill="C6EFCE"/>
            <w:noWrap/>
            <w:vAlign w:val="center"/>
          </w:tcPr>
          <w:p w14:paraId="206F8CCE" w14:textId="77777777" w:rsidR="00A00259" w:rsidRDefault="00371282">
            <w:pPr>
              <w:pStyle w:val="P68B1DB1-Normal11"/>
              <w:keepNext/>
              <w:spacing w:before="40" w:after="0" w:line="240" w:lineRule="auto"/>
              <w:rPr>
                <w:rFonts w:eastAsia="Times New Roman" w:cs="Times New Roman"/>
                <w:noProof/>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727975CD" w14:textId="77777777" w:rsidR="00A00259" w:rsidRDefault="00371282">
            <w:pPr>
              <w:pStyle w:val="P68B1DB1-Normal11"/>
              <w:keepNext/>
              <w:spacing w:before="40" w:after="0" w:line="240" w:lineRule="auto"/>
              <w:rPr>
                <w:rFonts w:eastAsia="Times New Roman" w:cs="Times New Roman"/>
                <w:noProof/>
              </w:rPr>
            </w:pPr>
            <w:r>
              <w:rPr>
                <w:noProof/>
              </w:rPr>
              <w:t xml:space="preserve">Achèvement du projet de système central de gestion des documents </w:t>
            </w:r>
          </w:p>
        </w:tc>
      </w:tr>
      <w:tr w:rsidR="00A00259" w14:paraId="343C8C3E"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ECE96E7" w14:textId="77777777" w:rsidR="00A00259" w:rsidRDefault="00371282">
            <w:pPr>
              <w:pStyle w:val="P68B1DB1-Normal55"/>
              <w:keepNext/>
              <w:spacing w:before="40" w:after="0" w:line="240" w:lineRule="auto"/>
              <w:rPr>
                <w:rFonts w:eastAsia="Times New Roman" w:cs="Times New Roman"/>
                <w:bCs/>
                <w:noProof/>
                <w:szCs w:val="18"/>
              </w:rPr>
            </w:pPr>
            <w:r>
              <w:rPr>
                <w:noProof/>
              </w:rPr>
              <w:t>122</w:t>
            </w:r>
          </w:p>
        </w:tc>
        <w:tc>
          <w:tcPr>
            <w:tcW w:w="5193" w:type="dxa"/>
            <w:gridSpan w:val="2"/>
            <w:tcBorders>
              <w:top w:val="nil"/>
              <w:left w:val="nil"/>
              <w:bottom w:val="single" w:sz="4" w:space="0" w:color="auto"/>
              <w:right w:val="single" w:sz="4" w:space="0" w:color="auto"/>
            </w:tcBorders>
            <w:shd w:val="clear" w:color="auto" w:fill="C6EFCE"/>
            <w:noWrap/>
            <w:vAlign w:val="center"/>
          </w:tcPr>
          <w:p w14:paraId="667FF72E" w14:textId="77777777" w:rsidR="00A00259" w:rsidRDefault="00371282">
            <w:pPr>
              <w:pStyle w:val="P68B1DB1-Normal55"/>
              <w:keepNext/>
              <w:spacing w:before="40" w:after="0" w:line="240" w:lineRule="auto"/>
              <w:rPr>
                <w:rFonts w:eastAsia="Times New Roman" w:cs="Times New Roman"/>
                <w:bCs/>
                <w:noProof/>
                <w:szCs w:val="18"/>
              </w:rPr>
            </w:pPr>
            <w:r>
              <w:rPr>
                <w:noProof/>
              </w:rPr>
              <w:t>6 - 2.2. Moderniser – 16853 Fourniture d’infrastructures et de services centraux d’informatique en nuage</w:t>
            </w:r>
          </w:p>
        </w:tc>
        <w:tc>
          <w:tcPr>
            <w:tcW w:w="1680" w:type="dxa"/>
            <w:gridSpan w:val="2"/>
            <w:tcBorders>
              <w:top w:val="nil"/>
              <w:left w:val="nil"/>
              <w:bottom w:val="single" w:sz="4" w:space="0" w:color="auto"/>
              <w:right w:val="single" w:sz="4" w:space="0" w:color="auto"/>
            </w:tcBorders>
            <w:shd w:val="clear" w:color="auto" w:fill="C6EFCE"/>
            <w:noWrap/>
            <w:vAlign w:val="center"/>
          </w:tcPr>
          <w:p w14:paraId="563A82B1" w14:textId="77777777" w:rsidR="00A00259" w:rsidRDefault="00371282">
            <w:pPr>
              <w:pStyle w:val="P68B1DB1-Normal55"/>
              <w:keepNext/>
              <w:spacing w:before="40" w:after="0" w:line="240" w:lineRule="auto"/>
              <w:rPr>
                <w:rFonts w:eastAsia="Times New Roman" w:cs="Times New Roman"/>
                <w:noProof/>
                <w:szCs w:val="18"/>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1DB4981F" w14:textId="77777777" w:rsidR="00A00259" w:rsidRDefault="00371282">
            <w:pPr>
              <w:pStyle w:val="P68B1DB1-Normal55"/>
              <w:keepNext/>
              <w:spacing w:before="40" w:after="0" w:line="240" w:lineRule="auto"/>
              <w:rPr>
                <w:rFonts w:eastAsia="Times New Roman" w:cs="Times New Roman"/>
                <w:noProof/>
                <w:szCs w:val="18"/>
              </w:rPr>
            </w:pPr>
            <w:r>
              <w:rPr>
                <w:noProof/>
              </w:rPr>
              <w:t>Achèvement de l’infrastructure et du service d’informatique en nuage centrale</w:t>
            </w:r>
          </w:p>
        </w:tc>
      </w:tr>
      <w:tr w:rsidR="00A00259" w14:paraId="19371198"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1DCFC18" w14:textId="77777777" w:rsidR="00A00259" w:rsidRDefault="00371282">
            <w:pPr>
              <w:pStyle w:val="P68B1DB1-Normal55"/>
              <w:keepNext/>
              <w:spacing w:before="40" w:after="0" w:line="240" w:lineRule="auto"/>
              <w:rPr>
                <w:rFonts w:eastAsia="Times New Roman" w:cs="Times New Roman"/>
                <w:bCs/>
                <w:noProof/>
                <w:szCs w:val="18"/>
              </w:rPr>
            </w:pPr>
            <w:r>
              <w:rPr>
                <w:noProof/>
              </w:rPr>
              <w:t>155</w:t>
            </w:r>
          </w:p>
        </w:tc>
        <w:tc>
          <w:tcPr>
            <w:tcW w:w="5193" w:type="dxa"/>
            <w:gridSpan w:val="2"/>
            <w:tcBorders>
              <w:top w:val="nil"/>
              <w:left w:val="nil"/>
              <w:bottom w:val="single" w:sz="4" w:space="0" w:color="auto"/>
              <w:right w:val="single" w:sz="4" w:space="0" w:color="auto"/>
            </w:tcBorders>
            <w:shd w:val="clear" w:color="auto" w:fill="C6EFCE"/>
            <w:noWrap/>
            <w:vAlign w:val="center"/>
          </w:tcPr>
          <w:p w14:paraId="65BFE8D4" w14:textId="77777777" w:rsidR="00A00259" w:rsidRDefault="00371282">
            <w:pPr>
              <w:pStyle w:val="P68B1DB1-Normal55"/>
              <w:keepNext/>
              <w:spacing w:before="40" w:after="0" w:line="240" w:lineRule="auto"/>
              <w:rPr>
                <w:rFonts w:eastAsia="Times New Roman" w:cs="Times New Roman"/>
                <w:bCs/>
                <w:noProof/>
                <w:szCs w:val="18"/>
              </w:rPr>
            </w:pPr>
            <w:r>
              <w:rPr>
                <w:noProof/>
              </w:rPr>
              <w:t>10 - 3.3. Améliorer la résilience, l'accessibilité et la durabilité des soins de santé - 16816_Clawback Réduction et rationalisation des dépenses de santé</w:t>
            </w:r>
          </w:p>
        </w:tc>
        <w:tc>
          <w:tcPr>
            <w:tcW w:w="1680" w:type="dxa"/>
            <w:gridSpan w:val="2"/>
            <w:tcBorders>
              <w:top w:val="nil"/>
              <w:left w:val="nil"/>
              <w:bottom w:val="single" w:sz="4" w:space="0" w:color="auto"/>
              <w:right w:val="single" w:sz="4" w:space="0" w:color="auto"/>
            </w:tcBorders>
            <w:shd w:val="clear" w:color="auto" w:fill="C6EFCE"/>
            <w:noWrap/>
            <w:vAlign w:val="center"/>
          </w:tcPr>
          <w:p w14:paraId="0E53EB21" w14:textId="77777777" w:rsidR="00A00259" w:rsidRDefault="00371282">
            <w:pPr>
              <w:pStyle w:val="P68B1DB1-Normal55"/>
              <w:keepNext/>
              <w:spacing w:before="40" w:after="0" w:line="240" w:lineRule="auto"/>
              <w:rPr>
                <w:rFonts w:eastAsia="Times New Roman" w:cs="Times New Roman"/>
                <w:noProof/>
                <w:szCs w:val="18"/>
              </w:rPr>
            </w:pPr>
            <w:r>
              <w:rPr>
                <w:noProof/>
              </w:rPr>
              <w:t>Objectif</w:t>
            </w:r>
          </w:p>
        </w:tc>
        <w:tc>
          <w:tcPr>
            <w:tcW w:w="2047" w:type="dxa"/>
            <w:tcBorders>
              <w:top w:val="nil"/>
              <w:left w:val="nil"/>
              <w:bottom w:val="single" w:sz="4" w:space="0" w:color="auto"/>
              <w:right w:val="single" w:sz="4" w:space="0" w:color="auto"/>
            </w:tcBorders>
            <w:shd w:val="clear" w:color="auto" w:fill="C6EFCE"/>
            <w:noWrap/>
            <w:vAlign w:val="center"/>
          </w:tcPr>
          <w:p w14:paraId="447009DC" w14:textId="77777777" w:rsidR="00A00259" w:rsidRDefault="00371282">
            <w:pPr>
              <w:pStyle w:val="P68B1DB1-Normal55"/>
              <w:keepNext/>
              <w:spacing w:before="40" w:after="0" w:line="240" w:lineRule="auto"/>
              <w:rPr>
                <w:rFonts w:eastAsia="Times New Roman" w:cs="Times New Roman"/>
                <w:noProof/>
                <w:szCs w:val="18"/>
              </w:rPr>
            </w:pPr>
            <w:r>
              <w:rPr>
                <w:noProof/>
              </w:rPr>
              <w:t>Diminution de la récupération 150 000 000 - étape 2</w:t>
            </w:r>
          </w:p>
        </w:tc>
      </w:tr>
      <w:tr w:rsidR="00A00259" w14:paraId="220D32FD"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0AAB16F" w14:textId="77777777" w:rsidR="00A00259" w:rsidRDefault="00371282">
            <w:pPr>
              <w:pStyle w:val="P68B1DB1-Normal55"/>
              <w:keepNext/>
              <w:spacing w:before="40" w:after="0" w:line="240" w:lineRule="auto"/>
              <w:rPr>
                <w:noProof/>
              </w:rPr>
            </w:pPr>
            <w:r>
              <w:rPr>
                <w:noProof/>
              </w:rPr>
              <w:t>148</w:t>
            </w:r>
          </w:p>
        </w:tc>
        <w:tc>
          <w:tcPr>
            <w:tcW w:w="5193" w:type="dxa"/>
            <w:gridSpan w:val="2"/>
            <w:tcBorders>
              <w:top w:val="nil"/>
              <w:left w:val="nil"/>
              <w:bottom w:val="single" w:sz="4" w:space="0" w:color="auto"/>
              <w:right w:val="single" w:sz="4" w:space="0" w:color="auto"/>
            </w:tcBorders>
            <w:shd w:val="clear" w:color="auto" w:fill="C6EFCE"/>
            <w:noWrap/>
            <w:vAlign w:val="center"/>
          </w:tcPr>
          <w:p w14:paraId="5F65D886" w14:textId="77777777" w:rsidR="00A00259" w:rsidRDefault="00371282">
            <w:pPr>
              <w:pStyle w:val="P68B1DB1-Normal55"/>
              <w:keepNext/>
              <w:spacing w:before="40" w:after="0" w:line="240" w:lineRule="auto"/>
              <w:rPr>
                <w:noProof/>
              </w:rPr>
            </w:pPr>
            <w:r>
              <w:rPr>
                <w:noProof/>
              </w:rPr>
              <w:t>9 - 3.2. Éducation, enseignement et formation professionnels et compétences - 16676_Transformation numérique de l'éducation</w:t>
            </w:r>
          </w:p>
        </w:tc>
        <w:tc>
          <w:tcPr>
            <w:tcW w:w="1680" w:type="dxa"/>
            <w:gridSpan w:val="2"/>
            <w:tcBorders>
              <w:top w:val="nil"/>
              <w:left w:val="nil"/>
              <w:bottom w:val="single" w:sz="4" w:space="0" w:color="auto"/>
              <w:right w:val="single" w:sz="4" w:space="0" w:color="auto"/>
            </w:tcBorders>
            <w:shd w:val="clear" w:color="auto" w:fill="C6EFCE"/>
            <w:noWrap/>
            <w:vAlign w:val="center"/>
          </w:tcPr>
          <w:p w14:paraId="6130676B" w14:textId="77777777" w:rsidR="00A00259" w:rsidRDefault="00371282">
            <w:pPr>
              <w:pStyle w:val="P68B1DB1-Normal55"/>
              <w:keepNext/>
              <w:spacing w:before="40" w:after="0" w:line="240" w:lineRule="auto"/>
              <w:rPr>
                <w:noProof/>
              </w:rPr>
            </w:pPr>
            <w:r>
              <w:rPr>
                <w:noProof/>
              </w:rPr>
              <w:t>Objectif</w:t>
            </w:r>
          </w:p>
        </w:tc>
        <w:tc>
          <w:tcPr>
            <w:tcW w:w="2047" w:type="dxa"/>
            <w:tcBorders>
              <w:top w:val="nil"/>
              <w:left w:val="nil"/>
              <w:bottom w:val="single" w:sz="4" w:space="0" w:color="auto"/>
              <w:right w:val="single" w:sz="4" w:space="0" w:color="auto"/>
            </w:tcBorders>
            <w:shd w:val="clear" w:color="auto" w:fill="C6EFCE"/>
            <w:noWrap/>
            <w:vAlign w:val="center"/>
          </w:tcPr>
          <w:p w14:paraId="18FC4C70" w14:textId="77777777" w:rsidR="00A00259" w:rsidRDefault="00371282">
            <w:pPr>
              <w:pStyle w:val="P68B1DB1-Normal55"/>
              <w:keepNext/>
              <w:spacing w:before="40" w:after="0" w:line="240" w:lineRule="auto"/>
              <w:rPr>
                <w:noProof/>
              </w:rPr>
            </w:pPr>
            <w:r>
              <w:rPr>
                <w:noProof/>
              </w:rPr>
              <w:t>Achèvement de l'installation des systèmes interactifs</w:t>
            </w:r>
          </w:p>
        </w:tc>
      </w:tr>
      <w:tr w:rsidR="00A00259" w14:paraId="450E2649"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F69E6A1" w14:textId="77777777" w:rsidR="00A00259" w:rsidRDefault="00371282">
            <w:pPr>
              <w:pStyle w:val="P68B1DB1-Normal55"/>
              <w:keepNext/>
              <w:spacing w:before="40" w:after="0" w:line="240" w:lineRule="auto"/>
              <w:rPr>
                <w:rFonts w:eastAsia="Times New Roman" w:cs="Times New Roman"/>
                <w:bCs/>
                <w:noProof/>
                <w:szCs w:val="18"/>
              </w:rPr>
            </w:pPr>
            <w:r>
              <w:rPr>
                <w:noProof/>
              </w:rPr>
              <w:t>156</w:t>
            </w:r>
          </w:p>
        </w:tc>
        <w:tc>
          <w:tcPr>
            <w:tcW w:w="5193" w:type="dxa"/>
            <w:gridSpan w:val="2"/>
            <w:tcBorders>
              <w:top w:val="nil"/>
              <w:left w:val="nil"/>
              <w:bottom w:val="single" w:sz="4" w:space="0" w:color="auto"/>
              <w:right w:val="single" w:sz="4" w:space="0" w:color="auto"/>
            </w:tcBorders>
            <w:shd w:val="clear" w:color="auto" w:fill="C6EFCE"/>
            <w:noWrap/>
            <w:vAlign w:val="center"/>
          </w:tcPr>
          <w:p w14:paraId="4CC19CB5" w14:textId="77777777" w:rsidR="00A00259" w:rsidRDefault="00371282">
            <w:pPr>
              <w:pStyle w:val="P68B1DB1-Normal55"/>
              <w:keepNext/>
              <w:spacing w:before="40" w:after="0" w:line="240" w:lineRule="auto"/>
              <w:rPr>
                <w:rFonts w:eastAsia="Times New Roman" w:cs="Times New Roman"/>
                <w:bCs/>
                <w:noProof/>
                <w:szCs w:val="18"/>
              </w:rPr>
            </w:pPr>
            <w:r>
              <w:rPr>
                <w:noProof/>
              </w:rPr>
              <w:t>10 - 3.3. Améliorer la résilience, l'accessibilité et la durabilité des soins de santé - 16816_Clawback Réduction et rationalisation des dépenses de santé</w:t>
            </w:r>
          </w:p>
        </w:tc>
        <w:tc>
          <w:tcPr>
            <w:tcW w:w="1680" w:type="dxa"/>
            <w:gridSpan w:val="2"/>
            <w:tcBorders>
              <w:top w:val="nil"/>
              <w:left w:val="nil"/>
              <w:bottom w:val="single" w:sz="4" w:space="0" w:color="auto"/>
              <w:right w:val="single" w:sz="4" w:space="0" w:color="auto"/>
            </w:tcBorders>
            <w:shd w:val="clear" w:color="auto" w:fill="C6EFCE"/>
            <w:noWrap/>
            <w:vAlign w:val="center"/>
          </w:tcPr>
          <w:p w14:paraId="3AA5AD16" w14:textId="77777777" w:rsidR="00A00259" w:rsidRDefault="00371282">
            <w:pPr>
              <w:pStyle w:val="P68B1DB1-Normal55"/>
              <w:keepNext/>
              <w:spacing w:before="40" w:after="0" w:line="240" w:lineRule="auto"/>
              <w:rPr>
                <w:rFonts w:eastAsia="Times New Roman" w:cs="Times New Roman"/>
                <w:noProof/>
                <w:szCs w:val="18"/>
              </w:rPr>
            </w:pPr>
            <w:r>
              <w:rPr>
                <w:noProof/>
              </w:rPr>
              <w:t>Objectif</w:t>
            </w:r>
          </w:p>
        </w:tc>
        <w:tc>
          <w:tcPr>
            <w:tcW w:w="2047" w:type="dxa"/>
            <w:tcBorders>
              <w:top w:val="nil"/>
              <w:left w:val="nil"/>
              <w:bottom w:val="single" w:sz="4" w:space="0" w:color="auto"/>
              <w:right w:val="single" w:sz="4" w:space="0" w:color="auto"/>
            </w:tcBorders>
            <w:shd w:val="clear" w:color="auto" w:fill="C6EFCE"/>
            <w:noWrap/>
            <w:vAlign w:val="center"/>
          </w:tcPr>
          <w:p w14:paraId="00EDFCF6" w14:textId="77777777" w:rsidR="00A00259" w:rsidRDefault="00371282">
            <w:pPr>
              <w:pStyle w:val="P68B1DB1-Normal55"/>
              <w:keepNext/>
              <w:spacing w:before="40" w:after="0" w:line="240" w:lineRule="auto"/>
              <w:rPr>
                <w:rFonts w:cs="Times New Roman"/>
                <w:noProof/>
                <w:szCs w:val="18"/>
              </w:rPr>
            </w:pPr>
            <w:r>
              <w:rPr>
                <w:noProof/>
              </w:rPr>
              <w:t xml:space="preserve">R&amp;D </w:t>
            </w:r>
            <w:r>
              <w:rPr>
                <w:noProof/>
                <w:szCs w:val="18"/>
              </w:rPr>
              <w:t>preuve d'investissement pharmaceutique - étape 1</w:t>
            </w:r>
          </w:p>
        </w:tc>
      </w:tr>
      <w:tr w:rsidR="00A00259" w14:paraId="365F0614"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ADF8BD9" w14:textId="77777777" w:rsidR="00A00259" w:rsidRDefault="00371282">
            <w:pPr>
              <w:pStyle w:val="P68B1DB1-Normal55"/>
              <w:keepNext/>
              <w:spacing w:before="40" w:after="0" w:line="240" w:lineRule="auto"/>
              <w:rPr>
                <w:rFonts w:cs="Times New Roman"/>
                <w:noProof/>
                <w:szCs w:val="18"/>
              </w:rPr>
            </w:pPr>
            <w:r>
              <w:rPr>
                <w:noProof/>
              </w:rPr>
              <w:t>167</w:t>
            </w:r>
          </w:p>
        </w:tc>
        <w:tc>
          <w:tcPr>
            <w:tcW w:w="5193" w:type="dxa"/>
            <w:gridSpan w:val="2"/>
            <w:tcBorders>
              <w:top w:val="nil"/>
              <w:left w:val="nil"/>
              <w:bottom w:val="single" w:sz="4" w:space="0" w:color="auto"/>
              <w:right w:val="single" w:sz="4" w:space="0" w:color="auto"/>
            </w:tcBorders>
            <w:shd w:val="clear" w:color="auto" w:fill="C6EFCE"/>
            <w:noWrap/>
            <w:vAlign w:val="center"/>
          </w:tcPr>
          <w:p w14:paraId="7D04D427" w14:textId="77777777" w:rsidR="00A00259" w:rsidRDefault="00371282">
            <w:pPr>
              <w:pStyle w:val="P68B1DB1-Normal55"/>
              <w:keepNext/>
              <w:spacing w:before="40" w:after="0" w:line="240" w:lineRule="auto"/>
              <w:rPr>
                <w:rFonts w:cs="Times New Roman"/>
                <w:noProof/>
                <w:szCs w:val="18"/>
              </w:rPr>
            </w:pPr>
            <w:r>
              <w:rPr>
                <w:noProof/>
              </w:rPr>
              <w:t>10 - 3.3. Améliorer la résilience, l'accessibilité et la durabilité des soins de santé - 16752_Transformation numérique de la santé (DigHealth)</w:t>
            </w:r>
          </w:p>
        </w:tc>
        <w:tc>
          <w:tcPr>
            <w:tcW w:w="1680" w:type="dxa"/>
            <w:gridSpan w:val="2"/>
            <w:tcBorders>
              <w:top w:val="nil"/>
              <w:left w:val="nil"/>
              <w:bottom w:val="single" w:sz="4" w:space="0" w:color="auto"/>
              <w:right w:val="single" w:sz="4" w:space="0" w:color="auto"/>
            </w:tcBorders>
            <w:shd w:val="clear" w:color="auto" w:fill="C6EFCE"/>
            <w:noWrap/>
            <w:vAlign w:val="center"/>
          </w:tcPr>
          <w:p w14:paraId="3D4BD195" w14:textId="77777777" w:rsidR="00A00259" w:rsidRDefault="00371282">
            <w:pPr>
              <w:pStyle w:val="P68B1DB1-Normal55"/>
              <w:keepNext/>
              <w:spacing w:before="40" w:after="0" w:line="240" w:lineRule="auto"/>
              <w:rPr>
                <w:rFonts w:cs="Times New Roman"/>
                <w:noProof/>
                <w:szCs w:val="18"/>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20B40CE2" w14:textId="77777777" w:rsidR="00A00259" w:rsidRDefault="00371282">
            <w:pPr>
              <w:pStyle w:val="P68B1DB1-Normal55"/>
              <w:keepNext/>
              <w:spacing w:before="40" w:after="0" w:line="240" w:lineRule="auto"/>
              <w:rPr>
                <w:rFonts w:cs="Times New Roman"/>
                <w:noProof/>
                <w:szCs w:val="18"/>
              </w:rPr>
            </w:pPr>
            <w:r>
              <w:rPr>
                <w:noProof/>
              </w:rPr>
              <w:t>Transformation numérique des soins de santé - Dossier de santé numérique national (sous-projet 1)</w:t>
            </w:r>
          </w:p>
        </w:tc>
      </w:tr>
      <w:tr w:rsidR="00A00259" w14:paraId="72EE0D6C"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6790E25" w14:textId="77777777" w:rsidR="00A00259" w:rsidRDefault="00371282">
            <w:pPr>
              <w:pStyle w:val="P68B1DB1-Normal55"/>
              <w:keepNext/>
              <w:spacing w:before="40" w:after="0" w:line="240" w:lineRule="auto"/>
              <w:rPr>
                <w:rFonts w:cs="Times New Roman"/>
                <w:noProof/>
                <w:szCs w:val="18"/>
              </w:rPr>
            </w:pPr>
            <w:r>
              <w:rPr>
                <w:noProof/>
              </w:rPr>
              <w:t>175a</w:t>
            </w:r>
          </w:p>
        </w:tc>
        <w:tc>
          <w:tcPr>
            <w:tcW w:w="5193" w:type="dxa"/>
            <w:gridSpan w:val="2"/>
            <w:tcBorders>
              <w:top w:val="nil"/>
              <w:left w:val="nil"/>
              <w:bottom w:val="single" w:sz="4" w:space="0" w:color="auto"/>
              <w:right w:val="single" w:sz="4" w:space="0" w:color="auto"/>
            </w:tcBorders>
            <w:shd w:val="clear" w:color="auto" w:fill="C6EFCE"/>
            <w:noWrap/>
            <w:vAlign w:val="center"/>
          </w:tcPr>
          <w:p w14:paraId="1D209C54" w14:textId="77777777" w:rsidR="00A00259" w:rsidRDefault="00371282">
            <w:pPr>
              <w:pStyle w:val="P68B1DB1-Normal55"/>
              <w:keepNext/>
              <w:spacing w:before="40" w:after="0" w:line="240" w:lineRule="auto"/>
              <w:rPr>
                <w:rFonts w:cs="Times New Roman"/>
                <w:noProof/>
                <w:szCs w:val="18"/>
              </w:rPr>
            </w:pPr>
            <w:r>
              <w:rPr>
                <w:noProof/>
              </w:rPr>
              <w:t>11 - 3.4. Accroître l’accès à des politiques sociales efficaces et inclusives – 16726 Optimisation des prestations sociales</w:t>
            </w:r>
          </w:p>
        </w:tc>
        <w:tc>
          <w:tcPr>
            <w:tcW w:w="1680" w:type="dxa"/>
            <w:gridSpan w:val="2"/>
            <w:tcBorders>
              <w:top w:val="nil"/>
              <w:left w:val="nil"/>
              <w:bottom w:val="single" w:sz="4" w:space="0" w:color="auto"/>
              <w:right w:val="single" w:sz="4" w:space="0" w:color="auto"/>
            </w:tcBorders>
            <w:shd w:val="clear" w:color="auto" w:fill="C6EFCE"/>
            <w:noWrap/>
            <w:vAlign w:val="center"/>
          </w:tcPr>
          <w:p w14:paraId="0719F1CD" w14:textId="77777777" w:rsidR="00A00259" w:rsidRDefault="00371282">
            <w:pPr>
              <w:pStyle w:val="P68B1DB1-Normal55"/>
              <w:keepNext/>
              <w:spacing w:before="40" w:after="0" w:line="240" w:lineRule="auto"/>
              <w:rPr>
                <w:rFonts w:cs="Times New Roman"/>
                <w:noProof/>
                <w:szCs w:val="18"/>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095DEA31" w14:textId="77777777" w:rsidR="00A00259" w:rsidRDefault="00371282">
            <w:pPr>
              <w:pStyle w:val="P68B1DB1-Normal55"/>
              <w:keepNext/>
              <w:spacing w:before="40" w:after="0" w:line="240" w:lineRule="auto"/>
              <w:rPr>
                <w:rFonts w:cs="Times New Roman"/>
                <w:noProof/>
                <w:szCs w:val="18"/>
              </w:rPr>
            </w:pPr>
            <w:r>
              <w:rPr>
                <w:noProof/>
              </w:rPr>
              <w:t>Avantages sociaux Optimisation des cartes prépayées</w:t>
            </w:r>
          </w:p>
        </w:tc>
      </w:tr>
      <w:tr w:rsidR="00A00259" w14:paraId="3392A94A"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185EE35" w14:textId="77777777" w:rsidR="00A00259" w:rsidRDefault="00371282">
            <w:pPr>
              <w:pStyle w:val="P68B1DB1-Normal55"/>
              <w:keepNext/>
              <w:spacing w:before="40" w:after="0" w:line="240" w:lineRule="auto"/>
              <w:rPr>
                <w:rFonts w:eastAsia="Times New Roman" w:cs="Times New Roman"/>
                <w:bCs/>
                <w:noProof/>
                <w:szCs w:val="18"/>
              </w:rPr>
            </w:pPr>
            <w:r>
              <w:rPr>
                <w:noProof/>
              </w:rPr>
              <w:t>189</w:t>
            </w:r>
          </w:p>
        </w:tc>
        <w:tc>
          <w:tcPr>
            <w:tcW w:w="5193" w:type="dxa"/>
            <w:gridSpan w:val="2"/>
            <w:tcBorders>
              <w:top w:val="nil"/>
              <w:left w:val="nil"/>
              <w:bottom w:val="single" w:sz="4" w:space="0" w:color="auto"/>
              <w:right w:val="single" w:sz="4" w:space="0" w:color="auto"/>
            </w:tcBorders>
            <w:shd w:val="clear" w:color="auto" w:fill="C6EFCE"/>
            <w:noWrap/>
            <w:vAlign w:val="center"/>
          </w:tcPr>
          <w:p w14:paraId="7A103866" w14:textId="77777777" w:rsidR="00A00259" w:rsidRDefault="00371282">
            <w:pPr>
              <w:pStyle w:val="P68B1DB1-Normal55"/>
              <w:keepNext/>
              <w:spacing w:before="40" w:after="0" w:line="240" w:lineRule="auto"/>
              <w:rPr>
                <w:rFonts w:eastAsia="Times New Roman" w:cs="Times New Roman"/>
                <w:bCs/>
                <w:noProof/>
                <w:szCs w:val="18"/>
              </w:rPr>
            </w:pPr>
            <w:r>
              <w:rPr>
                <w:noProof/>
              </w:rPr>
              <w:t>12 - 4.1. Rendre les impôts plus propices à la croissance et améliorer l'administration fiscale et la perception des impôts - 16614_Caissières en ligne &amp; POS (réforme)</w:t>
            </w:r>
          </w:p>
        </w:tc>
        <w:tc>
          <w:tcPr>
            <w:tcW w:w="1680" w:type="dxa"/>
            <w:gridSpan w:val="2"/>
            <w:tcBorders>
              <w:top w:val="nil"/>
              <w:left w:val="nil"/>
              <w:bottom w:val="single" w:sz="4" w:space="0" w:color="auto"/>
              <w:right w:val="single" w:sz="4" w:space="0" w:color="auto"/>
            </w:tcBorders>
            <w:shd w:val="clear" w:color="auto" w:fill="C6EFCE"/>
            <w:noWrap/>
            <w:vAlign w:val="center"/>
          </w:tcPr>
          <w:p w14:paraId="5B509664" w14:textId="77777777" w:rsidR="00A00259" w:rsidRDefault="00371282">
            <w:pPr>
              <w:pStyle w:val="P68B1DB1-Normal55"/>
              <w:keepNext/>
              <w:spacing w:before="40" w:after="0" w:line="240" w:lineRule="auto"/>
              <w:rPr>
                <w:rFonts w:eastAsia="Times New Roman" w:cs="Times New Roman"/>
                <w:noProof/>
                <w:szCs w:val="18"/>
              </w:rPr>
            </w:pPr>
            <w:r>
              <w:rPr>
                <w:noProof/>
              </w:rPr>
              <w:t>Objectif</w:t>
            </w:r>
          </w:p>
        </w:tc>
        <w:tc>
          <w:tcPr>
            <w:tcW w:w="2047" w:type="dxa"/>
            <w:tcBorders>
              <w:top w:val="nil"/>
              <w:left w:val="nil"/>
              <w:bottom w:val="single" w:sz="4" w:space="0" w:color="auto"/>
              <w:right w:val="single" w:sz="4" w:space="0" w:color="auto"/>
            </w:tcBorders>
            <w:shd w:val="clear" w:color="auto" w:fill="C6EFCE"/>
            <w:noWrap/>
            <w:vAlign w:val="center"/>
          </w:tcPr>
          <w:p w14:paraId="3DA6658D" w14:textId="77777777" w:rsidR="00A00259" w:rsidRDefault="00371282">
            <w:pPr>
              <w:pStyle w:val="P68B1DB1-Normal55"/>
              <w:keepNext/>
              <w:spacing w:before="40" w:after="0" w:line="240" w:lineRule="auto"/>
              <w:rPr>
                <w:rFonts w:eastAsia="Times New Roman" w:cs="Times New Roman"/>
                <w:noProof/>
                <w:szCs w:val="18"/>
              </w:rPr>
            </w:pPr>
            <w:r>
              <w:rPr>
                <w:noProof/>
              </w:rPr>
              <w:t xml:space="preserve">Autorité indépendante des recettes publiques: Caisses enregistreuses en ligne &amp; Point de vente (POS) – </w:t>
            </w:r>
            <w:r>
              <w:rPr>
                <w:noProof/>
                <w:szCs w:val="18"/>
              </w:rPr>
              <w:t xml:space="preserve">intégration </w:t>
            </w:r>
            <w:r>
              <w:rPr>
                <w:noProof/>
              </w:rPr>
              <w:t xml:space="preserve">et interconnexion </w:t>
            </w:r>
          </w:p>
        </w:tc>
      </w:tr>
      <w:tr w:rsidR="00A00259" w14:paraId="5E995447"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C755846" w14:textId="77777777" w:rsidR="00A00259" w:rsidRDefault="00371282">
            <w:pPr>
              <w:pStyle w:val="P68B1DB1-Normal55"/>
              <w:keepNext/>
              <w:spacing w:before="40" w:after="0" w:line="240" w:lineRule="auto"/>
              <w:rPr>
                <w:rFonts w:eastAsia="Times New Roman" w:cs="Times New Roman"/>
                <w:bCs/>
                <w:noProof/>
                <w:szCs w:val="18"/>
              </w:rPr>
            </w:pPr>
            <w:r>
              <w:rPr>
                <w:noProof/>
              </w:rPr>
              <w:t>204</w:t>
            </w:r>
          </w:p>
        </w:tc>
        <w:tc>
          <w:tcPr>
            <w:tcW w:w="5193" w:type="dxa"/>
            <w:gridSpan w:val="2"/>
            <w:tcBorders>
              <w:top w:val="nil"/>
              <w:left w:val="nil"/>
              <w:bottom w:val="single" w:sz="4" w:space="0" w:color="auto"/>
              <w:right w:val="single" w:sz="4" w:space="0" w:color="auto"/>
            </w:tcBorders>
            <w:shd w:val="clear" w:color="auto" w:fill="C6EFCE"/>
            <w:noWrap/>
            <w:vAlign w:val="center"/>
          </w:tcPr>
          <w:p w14:paraId="5CC8277B" w14:textId="77777777" w:rsidR="00A00259" w:rsidRDefault="00371282">
            <w:pPr>
              <w:pStyle w:val="P68B1DB1-Normal55"/>
              <w:keepNext/>
              <w:spacing w:before="40" w:after="0" w:line="240" w:lineRule="auto"/>
              <w:rPr>
                <w:rFonts w:eastAsia="Times New Roman" w:cs="Times New Roman"/>
                <w:bCs/>
                <w:noProof/>
                <w:szCs w:val="18"/>
              </w:rPr>
            </w:pPr>
            <w:r>
              <w:rPr>
                <w:noProof/>
              </w:rPr>
              <w:t>12 - 4.1. Rendre les impôts plus propices à la croissance et améliorer l'administration fiscale et la perception des impôts - 16643_Codification et simplification de la législation fiscale</w:t>
            </w:r>
          </w:p>
        </w:tc>
        <w:tc>
          <w:tcPr>
            <w:tcW w:w="1680" w:type="dxa"/>
            <w:gridSpan w:val="2"/>
            <w:tcBorders>
              <w:top w:val="nil"/>
              <w:left w:val="nil"/>
              <w:bottom w:val="single" w:sz="4" w:space="0" w:color="auto"/>
              <w:right w:val="single" w:sz="4" w:space="0" w:color="auto"/>
            </w:tcBorders>
            <w:shd w:val="clear" w:color="auto" w:fill="C6EFCE"/>
            <w:noWrap/>
            <w:vAlign w:val="center"/>
          </w:tcPr>
          <w:p w14:paraId="059F806A" w14:textId="77777777" w:rsidR="00A00259" w:rsidRDefault="00371282">
            <w:pPr>
              <w:pStyle w:val="P68B1DB1-Normal55"/>
              <w:keepNext/>
              <w:spacing w:before="40" w:after="0" w:line="240" w:lineRule="auto"/>
              <w:rPr>
                <w:rFonts w:eastAsia="Times New Roman" w:cs="Times New Roman"/>
                <w:noProof/>
                <w:szCs w:val="18"/>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530E171B" w14:textId="77777777" w:rsidR="00A00259" w:rsidRDefault="00371282">
            <w:pPr>
              <w:pStyle w:val="P68B1DB1-Normal55"/>
              <w:keepNext/>
              <w:spacing w:before="40" w:after="0" w:line="240" w:lineRule="auto"/>
              <w:rPr>
                <w:rFonts w:eastAsia="Times New Roman" w:cs="Times New Roman"/>
                <w:noProof/>
                <w:szCs w:val="18"/>
              </w:rPr>
            </w:pPr>
            <w:r>
              <w:rPr>
                <w:noProof/>
              </w:rPr>
              <w:t>Achèvement de la codification fiscale initiale et du système d'information des contribuables</w:t>
            </w:r>
          </w:p>
        </w:tc>
      </w:tr>
      <w:tr w:rsidR="00A00259" w14:paraId="2C33302C"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B431018" w14:textId="77777777" w:rsidR="00A00259" w:rsidRDefault="00371282">
            <w:pPr>
              <w:pStyle w:val="P68B1DB1-Normal55"/>
              <w:keepNext/>
              <w:spacing w:before="40" w:after="0" w:line="240" w:lineRule="auto"/>
              <w:rPr>
                <w:noProof/>
              </w:rPr>
            </w:pPr>
            <w:r>
              <w:rPr>
                <w:noProof/>
              </w:rPr>
              <w:t>340</w:t>
            </w:r>
          </w:p>
        </w:tc>
        <w:tc>
          <w:tcPr>
            <w:tcW w:w="5193" w:type="dxa"/>
            <w:gridSpan w:val="2"/>
            <w:tcBorders>
              <w:top w:val="nil"/>
              <w:left w:val="nil"/>
              <w:bottom w:val="single" w:sz="4" w:space="0" w:color="auto"/>
              <w:right w:val="single" w:sz="4" w:space="0" w:color="auto"/>
            </w:tcBorders>
            <w:shd w:val="clear" w:color="auto" w:fill="C6EFCE"/>
            <w:noWrap/>
            <w:vAlign w:val="center"/>
          </w:tcPr>
          <w:p w14:paraId="16CD3C91" w14:textId="77777777" w:rsidR="00A00259" w:rsidRDefault="00371282">
            <w:pPr>
              <w:pStyle w:val="P68B1DB1-Normal55"/>
              <w:keepNext/>
              <w:spacing w:before="40" w:after="0" w:line="240" w:lineRule="auto"/>
              <w:rPr>
                <w:noProof/>
              </w:rPr>
            </w:pPr>
            <w:r>
              <w:rPr>
                <w:noProof/>
              </w:rPr>
              <w:t>12 - 4.1. Rendre les impôts plus propices à la croissance et améliorer l'administration fiscale et le recouvrement des impôts – 16985_Modifications du cadre de la politique fiscale de la Grèce</w:t>
            </w:r>
          </w:p>
        </w:tc>
        <w:tc>
          <w:tcPr>
            <w:tcW w:w="1680" w:type="dxa"/>
            <w:gridSpan w:val="2"/>
            <w:tcBorders>
              <w:top w:val="nil"/>
              <w:left w:val="nil"/>
              <w:bottom w:val="single" w:sz="4" w:space="0" w:color="auto"/>
              <w:right w:val="single" w:sz="4" w:space="0" w:color="auto"/>
            </w:tcBorders>
            <w:shd w:val="clear" w:color="auto" w:fill="C6EFCE"/>
            <w:noWrap/>
            <w:vAlign w:val="center"/>
          </w:tcPr>
          <w:p w14:paraId="5A9943F7" w14:textId="77777777" w:rsidR="00A00259" w:rsidRDefault="00371282">
            <w:pPr>
              <w:pStyle w:val="P68B1DB1-Normal55"/>
              <w:keepNext/>
              <w:spacing w:before="40" w:after="0" w:line="240" w:lineRule="auto"/>
              <w:rPr>
                <w:noProof/>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44D14AE6" w14:textId="77777777" w:rsidR="00A00259" w:rsidRDefault="00371282">
            <w:pPr>
              <w:pStyle w:val="P68B1DB1-Normal55"/>
              <w:keepNext/>
              <w:spacing w:before="40" w:after="0" w:line="240" w:lineRule="auto"/>
              <w:rPr>
                <w:noProof/>
              </w:rPr>
            </w:pPr>
            <w:r>
              <w:rPr>
                <w:noProof/>
              </w:rPr>
              <w:t>Lutter contre l'évasion fiscale en utilisant myDATA à des fins d'impôt sur le revenu</w:t>
            </w:r>
          </w:p>
        </w:tc>
      </w:tr>
      <w:tr w:rsidR="00A00259" w14:paraId="4CF97888"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2CBE0ED" w14:textId="77777777" w:rsidR="00A00259" w:rsidRDefault="00371282">
            <w:pPr>
              <w:pStyle w:val="P68B1DB1-Normal55"/>
              <w:keepNext/>
              <w:spacing w:before="40" w:after="0" w:line="240" w:lineRule="auto"/>
              <w:rPr>
                <w:rFonts w:cs="Times New Roman"/>
                <w:noProof/>
                <w:szCs w:val="18"/>
              </w:rPr>
            </w:pPr>
            <w:r>
              <w:rPr>
                <w:noProof/>
              </w:rPr>
              <w:t>212</w:t>
            </w:r>
          </w:p>
        </w:tc>
        <w:tc>
          <w:tcPr>
            <w:tcW w:w="5193" w:type="dxa"/>
            <w:gridSpan w:val="2"/>
            <w:tcBorders>
              <w:top w:val="nil"/>
              <w:left w:val="nil"/>
              <w:bottom w:val="single" w:sz="4" w:space="0" w:color="auto"/>
              <w:right w:val="single" w:sz="4" w:space="0" w:color="auto"/>
            </w:tcBorders>
            <w:shd w:val="clear" w:color="auto" w:fill="C6EFCE"/>
            <w:noWrap/>
            <w:vAlign w:val="center"/>
          </w:tcPr>
          <w:p w14:paraId="2280AEE1" w14:textId="77777777" w:rsidR="00A00259" w:rsidRDefault="00371282">
            <w:pPr>
              <w:pStyle w:val="P68B1DB1-Normal55"/>
              <w:keepNext/>
              <w:spacing w:before="40" w:after="0" w:line="240" w:lineRule="auto"/>
              <w:rPr>
                <w:rFonts w:cs="Times New Roman"/>
                <w:noProof/>
                <w:szCs w:val="18"/>
              </w:rPr>
            </w:pPr>
            <w:r>
              <w:rPr>
                <w:noProof/>
              </w:rPr>
              <w:t>13 - 4.2. Moderniser l'administration publique, notamment en accélérant la mise en œuvre des investissements publics, en améliorant le cadre des marchés publics, les mesures de renforcement des capacités et en luttant contre la corruption - 16702_Renforcer le cadre de lutte contre le blanchiment de capitaux et le financement du terrorisme</w:t>
            </w:r>
          </w:p>
        </w:tc>
        <w:tc>
          <w:tcPr>
            <w:tcW w:w="1680" w:type="dxa"/>
            <w:gridSpan w:val="2"/>
            <w:tcBorders>
              <w:top w:val="nil"/>
              <w:left w:val="nil"/>
              <w:bottom w:val="single" w:sz="4" w:space="0" w:color="auto"/>
              <w:right w:val="single" w:sz="4" w:space="0" w:color="auto"/>
            </w:tcBorders>
            <w:shd w:val="clear" w:color="auto" w:fill="C6EFCE"/>
            <w:noWrap/>
            <w:vAlign w:val="center"/>
          </w:tcPr>
          <w:p w14:paraId="3DC1ABDB" w14:textId="77777777" w:rsidR="00A00259" w:rsidRDefault="00371282">
            <w:pPr>
              <w:pStyle w:val="P68B1DB1-Normal55"/>
              <w:keepNext/>
              <w:spacing w:before="40" w:after="0" w:line="240" w:lineRule="auto"/>
              <w:rPr>
                <w:rFonts w:cs="Times New Roman"/>
                <w:noProof/>
                <w:szCs w:val="18"/>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49EABA4A" w14:textId="77777777" w:rsidR="00A00259" w:rsidRDefault="00371282">
            <w:pPr>
              <w:pStyle w:val="P68B1DB1-Normal55"/>
              <w:keepNext/>
              <w:spacing w:before="40" w:after="0" w:line="240" w:lineRule="auto"/>
              <w:rPr>
                <w:rFonts w:cs="Times New Roman"/>
                <w:noProof/>
                <w:szCs w:val="18"/>
              </w:rPr>
            </w:pPr>
            <w:r>
              <w:rPr>
                <w:noProof/>
              </w:rPr>
              <w:t>Cadre renforcé de lutte contre le blanchiment de capitaux et le financement du terrorisme</w:t>
            </w:r>
          </w:p>
        </w:tc>
      </w:tr>
      <w:tr w:rsidR="00A00259" w14:paraId="38C44B13"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991D678" w14:textId="77777777" w:rsidR="00A00259" w:rsidRDefault="00371282">
            <w:pPr>
              <w:pStyle w:val="P68B1DB1-Normal55"/>
              <w:keepNext/>
              <w:spacing w:before="40" w:after="0" w:line="240" w:lineRule="auto"/>
              <w:rPr>
                <w:rFonts w:eastAsia="Times New Roman" w:cs="Times New Roman"/>
                <w:bCs/>
                <w:noProof/>
                <w:szCs w:val="18"/>
              </w:rPr>
            </w:pPr>
            <w:r>
              <w:rPr>
                <w:noProof/>
              </w:rPr>
              <w:t>216</w:t>
            </w:r>
          </w:p>
        </w:tc>
        <w:tc>
          <w:tcPr>
            <w:tcW w:w="5193" w:type="dxa"/>
            <w:gridSpan w:val="2"/>
            <w:tcBorders>
              <w:top w:val="nil"/>
              <w:left w:val="nil"/>
              <w:bottom w:val="single" w:sz="4" w:space="0" w:color="auto"/>
              <w:right w:val="single" w:sz="4" w:space="0" w:color="auto"/>
            </w:tcBorders>
            <w:shd w:val="clear" w:color="auto" w:fill="C6EFCE"/>
            <w:noWrap/>
            <w:vAlign w:val="center"/>
          </w:tcPr>
          <w:p w14:paraId="0ADD8400" w14:textId="77777777" w:rsidR="00A00259" w:rsidRDefault="00371282">
            <w:pPr>
              <w:pStyle w:val="P68B1DB1-Normal55"/>
              <w:keepNext/>
              <w:spacing w:before="40" w:after="0" w:line="240" w:lineRule="auto"/>
              <w:rPr>
                <w:rFonts w:eastAsia="Times New Roman" w:cs="Times New Roman"/>
                <w:bCs/>
                <w:noProof/>
                <w:szCs w:val="18"/>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- 16711_Professionnalisation du domaine des marchés publics</w:t>
            </w:r>
          </w:p>
        </w:tc>
        <w:tc>
          <w:tcPr>
            <w:tcW w:w="1680" w:type="dxa"/>
            <w:gridSpan w:val="2"/>
            <w:tcBorders>
              <w:top w:val="nil"/>
              <w:left w:val="nil"/>
              <w:bottom w:val="single" w:sz="4" w:space="0" w:color="auto"/>
              <w:right w:val="single" w:sz="4" w:space="0" w:color="auto"/>
            </w:tcBorders>
            <w:shd w:val="clear" w:color="auto" w:fill="C6EFCE"/>
            <w:noWrap/>
            <w:vAlign w:val="center"/>
          </w:tcPr>
          <w:p w14:paraId="6F1DB5A2" w14:textId="77777777" w:rsidR="00A00259" w:rsidRDefault="00371282">
            <w:pPr>
              <w:pStyle w:val="P68B1DB1-Normal55"/>
              <w:keepNext/>
              <w:spacing w:before="40" w:after="0" w:line="240" w:lineRule="auto"/>
              <w:rPr>
                <w:rFonts w:eastAsia="Times New Roman" w:cs="Times New Roman"/>
                <w:noProof/>
                <w:szCs w:val="18"/>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61CE0C8C" w14:textId="77777777" w:rsidR="00A00259" w:rsidRDefault="00371282">
            <w:pPr>
              <w:pStyle w:val="P68B1DB1-Normal55"/>
              <w:keepNext/>
              <w:spacing w:before="40" w:after="0" w:line="240" w:lineRule="auto"/>
              <w:rPr>
                <w:rFonts w:eastAsia="Times New Roman" w:cs="Times New Roman"/>
                <w:noProof/>
                <w:szCs w:val="18"/>
              </w:rPr>
            </w:pPr>
            <w:r>
              <w:rPr>
                <w:noProof/>
              </w:rPr>
              <w:t>Professionnalisation du domaine des marchés publics - nouvelle législation</w:t>
            </w:r>
          </w:p>
        </w:tc>
      </w:tr>
      <w:tr w:rsidR="00A00259" w14:paraId="18067DCA"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5D80E72D" w14:textId="77777777" w:rsidR="00A00259" w:rsidRDefault="00371282">
            <w:pPr>
              <w:pStyle w:val="P68B1DB1-Normal55"/>
              <w:keepNext/>
              <w:spacing w:before="40" w:after="0" w:line="240" w:lineRule="auto"/>
              <w:rPr>
                <w:noProof/>
              </w:rPr>
            </w:pPr>
            <w:r>
              <w:rPr>
                <w:noProof/>
              </w:rPr>
              <w:t>234</w:t>
            </w:r>
          </w:p>
        </w:tc>
        <w:tc>
          <w:tcPr>
            <w:tcW w:w="5193" w:type="dxa"/>
            <w:gridSpan w:val="2"/>
            <w:tcBorders>
              <w:top w:val="nil"/>
              <w:left w:val="nil"/>
              <w:bottom w:val="single" w:sz="4" w:space="0" w:color="auto"/>
              <w:right w:val="single" w:sz="4" w:space="0" w:color="auto"/>
            </w:tcBorders>
            <w:shd w:val="clear" w:color="auto" w:fill="C6EFCE"/>
            <w:noWrap/>
            <w:vAlign w:val="center"/>
          </w:tcPr>
          <w:p w14:paraId="353189EE" w14:textId="77777777" w:rsidR="00A00259" w:rsidRDefault="00371282">
            <w:pPr>
              <w:pStyle w:val="P68B1DB1-Normal55"/>
              <w:keepNext/>
              <w:spacing w:before="40" w:after="0" w:line="240" w:lineRule="auto"/>
              <w:rPr>
                <w:noProof/>
              </w:rPr>
            </w:pPr>
            <w:r>
              <w:rPr>
                <w:noProof/>
              </w:rPr>
              <w:t>14 - 4.3. Améliorer l’efficacité du système judiciaire – 16575 Accélérer l’administration de la justice</w:t>
            </w:r>
          </w:p>
        </w:tc>
        <w:tc>
          <w:tcPr>
            <w:tcW w:w="1680" w:type="dxa"/>
            <w:gridSpan w:val="2"/>
            <w:tcBorders>
              <w:top w:val="nil"/>
              <w:left w:val="nil"/>
              <w:bottom w:val="single" w:sz="4" w:space="0" w:color="auto"/>
              <w:right w:val="single" w:sz="4" w:space="0" w:color="auto"/>
            </w:tcBorders>
            <w:shd w:val="clear" w:color="auto" w:fill="C6EFCE"/>
            <w:noWrap/>
            <w:vAlign w:val="center"/>
          </w:tcPr>
          <w:p w14:paraId="48854E78" w14:textId="77777777" w:rsidR="00A00259" w:rsidRDefault="00371282">
            <w:pPr>
              <w:pStyle w:val="P68B1DB1-Normal55"/>
              <w:keepNext/>
              <w:spacing w:before="40" w:after="0" w:line="240" w:lineRule="auto"/>
              <w:rPr>
                <w:noProof/>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3D2037B9" w14:textId="77777777" w:rsidR="00A00259" w:rsidRDefault="00371282">
            <w:pPr>
              <w:pStyle w:val="P68B1DB1-Normal55"/>
              <w:keepNext/>
              <w:spacing w:before="40" w:after="0" w:line="240" w:lineRule="auto"/>
              <w:rPr>
                <w:noProof/>
              </w:rPr>
            </w:pPr>
            <w:r>
              <w:rPr>
                <w:noProof/>
              </w:rPr>
              <w:t>Justice Police Opérationnelle</w:t>
            </w:r>
          </w:p>
        </w:tc>
      </w:tr>
      <w:tr w:rsidR="00A00259" w14:paraId="25378F6B"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C147018" w14:textId="77777777" w:rsidR="00A00259" w:rsidRDefault="00371282">
            <w:pPr>
              <w:pStyle w:val="P68B1DB1-Normal55"/>
              <w:keepNext/>
              <w:spacing w:before="40" w:after="0" w:line="240" w:lineRule="auto"/>
              <w:rPr>
                <w:rFonts w:cs="Times New Roman"/>
                <w:noProof/>
                <w:szCs w:val="18"/>
              </w:rPr>
            </w:pPr>
            <w:r>
              <w:rPr>
                <w:noProof/>
              </w:rPr>
              <w:t>244a</w:t>
            </w:r>
          </w:p>
        </w:tc>
        <w:tc>
          <w:tcPr>
            <w:tcW w:w="5193" w:type="dxa"/>
            <w:gridSpan w:val="2"/>
            <w:tcBorders>
              <w:top w:val="nil"/>
              <w:left w:val="nil"/>
              <w:bottom w:val="single" w:sz="4" w:space="0" w:color="auto"/>
              <w:right w:val="single" w:sz="4" w:space="0" w:color="auto"/>
            </w:tcBorders>
            <w:shd w:val="clear" w:color="auto" w:fill="C6EFCE"/>
            <w:noWrap/>
            <w:vAlign w:val="center"/>
          </w:tcPr>
          <w:p w14:paraId="471D2E06" w14:textId="77777777" w:rsidR="00A00259" w:rsidRDefault="00371282">
            <w:pPr>
              <w:pStyle w:val="P68B1DB1-Normal55"/>
              <w:keepNext/>
              <w:spacing w:before="40" w:after="0" w:line="240" w:lineRule="auto"/>
              <w:rPr>
                <w:rFonts w:cs="Times New Roman"/>
                <w:noProof/>
                <w:szCs w:val="18"/>
              </w:rPr>
            </w:pPr>
            <w:r>
              <w:rPr>
                <w:noProof/>
              </w:rPr>
              <w:t>15 - 4.4. 16957_Renforcer la capacité du système financier à relever les défis hérités du passé et à financer l'économie réelle</w:t>
            </w:r>
          </w:p>
        </w:tc>
        <w:tc>
          <w:tcPr>
            <w:tcW w:w="1680" w:type="dxa"/>
            <w:gridSpan w:val="2"/>
            <w:tcBorders>
              <w:top w:val="nil"/>
              <w:left w:val="nil"/>
              <w:bottom w:val="single" w:sz="4" w:space="0" w:color="auto"/>
              <w:right w:val="single" w:sz="4" w:space="0" w:color="auto"/>
            </w:tcBorders>
            <w:shd w:val="clear" w:color="auto" w:fill="C6EFCE"/>
            <w:noWrap/>
            <w:vAlign w:val="center"/>
          </w:tcPr>
          <w:p w14:paraId="457B65D6" w14:textId="77777777" w:rsidR="00A00259" w:rsidRDefault="00371282">
            <w:pPr>
              <w:pStyle w:val="P68B1DB1-Normal55"/>
              <w:keepNext/>
              <w:spacing w:before="40" w:after="0" w:line="240" w:lineRule="auto"/>
              <w:rPr>
                <w:rFonts w:cs="Times New Roman"/>
                <w:noProof/>
                <w:szCs w:val="18"/>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29FE8B6D" w14:textId="77777777" w:rsidR="00A00259" w:rsidRDefault="00371282">
            <w:pPr>
              <w:pStyle w:val="P68B1DB1-Normal55"/>
              <w:keepNext/>
              <w:spacing w:before="40" w:after="0" w:line="240" w:lineRule="auto"/>
              <w:rPr>
                <w:rFonts w:cs="Times New Roman"/>
                <w:noProof/>
                <w:szCs w:val="18"/>
              </w:rPr>
            </w:pPr>
            <w:r>
              <w:rPr>
                <w:noProof/>
              </w:rPr>
              <w:t>Enchères électroniques pour le recouvrement de créances</w:t>
            </w:r>
          </w:p>
        </w:tc>
      </w:tr>
      <w:tr w:rsidR="00A00259" w14:paraId="20C27F6E"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5F85C5E6" w14:textId="77777777" w:rsidR="00A00259" w:rsidRDefault="00371282">
            <w:pPr>
              <w:pStyle w:val="P68B1DB1-Normal55"/>
              <w:keepNext/>
              <w:spacing w:before="40" w:after="0" w:line="240" w:lineRule="auto"/>
              <w:rPr>
                <w:noProof/>
              </w:rPr>
            </w:pPr>
            <w:r>
              <w:rPr>
                <w:noProof/>
              </w:rPr>
              <w:t>235</w:t>
            </w:r>
          </w:p>
        </w:tc>
        <w:tc>
          <w:tcPr>
            <w:tcW w:w="5193" w:type="dxa"/>
            <w:gridSpan w:val="2"/>
            <w:tcBorders>
              <w:top w:val="nil"/>
              <w:left w:val="nil"/>
              <w:bottom w:val="single" w:sz="4" w:space="0" w:color="auto"/>
              <w:right w:val="single" w:sz="4" w:space="0" w:color="auto"/>
            </w:tcBorders>
            <w:shd w:val="clear" w:color="auto" w:fill="C6EFCE"/>
            <w:noWrap/>
            <w:vAlign w:val="center"/>
          </w:tcPr>
          <w:p w14:paraId="2A05F414" w14:textId="77777777" w:rsidR="00A00259" w:rsidRDefault="00371282">
            <w:pPr>
              <w:pStyle w:val="P68B1DB1-Normal55"/>
              <w:keepNext/>
              <w:spacing w:before="40" w:after="0" w:line="240" w:lineRule="auto"/>
              <w:rPr>
                <w:noProof/>
              </w:rPr>
            </w:pPr>
            <w:r>
              <w:rPr>
                <w:noProof/>
              </w:rPr>
              <w:t>14 - 4.3. «Améliorer l'efficacité du système judiciaire» - 16733_Compétences et compétences numériques des juges et du personnel judiciaire (personnel judiciaire)</w:t>
            </w:r>
          </w:p>
        </w:tc>
        <w:tc>
          <w:tcPr>
            <w:tcW w:w="1680" w:type="dxa"/>
            <w:gridSpan w:val="2"/>
            <w:tcBorders>
              <w:top w:val="nil"/>
              <w:left w:val="nil"/>
              <w:bottom w:val="single" w:sz="4" w:space="0" w:color="auto"/>
              <w:right w:val="single" w:sz="4" w:space="0" w:color="auto"/>
            </w:tcBorders>
            <w:shd w:val="clear" w:color="auto" w:fill="C6EFCE"/>
            <w:noWrap/>
            <w:vAlign w:val="center"/>
          </w:tcPr>
          <w:p w14:paraId="41716FD8" w14:textId="77777777" w:rsidR="00A00259" w:rsidRDefault="00371282">
            <w:pPr>
              <w:pStyle w:val="P68B1DB1-Normal55"/>
              <w:keepNext/>
              <w:spacing w:before="40" w:after="0" w:line="240" w:lineRule="auto"/>
              <w:rPr>
                <w:noProof/>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37DC7D5F" w14:textId="77777777" w:rsidR="00A00259" w:rsidRDefault="00371282">
            <w:pPr>
              <w:pStyle w:val="P68B1DB1-Normal55"/>
              <w:keepNext/>
              <w:spacing w:before="40" w:after="0" w:line="240" w:lineRule="auto"/>
              <w:rPr>
                <w:noProof/>
              </w:rPr>
            </w:pPr>
            <w:r>
              <w:rPr>
                <w:noProof/>
              </w:rPr>
              <w:t>Formation – Juges et greffiers</w:t>
            </w:r>
          </w:p>
        </w:tc>
      </w:tr>
      <w:tr w:rsidR="00A00259" w14:paraId="3884363B"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09F513C" w14:textId="77777777" w:rsidR="00A00259" w:rsidRDefault="00371282">
            <w:pPr>
              <w:pStyle w:val="P68B1DB1-Normal55"/>
              <w:keepNext/>
              <w:spacing w:before="40" w:after="0" w:line="240" w:lineRule="auto"/>
              <w:rPr>
                <w:rFonts w:cs="Times New Roman"/>
                <w:noProof/>
                <w:szCs w:val="18"/>
              </w:rPr>
            </w:pPr>
            <w:r>
              <w:rPr>
                <w:noProof/>
              </w:rPr>
              <w:t>244b</w:t>
            </w:r>
          </w:p>
        </w:tc>
        <w:tc>
          <w:tcPr>
            <w:tcW w:w="5193" w:type="dxa"/>
            <w:gridSpan w:val="2"/>
            <w:tcBorders>
              <w:top w:val="nil"/>
              <w:left w:val="nil"/>
              <w:bottom w:val="single" w:sz="4" w:space="0" w:color="auto"/>
              <w:right w:val="single" w:sz="4" w:space="0" w:color="auto"/>
            </w:tcBorders>
            <w:shd w:val="clear" w:color="auto" w:fill="C6EFCE"/>
            <w:noWrap/>
            <w:vAlign w:val="center"/>
          </w:tcPr>
          <w:p w14:paraId="5AFC666D" w14:textId="77777777" w:rsidR="00A00259" w:rsidRDefault="00371282">
            <w:pPr>
              <w:pStyle w:val="P68B1DB1-Normal55"/>
              <w:keepNext/>
              <w:spacing w:before="40" w:after="0" w:line="240" w:lineRule="auto"/>
              <w:rPr>
                <w:rFonts w:cs="Times New Roman"/>
                <w:noProof/>
                <w:szCs w:val="18"/>
              </w:rPr>
            </w:pPr>
            <w:r>
              <w:rPr>
                <w:noProof/>
              </w:rPr>
              <w:t>15 - 4.4. 16957_Renforcer la capacité du système financier à relever les défis hérités du passé et à financer l'économie réelle</w:t>
            </w:r>
          </w:p>
        </w:tc>
        <w:tc>
          <w:tcPr>
            <w:tcW w:w="1680" w:type="dxa"/>
            <w:gridSpan w:val="2"/>
            <w:tcBorders>
              <w:top w:val="nil"/>
              <w:left w:val="nil"/>
              <w:bottom w:val="single" w:sz="4" w:space="0" w:color="auto"/>
              <w:right w:val="single" w:sz="4" w:space="0" w:color="auto"/>
            </w:tcBorders>
            <w:shd w:val="clear" w:color="auto" w:fill="C6EFCE"/>
            <w:noWrap/>
            <w:vAlign w:val="center"/>
          </w:tcPr>
          <w:p w14:paraId="1FF25890" w14:textId="77777777" w:rsidR="00A00259" w:rsidRDefault="00371282">
            <w:pPr>
              <w:pStyle w:val="P68B1DB1-Normal55"/>
              <w:keepNext/>
              <w:spacing w:before="40" w:after="0" w:line="240" w:lineRule="auto"/>
              <w:rPr>
                <w:rFonts w:cs="Times New Roman"/>
                <w:noProof/>
                <w:szCs w:val="18"/>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2F3C548B" w14:textId="77777777" w:rsidR="00A00259" w:rsidRDefault="00371282">
            <w:pPr>
              <w:pStyle w:val="P68B1DB1-Normal55"/>
              <w:keepNext/>
              <w:spacing w:before="40" w:after="0" w:line="240" w:lineRule="auto"/>
              <w:rPr>
                <w:rFonts w:cs="Times New Roman"/>
                <w:noProof/>
                <w:szCs w:val="18"/>
              </w:rPr>
            </w:pPr>
            <w:r>
              <w:rPr>
                <w:noProof/>
              </w:rPr>
              <w:t xml:space="preserve">Attribution de marchés pour des mesures dans le secteur financier </w:t>
            </w:r>
          </w:p>
        </w:tc>
      </w:tr>
      <w:tr w:rsidR="00A00259" w14:paraId="05EF4DC3"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3215830" w14:textId="77777777" w:rsidR="00A00259" w:rsidRDefault="00371282">
            <w:pPr>
              <w:pStyle w:val="P68B1DB1-Normal55"/>
              <w:keepNext/>
              <w:spacing w:before="40" w:after="0" w:line="240" w:lineRule="auto"/>
              <w:rPr>
                <w:rFonts w:cs="Times New Roman"/>
                <w:noProof/>
                <w:szCs w:val="18"/>
              </w:rPr>
            </w:pPr>
            <w:r>
              <w:rPr>
                <w:noProof/>
              </w:rPr>
              <w:t>247</w:t>
            </w:r>
          </w:p>
        </w:tc>
        <w:tc>
          <w:tcPr>
            <w:tcW w:w="5193" w:type="dxa"/>
            <w:gridSpan w:val="2"/>
            <w:tcBorders>
              <w:top w:val="nil"/>
              <w:left w:val="nil"/>
              <w:bottom w:val="single" w:sz="4" w:space="0" w:color="auto"/>
              <w:right w:val="single" w:sz="4" w:space="0" w:color="auto"/>
            </w:tcBorders>
            <w:shd w:val="clear" w:color="auto" w:fill="C6EFCE"/>
            <w:noWrap/>
            <w:vAlign w:val="center"/>
          </w:tcPr>
          <w:p w14:paraId="714112B6" w14:textId="77777777" w:rsidR="00A00259" w:rsidRDefault="00371282">
            <w:pPr>
              <w:pStyle w:val="P68B1DB1-Normal55"/>
              <w:keepNext/>
              <w:spacing w:before="40" w:after="0" w:line="240" w:lineRule="auto"/>
              <w:rPr>
                <w:rFonts w:cs="Times New Roman"/>
                <w:noProof/>
                <w:szCs w:val="18"/>
              </w:rPr>
            </w:pPr>
            <w:r>
              <w:rPr>
                <w:noProof/>
              </w:rPr>
              <w:t>16 - 4.5. Promouvoir la recherche et l'innovation - 16624_Création - Expansion - Mise à niveau des infrastructures des centres de recherche supervisée par le Secrétariat général à la recherche et à l'innovation (GSRI)</w:t>
            </w:r>
          </w:p>
        </w:tc>
        <w:tc>
          <w:tcPr>
            <w:tcW w:w="1680" w:type="dxa"/>
            <w:gridSpan w:val="2"/>
            <w:tcBorders>
              <w:top w:val="nil"/>
              <w:left w:val="nil"/>
              <w:bottom w:val="single" w:sz="4" w:space="0" w:color="auto"/>
              <w:right w:val="single" w:sz="4" w:space="0" w:color="auto"/>
            </w:tcBorders>
            <w:shd w:val="clear" w:color="auto" w:fill="C6EFCE"/>
            <w:noWrap/>
            <w:vAlign w:val="center"/>
          </w:tcPr>
          <w:p w14:paraId="6877B1D2" w14:textId="77777777" w:rsidR="00A00259" w:rsidRDefault="00371282">
            <w:pPr>
              <w:pStyle w:val="P68B1DB1-Normal55"/>
              <w:keepNext/>
              <w:spacing w:before="40" w:after="0" w:line="240" w:lineRule="auto"/>
              <w:rPr>
                <w:rFonts w:cs="Times New Roman"/>
                <w:noProof/>
                <w:szCs w:val="18"/>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52EDC018" w14:textId="77777777" w:rsidR="00A00259" w:rsidRDefault="00371282">
            <w:pPr>
              <w:pStyle w:val="P68B1DB1-Normal55"/>
              <w:keepNext/>
              <w:spacing w:before="40" w:after="0" w:line="240" w:lineRule="auto"/>
              <w:rPr>
                <w:rFonts w:cs="Times New Roman"/>
                <w:noProof/>
                <w:szCs w:val="18"/>
              </w:rPr>
            </w:pPr>
            <w:r>
              <w:rPr>
                <w:noProof/>
              </w:rPr>
              <w:t>Attribution de marchés pour des centres de recherche - travaux de construction</w:t>
            </w:r>
          </w:p>
        </w:tc>
      </w:tr>
      <w:tr w:rsidR="00A00259" w14:paraId="5A24864C"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886DAAD" w14:textId="77777777" w:rsidR="00A00259" w:rsidRDefault="00371282">
            <w:pPr>
              <w:pStyle w:val="P68B1DB1-Normal55"/>
              <w:keepNext/>
              <w:spacing w:before="40" w:after="0" w:line="240" w:lineRule="auto"/>
              <w:rPr>
                <w:rFonts w:cs="Times New Roman"/>
                <w:noProof/>
                <w:szCs w:val="18"/>
              </w:rPr>
            </w:pPr>
            <w:r>
              <w:rPr>
                <w:noProof/>
              </w:rPr>
              <w:t>248</w:t>
            </w:r>
          </w:p>
        </w:tc>
        <w:tc>
          <w:tcPr>
            <w:tcW w:w="5193" w:type="dxa"/>
            <w:gridSpan w:val="2"/>
            <w:tcBorders>
              <w:top w:val="nil"/>
              <w:left w:val="nil"/>
              <w:bottom w:val="single" w:sz="4" w:space="0" w:color="auto"/>
              <w:right w:val="single" w:sz="4" w:space="0" w:color="auto"/>
            </w:tcBorders>
            <w:shd w:val="clear" w:color="auto" w:fill="C6EFCE"/>
            <w:noWrap/>
            <w:vAlign w:val="center"/>
          </w:tcPr>
          <w:p w14:paraId="787FF875" w14:textId="77777777" w:rsidR="00A00259" w:rsidRDefault="00371282">
            <w:pPr>
              <w:pStyle w:val="P68B1DB1-Normal55"/>
              <w:keepNext/>
              <w:spacing w:before="40" w:after="0" w:line="240" w:lineRule="auto"/>
              <w:rPr>
                <w:rFonts w:cs="Times New Roman"/>
                <w:noProof/>
                <w:szCs w:val="18"/>
              </w:rPr>
            </w:pPr>
            <w:r>
              <w:rPr>
                <w:noProof/>
              </w:rPr>
              <w:t>16 - 4.5. Promouvoir la recherche et l'innovation - 16654_TH 2 ORAX: Trellis Holistic &amp; Système eXemplaire autonome robuste et opérationnel hybride</w:t>
            </w:r>
          </w:p>
        </w:tc>
        <w:tc>
          <w:tcPr>
            <w:tcW w:w="1680" w:type="dxa"/>
            <w:gridSpan w:val="2"/>
            <w:tcBorders>
              <w:top w:val="nil"/>
              <w:left w:val="nil"/>
              <w:bottom w:val="single" w:sz="4" w:space="0" w:color="auto"/>
              <w:right w:val="single" w:sz="4" w:space="0" w:color="auto"/>
            </w:tcBorders>
            <w:shd w:val="clear" w:color="auto" w:fill="C6EFCE"/>
            <w:noWrap/>
            <w:vAlign w:val="center"/>
          </w:tcPr>
          <w:p w14:paraId="606BA9FF" w14:textId="77777777" w:rsidR="00A00259" w:rsidRDefault="00371282">
            <w:pPr>
              <w:pStyle w:val="P68B1DB1-Normal55"/>
              <w:keepNext/>
              <w:spacing w:before="40" w:after="0" w:line="240" w:lineRule="auto"/>
              <w:rPr>
                <w:rFonts w:cs="Times New Roman"/>
                <w:noProof/>
                <w:szCs w:val="18"/>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1D658177" w14:textId="77777777" w:rsidR="00A00259" w:rsidRDefault="00371282">
            <w:pPr>
              <w:pStyle w:val="P68B1DB1-Normal55"/>
              <w:keepNext/>
              <w:spacing w:before="40" w:after="0" w:line="240" w:lineRule="auto"/>
              <w:rPr>
                <w:rFonts w:cs="Times New Roman"/>
                <w:noProof/>
                <w:szCs w:val="18"/>
              </w:rPr>
            </w:pPr>
            <w:r>
              <w:rPr>
                <w:noProof/>
              </w:rPr>
              <w:t>Attribution des marchés pour TH²ORAX</w:t>
            </w:r>
          </w:p>
        </w:tc>
      </w:tr>
      <w:tr w:rsidR="00A00259" w14:paraId="2788BA06"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6410A2B" w14:textId="77777777" w:rsidR="00A00259" w:rsidRDefault="00371282">
            <w:pPr>
              <w:pStyle w:val="P68B1DB1-Normal55"/>
              <w:keepNext/>
              <w:spacing w:before="40" w:after="0" w:line="240" w:lineRule="auto"/>
              <w:rPr>
                <w:rFonts w:eastAsia="Times New Roman" w:cs="Times New Roman"/>
                <w:bCs/>
                <w:noProof/>
                <w:szCs w:val="18"/>
              </w:rPr>
            </w:pPr>
            <w:r>
              <w:rPr>
                <w:noProof/>
              </w:rPr>
              <w:t>258</w:t>
            </w:r>
          </w:p>
        </w:tc>
        <w:tc>
          <w:tcPr>
            <w:tcW w:w="5193" w:type="dxa"/>
            <w:gridSpan w:val="2"/>
            <w:tcBorders>
              <w:top w:val="nil"/>
              <w:left w:val="nil"/>
              <w:bottom w:val="single" w:sz="4" w:space="0" w:color="auto"/>
              <w:right w:val="single" w:sz="4" w:space="0" w:color="auto"/>
            </w:tcBorders>
            <w:shd w:val="clear" w:color="auto" w:fill="C6EFCE"/>
            <w:noWrap/>
            <w:vAlign w:val="center"/>
          </w:tcPr>
          <w:p w14:paraId="482FF76D" w14:textId="77777777" w:rsidR="00A00259" w:rsidRDefault="00371282">
            <w:pPr>
              <w:pStyle w:val="P68B1DB1-Normal55"/>
              <w:keepNext/>
              <w:spacing w:before="40" w:after="0" w:line="240" w:lineRule="auto"/>
              <w:rPr>
                <w:rFonts w:eastAsia="Times New Roman" w:cs="Times New Roman"/>
                <w:bCs/>
                <w:noProof/>
                <w:szCs w:val="18"/>
              </w:rPr>
            </w:pPr>
            <w:r>
              <w:rPr>
                <w:noProof/>
              </w:rPr>
              <w:t>17 - 4.6. Moderniser et améliorer la résilience des secteurs économiques clés - 16631_Renforcement de la sécurité routière</w:t>
            </w:r>
          </w:p>
        </w:tc>
        <w:tc>
          <w:tcPr>
            <w:tcW w:w="1680" w:type="dxa"/>
            <w:gridSpan w:val="2"/>
            <w:tcBorders>
              <w:top w:val="nil"/>
              <w:left w:val="nil"/>
              <w:bottom w:val="single" w:sz="4" w:space="0" w:color="auto"/>
              <w:right w:val="single" w:sz="4" w:space="0" w:color="auto"/>
            </w:tcBorders>
            <w:shd w:val="clear" w:color="auto" w:fill="C6EFCE"/>
            <w:noWrap/>
            <w:vAlign w:val="center"/>
          </w:tcPr>
          <w:p w14:paraId="7333E856" w14:textId="77777777" w:rsidR="00A00259" w:rsidRDefault="00371282">
            <w:pPr>
              <w:pStyle w:val="P68B1DB1-Normal55"/>
              <w:keepNext/>
              <w:spacing w:before="40" w:after="0" w:line="240" w:lineRule="auto"/>
              <w:rPr>
                <w:rFonts w:eastAsia="Times New Roman" w:cs="Times New Roman"/>
                <w:noProof/>
                <w:szCs w:val="18"/>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29651FFB" w14:textId="77777777" w:rsidR="00A00259" w:rsidRDefault="00371282">
            <w:pPr>
              <w:pStyle w:val="P68B1DB1-Normal55"/>
              <w:keepNext/>
              <w:spacing w:before="40" w:after="0" w:line="240" w:lineRule="auto"/>
              <w:rPr>
                <w:rFonts w:eastAsia="Times New Roman" w:cs="Times New Roman"/>
                <w:noProof/>
                <w:szCs w:val="18"/>
              </w:rPr>
            </w:pPr>
            <w:r>
              <w:rPr>
                <w:noProof/>
              </w:rPr>
              <w:t>Attribution du marché pour la sécurité routière – tous les marchés</w:t>
            </w:r>
          </w:p>
        </w:tc>
      </w:tr>
      <w:tr w:rsidR="00A00259" w14:paraId="55A0948F"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35549DA" w14:textId="77777777" w:rsidR="00A00259" w:rsidRDefault="00371282">
            <w:pPr>
              <w:pStyle w:val="P68B1DB1-Normal55"/>
              <w:keepNext/>
              <w:spacing w:before="40" w:after="0" w:line="240" w:lineRule="auto"/>
              <w:rPr>
                <w:rFonts w:cs="Times New Roman"/>
                <w:noProof/>
                <w:szCs w:val="18"/>
              </w:rPr>
            </w:pPr>
            <w:r>
              <w:rPr>
                <w:noProof/>
              </w:rPr>
              <w:t>268</w:t>
            </w:r>
          </w:p>
        </w:tc>
        <w:tc>
          <w:tcPr>
            <w:tcW w:w="5193" w:type="dxa"/>
            <w:gridSpan w:val="2"/>
            <w:tcBorders>
              <w:top w:val="nil"/>
              <w:left w:val="nil"/>
              <w:bottom w:val="single" w:sz="4" w:space="0" w:color="auto"/>
              <w:right w:val="single" w:sz="4" w:space="0" w:color="auto"/>
            </w:tcBorders>
            <w:shd w:val="clear" w:color="auto" w:fill="C6EFCE"/>
            <w:noWrap/>
            <w:vAlign w:val="center"/>
          </w:tcPr>
          <w:p w14:paraId="39FF0996" w14:textId="77777777" w:rsidR="00A00259" w:rsidRDefault="00371282">
            <w:pPr>
              <w:pStyle w:val="P68B1DB1-Normal55"/>
              <w:keepNext/>
              <w:spacing w:before="40" w:after="0" w:line="240" w:lineRule="auto"/>
              <w:rPr>
                <w:rFonts w:cs="Times New Roman"/>
                <w:noProof/>
                <w:szCs w:val="18"/>
              </w:rPr>
            </w:pPr>
            <w:r>
              <w:rPr>
                <w:noProof/>
              </w:rPr>
              <w:t>17 - 4.6. Moderniser et améliorer la résilience des secteurs économiques clés - 16982_Réforme organisationnelle dans le secteur ferroviaire</w:t>
            </w:r>
          </w:p>
        </w:tc>
        <w:tc>
          <w:tcPr>
            <w:tcW w:w="1680" w:type="dxa"/>
            <w:gridSpan w:val="2"/>
            <w:tcBorders>
              <w:top w:val="nil"/>
              <w:left w:val="nil"/>
              <w:bottom w:val="single" w:sz="4" w:space="0" w:color="auto"/>
              <w:right w:val="single" w:sz="4" w:space="0" w:color="auto"/>
            </w:tcBorders>
            <w:shd w:val="clear" w:color="auto" w:fill="C6EFCE"/>
            <w:noWrap/>
            <w:vAlign w:val="center"/>
          </w:tcPr>
          <w:p w14:paraId="081F8DB9" w14:textId="77777777" w:rsidR="00A00259" w:rsidRDefault="00371282">
            <w:pPr>
              <w:pStyle w:val="P68B1DB1-Normal55"/>
              <w:keepNext/>
              <w:spacing w:before="40" w:after="0" w:line="240" w:lineRule="auto"/>
              <w:rPr>
                <w:rFonts w:cs="Times New Roman"/>
                <w:noProof/>
                <w:szCs w:val="18"/>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3D8C9799" w14:textId="77777777" w:rsidR="00A00259" w:rsidRDefault="00371282">
            <w:pPr>
              <w:pStyle w:val="P68B1DB1-Normal11"/>
              <w:keepNext/>
              <w:spacing w:before="40" w:after="0" w:line="240" w:lineRule="auto"/>
              <w:rPr>
                <w:rFonts w:cs="Times New Roman"/>
                <w:noProof/>
              </w:rPr>
            </w:pPr>
            <w:r>
              <w:rPr>
                <w:noProof/>
              </w:rPr>
              <w:t xml:space="preserve">Plan de mise en œuvre des chemins de fer helléniques </w:t>
            </w:r>
          </w:p>
        </w:tc>
      </w:tr>
      <w:tr w:rsidR="00A00259" w14:paraId="19DB494D"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C7012D6" w14:textId="77777777" w:rsidR="00A00259" w:rsidRDefault="00371282">
            <w:pPr>
              <w:pStyle w:val="P68B1DB1-Normal55"/>
              <w:keepNext/>
              <w:spacing w:before="40" w:after="0" w:line="240" w:lineRule="auto"/>
              <w:rPr>
                <w:rFonts w:cs="Times New Roman"/>
                <w:noProof/>
                <w:szCs w:val="18"/>
              </w:rPr>
            </w:pPr>
            <w:r>
              <w:rPr>
                <w:noProof/>
              </w:rPr>
              <w:t>295</w:t>
            </w:r>
          </w:p>
        </w:tc>
        <w:tc>
          <w:tcPr>
            <w:tcW w:w="5193" w:type="dxa"/>
            <w:gridSpan w:val="2"/>
            <w:tcBorders>
              <w:top w:val="nil"/>
              <w:left w:val="nil"/>
              <w:bottom w:val="single" w:sz="4" w:space="0" w:color="auto"/>
              <w:right w:val="single" w:sz="4" w:space="0" w:color="auto"/>
            </w:tcBorders>
            <w:shd w:val="clear" w:color="auto" w:fill="C6EFCE"/>
            <w:noWrap/>
            <w:vAlign w:val="center"/>
          </w:tcPr>
          <w:p w14:paraId="428F49E6" w14:textId="77777777" w:rsidR="00A00259" w:rsidRDefault="00371282">
            <w:pPr>
              <w:pStyle w:val="P68B1DB1-Normal55"/>
              <w:keepNext/>
              <w:spacing w:before="40" w:after="0" w:line="240" w:lineRule="auto"/>
              <w:rPr>
                <w:rFonts w:cs="Times New Roman"/>
                <w:noProof/>
                <w:szCs w:val="18"/>
              </w:rPr>
            </w:pPr>
            <w:r>
              <w:rPr>
                <w:noProof/>
              </w:rPr>
              <w:t>17 - 4.6. Moderniser et améliorer la résilience des secteurs économiques clés - 16931_Tourisme Développement</w:t>
            </w:r>
          </w:p>
        </w:tc>
        <w:tc>
          <w:tcPr>
            <w:tcW w:w="1680" w:type="dxa"/>
            <w:gridSpan w:val="2"/>
            <w:tcBorders>
              <w:top w:val="nil"/>
              <w:left w:val="nil"/>
              <w:bottom w:val="single" w:sz="4" w:space="0" w:color="auto"/>
              <w:right w:val="single" w:sz="4" w:space="0" w:color="auto"/>
            </w:tcBorders>
            <w:shd w:val="clear" w:color="auto" w:fill="C6EFCE"/>
            <w:noWrap/>
            <w:vAlign w:val="center"/>
          </w:tcPr>
          <w:p w14:paraId="0E12D233" w14:textId="77777777" w:rsidR="00A00259" w:rsidRDefault="00371282">
            <w:pPr>
              <w:pStyle w:val="P68B1DB1-Normal55"/>
              <w:keepNext/>
              <w:spacing w:before="40" w:after="0" w:line="240" w:lineRule="auto"/>
              <w:rPr>
                <w:rFonts w:cs="Times New Roman"/>
                <w:noProof/>
                <w:szCs w:val="18"/>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0316B99C" w14:textId="77777777" w:rsidR="00A00259" w:rsidRDefault="00371282">
            <w:pPr>
              <w:pStyle w:val="P68B1DB1-Normal36"/>
              <w:keepNext/>
              <w:spacing w:before="40" w:after="0" w:line="240" w:lineRule="auto"/>
              <w:rPr>
                <w:rFonts w:ascii="Times New Roman" w:hAnsi="Times New Roman" w:cs="Times New Roman"/>
                <w:noProof/>
                <w:szCs w:val="18"/>
              </w:rPr>
            </w:pPr>
            <w:r>
              <w:rPr>
                <w:rFonts w:ascii="Times New Roman" w:hAnsi="Times New Roman"/>
                <w:noProof/>
              </w:rPr>
              <w:t xml:space="preserve">Développement du tourisme: </w:t>
            </w:r>
            <w:r>
              <w:rPr>
                <w:rFonts w:ascii="Times New Roman" w:hAnsi="Times New Roman" w:cs="Times New Roman"/>
                <w:noProof/>
                <w:szCs w:val="18"/>
              </w:rPr>
              <w:t xml:space="preserve">Publication des décisions d'agrément </w:t>
            </w:r>
            <w:r>
              <w:rPr>
                <w:rFonts w:ascii="Times New Roman" w:hAnsi="Times New Roman"/>
                <w:noProof/>
              </w:rPr>
              <w:t xml:space="preserve"> des ports touristiques</w:t>
            </w:r>
          </w:p>
        </w:tc>
      </w:tr>
      <w:tr w:rsidR="00A00259" w14:paraId="3A3B493F"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C97C839" w14:textId="77777777" w:rsidR="00A00259" w:rsidRDefault="00371282">
            <w:pPr>
              <w:pStyle w:val="P68B1DB1-Normal55"/>
              <w:keepNext/>
              <w:spacing w:before="40" w:after="0" w:line="240" w:lineRule="auto"/>
              <w:rPr>
                <w:rFonts w:cs="Times New Roman"/>
                <w:noProof/>
                <w:szCs w:val="18"/>
              </w:rPr>
            </w:pPr>
            <w:r>
              <w:rPr>
                <w:noProof/>
              </w:rPr>
              <w:t>304</w:t>
            </w:r>
          </w:p>
        </w:tc>
        <w:tc>
          <w:tcPr>
            <w:tcW w:w="5193" w:type="dxa"/>
            <w:gridSpan w:val="2"/>
            <w:tcBorders>
              <w:top w:val="nil"/>
              <w:left w:val="nil"/>
              <w:bottom w:val="single" w:sz="4" w:space="0" w:color="auto"/>
              <w:right w:val="single" w:sz="4" w:space="0" w:color="auto"/>
            </w:tcBorders>
            <w:shd w:val="clear" w:color="auto" w:fill="C6EFCE"/>
            <w:noWrap/>
            <w:vAlign w:val="center"/>
          </w:tcPr>
          <w:p w14:paraId="35E8F47F" w14:textId="77777777" w:rsidR="00A00259" w:rsidRDefault="00371282">
            <w:pPr>
              <w:pStyle w:val="P68B1DB1-Normal55"/>
              <w:keepNext/>
              <w:spacing w:before="40" w:after="0" w:line="240" w:lineRule="auto"/>
              <w:rPr>
                <w:rFonts w:cs="Times New Roman"/>
                <w:noProof/>
                <w:szCs w:val="18"/>
              </w:rPr>
            </w:pPr>
            <w:r>
              <w:rPr>
                <w:noProof/>
              </w:rPr>
              <w:t>17 - 4.6. Moderniser et améliorer la résilience des secteurs économiques clés - 16634_Nouveaux parcs industriels</w:t>
            </w:r>
          </w:p>
        </w:tc>
        <w:tc>
          <w:tcPr>
            <w:tcW w:w="1680" w:type="dxa"/>
            <w:gridSpan w:val="2"/>
            <w:tcBorders>
              <w:top w:val="nil"/>
              <w:left w:val="nil"/>
              <w:bottom w:val="single" w:sz="4" w:space="0" w:color="auto"/>
              <w:right w:val="single" w:sz="4" w:space="0" w:color="auto"/>
            </w:tcBorders>
            <w:shd w:val="clear" w:color="auto" w:fill="C6EFCE"/>
            <w:noWrap/>
            <w:vAlign w:val="center"/>
          </w:tcPr>
          <w:p w14:paraId="44F8720B" w14:textId="77777777" w:rsidR="00A00259" w:rsidRDefault="00371282">
            <w:pPr>
              <w:pStyle w:val="P68B1DB1-Normal55"/>
              <w:keepNext/>
              <w:spacing w:before="40" w:after="0" w:line="240" w:lineRule="auto"/>
              <w:rPr>
                <w:rFonts w:cs="Times New Roman"/>
                <w:noProof/>
                <w:szCs w:val="18"/>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0A3BFBE5" w14:textId="77777777" w:rsidR="00A00259" w:rsidRDefault="00371282">
            <w:pPr>
              <w:pStyle w:val="P68B1DB1-Normal55"/>
              <w:keepNext/>
              <w:spacing w:before="40" w:after="0" w:line="240" w:lineRule="auto"/>
              <w:rPr>
                <w:rFonts w:cs="Times New Roman"/>
                <w:noProof/>
                <w:szCs w:val="18"/>
              </w:rPr>
            </w:pPr>
            <w:r>
              <w:rPr>
                <w:noProof/>
              </w:rPr>
              <w:t>Parcs industriels – réforme législative (législation secondaire)</w:t>
            </w:r>
          </w:p>
        </w:tc>
      </w:tr>
      <w:tr w:rsidR="00A00259" w14:paraId="3C61A35E"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F75D38D" w14:textId="77777777" w:rsidR="00A00259" w:rsidRDefault="00371282">
            <w:pPr>
              <w:pStyle w:val="P68B1DB1-Normal55"/>
              <w:keepNext/>
              <w:spacing w:before="40" w:after="0" w:line="240" w:lineRule="auto"/>
              <w:rPr>
                <w:rFonts w:cs="Times New Roman"/>
                <w:noProof/>
                <w:szCs w:val="18"/>
              </w:rPr>
            </w:pPr>
            <w:r>
              <w:rPr>
                <w:noProof/>
              </w:rPr>
              <w:t>317</w:t>
            </w:r>
          </w:p>
        </w:tc>
        <w:tc>
          <w:tcPr>
            <w:tcW w:w="5193" w:type="dxa"/>
            <w:gridSpan w:val="2"/>
            <w:tcBorders>
              <w:top w:val="nil"/>
              <w:left w:val="nil"/>
              <w:bottom w:val="single" w:sz="4" w:space="0" w:color="auto"/>
              <w:right w:val="single" w:sz="4" w:space="0" w:color="auto"/>
            </w:tcBorders>
            <w:shd w:val="clear" w:color="auto" w:fill="C6EFCE"/>
            <w:noWrap/>
            <w:vAlign w:val="center"/>
          </w:tcPr>
          <w:p w14:paraId="36417DA6" w14:textId="77777777" w:rsidR="00A00259" w:rsidRDefault="00371282">
            <w:pPr>
              <w:pStyle w:val="P68B1DB1-Normal55"/>
              <w:keepNext/>
              <w:spacing w:before="40" w:after="0" w:line="240" w:lineRule="auto"/>
              <w:rPr>
                <w:rFonts w:cs="Times New Roman"/>
                <w:noProof/>
                <w:szCs w:val="18"/>
              </w:rPr>
            </w:pPr>
            <w:r>
              <w:rPr>
                <w:noProof/>
              </w:rPr>
              <w:t>18 - 4.7. Améliorer la compétitivité et promouvoir les investissements privés et les exportations - 16543_Actions pour la simplification de l'environnement des entreprises et son amélioration en matière de qualité et de sécurité</w:t>
            </w:r>
          </w:p>
        </w:tc>
        <w:tc>
          <w:tcPr>
            <w:tcW w:w="1680" w:type="dxa"/>
            <w:gridSpan w:val="2"/>
            <w:tcBorders>
              <w:top w:val="nil"/>
              <w:left w:val="nil"/>
              <w:bottom w:val="single" w:sz="4" w:space="0" w:color="auto"/>
              <w:right w:val="single" w:sz="4" w:space="0" w:color="auto"/>
            </w:tcBorders>
            <w:shd w:val="clear" w:color="auto" w:fill="C6EFCE"/>
            <w:noWrap/>
            <w:vAlign w:val="center"/>
          </w:tcPr>
          <w:p w14:paraId="097E1057" w14:textId="77777777" w:rsidR="00A00259" w:rsidRDefault="00371282">
            <w:pPr>
              <w:pStyle w:val="P68B1DB1-Normal55"/>
              <w:keepNext/>
              <w:spacing w:before="40" w:after="0" w:line="240" w:lineRule="auto"/>
              <w:rPr>
                <w:rFonts w:cs="Times New Roman"/>
                <w:noProof/>
                <w:szCs w:val="18"/>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44459493" w14:textId="77777777" w:rsidR="00A00259" w:rsidRDefault="00371282">
            <w:pPr>
              <w:pStyle w:val="P68B1DB1-Normal55"/>
              <w:keepNext/>
              <w:spacing w:before="40" w:after="0" w:line="240" w:lineRule="auto"/>
              <w:rPr>
                <w:rFonts w:cs="Times New Roman"/>
                <w:noProof/>
                <w:szCs w:val="18"/>
              </w:rPr>
            </w:pPr>
            <w:r>
              <w:rPr>
                <w:noProof/>
              </w:rPr>
              <w:t xml:space="preserve">Mise en place d'une politique de qualité et d'un nouveau cadre réglementaire pour les infrastructures de qualité </w:t>
            </w:r>
          </w:p>
        </w:tc>
      </w:tr>
      <w:tr w:rsidR="00A00259" w14:paraId="7542EEBD"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8C5306F" w14:textId="77777777" w:rsidR="00A00259" w:rsidRDefault="00371282">
            <w:pPr>
              <w:pStyle w:val="P68B1DB1-Normal55"/>
              <w:keepNext/>
              <w:spacing w:before="40" w:after="0" w:line="240" w:lineRule="auto"/>
              <w:rPr>
                <w:rFonts w:eastAsia="Times New Roman" w:cs="Times New Roman"/>
                <w:bCs/>
                <w:noProof/>
                <w:szCs w:val="18"/>
              </w:rPr>
            </w:pPr>
            <w:r>
              <w:rPr>
                <w:noProof/>
              </w:rPr>
              <w:t>318</w:t>
            </w:r>
          </w:p>
        </w:tc>
        <w:tc>
          <w:tcPr>
            <w:tcW w:w="5193" w:type="dxa"/>
            <w:gridSpan w:val="2"/>
            <w:tcBorders>
              <w:top w:val="nil"/>
              <w:left w:val="nil"/>
              <w:bottom w:val="single" w:sz="4" w:space="0" w:color="auto"/>
              <w:right w:val="single" w:sz="4" w:space="0" w:color="auto"/>
            </w:tcBorders>
            <w:shd w:val="clear" w:color="auto" w:fill="C6EFCE"/>
            <w:noWrap/>
            <w:vAlign w:val="center"/>
          </w:tcPr>
          <w:p w14:paraId="0FDFB94A" w14:textId="77777777" w:rsidR="00A00259" w:rsidRDefault="00371282">
            <w:pPr>
              <w:pStyle w:val="P68B1DB1-Normal55"/>
              <w:keepNext/>
              <w:spacing w:before="40" w:after="0" w:line="240" w:lineRule="auto"/>
              <w:rPr>
                <w:rFonts w:eastAsia="Times New Roman" w:cs="Times New Roman"/>
                <w:bCs/>
                <w:noProof/>
                <w:szCs w:val="18"/>
              </w:rPr>
            </w:pPr>
            <w:r>
              <w:rPr>
                <w:noProof/>
              </w:rPr>
              <w:t>18 - 4.7. Améliorer la compétitivité et promouvoir les investissements privés et les exportations - 16591_Facilité de faire des affaires</w:t>
            </w:r>
          </w:p>
        </w:tc>
        <w:tc>
          <w:tcPr>
            <w:tcW w:w="1680" w:type="dxa"/>
            <w:gridSpan w:val="2"/>
            <w:tcBorders>
              <w:top w:val="nil"/>
              <w:left w:val="nil"/>
              <w:bottom w:val="single" w:sz="4" w:space="0" w:color="auto"/>
              <w:right w:val="single" w:sz="4" w:space="0" w:color="auto"/>
            </w:tcBorders>
            <w:shd w:val="clear" w:color="auto" w:fill="C6EFCE"/>
            <w:noWrap/>
            <w:vAlign w:val="center"/>
          </w:tcPr>
          <w:p w14:paraId="14D410BF" w14:textId="77777777" w:rsidR="00A00259" w:rsidRDefault="00371282">
            <w:pPr>
              <w:pStyle w:val="P68B1DB1-Normal55"/>
              <w:keepNext/>
              <w:spacing w:before="40" w:after="0" w:line="240" w:lineRule="auto"/>
              <w:rPr>
                <w:rFonts w:eastAsia="Times New Roman" w:cs="Times New Roman"/>
                <w:noProof/>
                <w:szCs w:val="18"/>
              </w:rPr>
            </w:pPr>
            <w:r>
              <w:rPr>
                <w:noProof/>
              </w:rPr>
              <w:t>Étape</w:t>
            </w:r>
          </w:p>
        </w:tc>
        <w:tc>
          <w:tcPr>
            <w:tcW w:w="2047" w:type="dxa"/>
            <w:tcBorders>
              <w:top w:val="nil"/>
              <w:left w:val="nil"/>
              <w:bottom w:val="single" w:sz="4" w:space="0" w:color="auto"/>
              <w:right w:val="single" w:sz="4" w:space="0" w:color="auto"/>
            </w:tcBorders>
            <w:shd w:val="clear" w:color="auto" w:fill="C6EFCE"/>
            <w:noWrap/>
            <w:vAlign w:val="center"/>
          </w:tcPr>
          <w:p w14:paraId="26932018" w14:textId="77777777" w:rsidR="00A00259" w:rsidRDefault="00371282">
            <w:pPr>
              <w:pStyle w:val="P68B1DB1-Normal55"/>
              <w:keepNext/>
              <w:spacing w:before="40" w:after="0" w:line="240" w:lineRule="auto"/>
              <w:rPr>
                <w:rFonts w:eastAsia="Times New Roman" w:cs="Times New Roman"/>
                <w:noProof/>
                <w:szCs w:val="18"/>
              </w:rPr>
            </w:pPr>
            <w:r>
              <w:rPr>
                <w:noProof/>
              </w:rPr>
              <w:t>Amélioration de l’environnement des entreprises – facilité à faire des affaires</w:t>
            </w:r>
          </w:p>
        </w:tc>
      </w:tr>
      <w:tr w:rsidR="00A00259" w14:paraId="6B563A1C"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CDC771" w14:textId="77777777" w:rsidR="00A00259" w:rsidRDefault="00371282">
            <w:pPr>
              <w:pStyle w:val="P68B1DB1-Normal55"/>
              <w:keepNext/>
              <w:spacing w:before="40" w:after="0" w:line="259" w:lineRule="auto"/>
              <w:rPr>
                <w:rFonts w:eastAsia="Times New Roman" w:cs="Times New Roman"/>
                <w:bCs/>
                <w:noProof/>
                <w:szCs w:val="18"/>
              </w:rPr>
            </w:pPr>
            <w:r>
              <w:rPr>
                <w:noProof/>
              </w:rPr>
              <w:t>335</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2868FA6A" w14:textId="77777777" w:rsidR="00A00259" w:rsidRDefault="00371282">
            <w:pPr>
              <w:pStyle w:val="P68B1DB1-Normal55"/>
              <w:keepNext/>
              <w:spacing w:before="40" w:after="0" w:line="259" w:lineRule="auto"/>
              <w:rPr>
                <w:rFonts w:eastAsia="Times New Roman" w:cs="Times New Roman"/>
                <w:bCs/>
                <w:noProof/>
                <w:szCs w:val="18"/>
              </w:rPr>
            </w:pPr>
            <w:r>
              <w:rPr>
                <w:noProof/>
              </w:rPr>
              <w:t>10 - 3.3. Améliorer la résilience, l'accessibilité et la durabilité des soins de santé - 16984_Réforme des médecins personnels</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5E5B8F78" w14:textId="77777777" w:rsidR="00A00259" w:rsidRDefault="00371282">
            <w:pPr>
              <w:pStyle w:val="P68B1DB1-Normal55"/>
              <w:keepNext/>
              <w:spacing w:before="40" w:after="0" w:line="259" w:lineRule="auto"/>
              <w:rPr>
                <w:rFonts w:eastAsia="Times New Roman" w:cs="Times New Roman"/>
                <w:noProof/>
                <w:szCs w:val="18"/>
              </w:rPr>
            </w:pPr>
            <w:r>
              <w:rPr>
                <w:noProof/>
              </w:rPr>
              <w:t>Étape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799BDC10" w14:textId="77777777" w:rsidR="00A00259" w:rsidRDefault="00371282">
            <w:pPr>
              <w:pStyle w:val="P68B1DB1-Normal55"/>
              <w:keepNext/>
              <w:spacing w:before="40" w:after="0" w:line="259" w:lineRule="auto"/>
              <w:rPr>
                <w:rFonts w:eastAsia="Times New Roman" w:cs="Times New Roman"/>
                <w:noProof/>
                <w:szCs w:val="18"/>
              </w:rPr>
            </w:pPr>
            <w:r>
              <w:rPr>
                <w:noProof/>
              </w:rPr>
              <w:t>Réforme du médecin personnel – entrée en vigueur de la législation</w:t>
            </w:r>
          </w:p>
        </w:tc>
      </w:tr>
      <w:tr w:rsidR="00A00259" w14:paraId="2F17C3C2"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003E61" w14:textId="77777777" w:rsidR="00A00259" w:rsidRDefault="00371282">
            <w:pPr>
              <w:pStyle w:val="P68B1DB1-Normal55"/>
              <w:keepNext/>
              <w:spacing w:before="40" w:after="0" w:line="259" w:lineRule="auto"/>
              <w:rPr>
                <w:rFonts w:eastAsia="Times New Roman" w:cs="Times New Roman"/>
                <w:bCs/>
                <w:noProof/>
                <w:szCs w:val="18"/>
              </w:rPr>
            </w:pPr>
            <w:r>
              <w:rPr>
                <w:noProof/>
              </w:rPr>
              <w:t>339</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3265F2F8" w14:textId="77777777" w:rsidR="00A00259" w:rsidRDefault="00371282">
            <w:pPr>
              <w:pStyle w:val="P68B1DB1-Normal55"/>
              <w:keepNext/>
              <w:spacing w:before="40" w:after="0" w:line="259" w:lineRule="auto"/>
              <w:rPr>
                <w:rFonts w:eastAsia="Times New Roman" w:cs="Times New Roman"/>
                <w:bCs/>
                <w:noProof/>
                <w:szCs w:val="18"/>
              </w:rPr>
            </w:pPr>
            <w:r>
              <w:rPr>
                <w:noProof/>
              </w:rPr>
              <w:t>12 - 4.1. Rendre les impôts plus propices à la croissance et améliorer l'administration fiscale et le recouvrement des impôts – 16985_Modifications du cadre de la politique fiscale de la Grèce</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0C26E4DF" w14:textId="77777777" w:rsidR="00A00259" w:rsidRDefault="00371282">
            <w:pPr>
              <w:pStyle w:val="P68B1DB1-Normal55"/>
              <w:keepNext/>
              <w:spacing w:before="40" w:after="0" w:line="259" w:lineRule="auto"/>
              <w:rPr>
                <w:rFonts w:eastAsia="Times New Roman" w:cs="Times New Roman"/>
                <w:noProof/>
                <w:szCs w:val="18"/>
              </w:rPr>
            </w:pPr>
            <w:r>
              <w:rPr>
                <w:noProof/>
              </w:rPr>
              <w:t>Étape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4B26EB25" w14:textId="77777777" w:rsidR="00A00259" w:rsidRDefault="00371282">
            <w:pPr>
              <w:pStyle w:val="P68B1DB1-Normal55"/>
              <w:keepNext/>
              <w:spacing w:before="40" w:after="0" w:line="259" w:lineRule="auto"/>
              <w:rPr>
                <w:rFonts w:eastAsia="Times New Roman" w:cs="Times New Roman"/>
                <w:noProof/>
                <w:szCs w:val="18"/>
              </w:rPr>
            </w:pPr>
            <w:r>
              <w:rPr>
                <w:noProof/>
              </w:rPr>
              <w:t>Renforcer l'autonomie opérationnelle de l'Autorité indépendante des recettes publiques (AIPR)</w:t>
            </w:r>
          </w:p>
        </w:tc>
      </w:tr>
      <w:tr w:rsidR="00A00259" w14:paraId="20A5B751"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BDB0BC" w14:textId="77777777" w:rsidR="00A00259" w:rsidRDefault="00371282">
            <w:pPr>
              <w:pStyle w:val="P68B1DB1-Normal55"/>
              <w:keepNext/>
              <w:spacing w:before="40" w:after="0" w:line="259" w:lineRule="auto"/>
              <w:rPr>
                <w:rFonts w:eastAsia="Times New Roman" w:cs="Times New Roman"/>
                <w:bCs/>
                <w:noProof/>
                <w:szCs w:val="18"/>
              </w:rPr>
            </w:pPr>
            <w:r>
              <w:rPr>
                <w:noProof/>
              </w:rPr>
              <w:t>342</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3131EC2C" w14:textId="77777777" w:rsidR="00A00259" w:rsidRDefault="00371282">
            <w:pPr>
              <w:pStyle w:val="P68B1DB1-Normal55"/>
              <w:keepNext/>
              <w:spacing w:before="40" w:after="0" w:line="259" w:lineRule="auto"/>
              <w:rPr>
                <w:rFonts w:eastAsia="Times New Roman" w:cs="Times New Roman"/>
                <w:bCs/>
                <w:noProof/>
                <w:szCs w:val="18"/>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- 16986_Achèvement du cadastre national</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633E1F96" w14:textId="77777777" w:rsidR="00A00259" w:rsidRDefault="00371282">
            <w:pPr>
              <w:pStyle w:val="P68B1DB1-Normal55"/>
              <w:keepNext/>
              <w:spacing w:before="40" w:after="0" w:line="259" w:lineRule="auto"/>
              <w:rPr>
                <w:rFonts w:eastAsia="Times New Roman" w:cs="Times New Roman"/>
                <w:noProof/>
                <w:szCs w:val="18"/>
              </w:rPr>
            </w:pPr>
            <w:r>
              <w:rPr>
                <w:noProof/>
              </w:rPr>
              <w:t>Objectif</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614EA1E5" w14:textId="77777777" w:rsidR="00A00259" w:rsidRDefault="00371282">
            <w:pPr>
              <w:pStyle w:val="P68B1DB1-Normal55"/>
              <w:keepNext/>
              <w:spacing w:before="40" w:after="0" w:line="259" w:lineRule="auto"/>
              <w:rPr>
                <w:rFonts w:eastAsia="Times New Roman" w:cs="Times New Roman"/>
                <w:noProof/>
                <w:szCs w:val="18"/>
              </w:rPr>
            </w:pPr>
            <w:r>
              <w:rPr>
                <w:noProof/>
              </w:rPr>
              <w:t>Cartographie cadastrale – 95 % d’achèvement</w:t>
            </w:r>
          </w:p>
        </w:tc>
      </w:tr>
      <w:tr w:rsidR="00A00259" w14:paraId="2D0BB554"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767233" w14:textId="77777777" w:rsidR="00A00259" w:rsidRDefault="00371282">
            <w:pPr>
              <w:pStyle w:val="P68B1DB1-Normal55"/>
              <w:keepNext/>
              <w:spacing w:before="40" w:after="0" w:line="259" w:lineRule="auto"/>
              <w:rPr>
                <w:rFonts w:eastAsia="Times New Roman" w:cs="Times New Roman"/>
                <w:bCs/>
                <w:noProof/>
                <w:szCs w:val="18"/>
              </w:rPr>
            </w:pPr>
            <w:r>
              <w:rPr>
                <w:noProof/>
              </w:rPr>
              <w:t>343</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2B07C4DA" w14:textId="77777777" w:rsidR="00A00259" w:rsidRDefault="00371282">
            <w:pPr>
              <w:pStyle w:val="P68B1DB1-Normal55"/>
              <w:keepNext/>
              <w:spacing w:before="40" w:after="0" w:line="259" w:lineRule="auto"/>
              <w:rPr>
                <w:rFonts w:eastAsia="Times New Roman" w:cs="Times New Roman"/>
                <w:bCs/>
                <w:noProof/>
                <w:szCs w:val="18"/>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- 16986_Achèvement du cadastre national</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6417AD1E" w14:textId="77777777" w:rsidR="00A00259" w:rsidRDefault="00371282">
            <w:pPr>
              <w:pStyle w:val="P68B1DB1-Normal55"/>
              <w:keepNext/>
              <w:spacing w:before="40" w:after="0" w:line="259" w:lineRule="auto"/>
              <w:rPr>
                <w:rFonts w:eastAsia="Times New Roman" w:cs="Times New Roman"/>
                <w:bCs/>
                <w:noProof/>
                <w:szCs w:val="18"/>
              </w:rPr>
            </w:pPr>
            <w:r>
              <w:rPr>
                <w:noProof/>
              </w:rPr>
              <w:t>Étape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7B595480" w14:textId="77777777" w:rsidR="00A00259" w:rsidRDefault="00371282">
            <w:pPr>
              <w:pStyle w:val="P68B1DB1-Normal55"/>
              <w:keepNext/>
              <w:spacing w:before="40" w:after="0" w:line="259" w:lineRule="auto"/>
              <w:rPr>
                <w:rFonts w:eastAsia="Times New Roman" w:cs="Times New Roman"/>
                <w:bCs/>
                <w:noProof/>
                <w:szCs w:val="18"/>
              </w:rPr>
            </w:pPr>
            <w:r>
              <w:rPr>
                <w:noProof/>
              </w:rPr>
              <w:t>Transition vers la nouvelle structure organisationnelle du Cadastre hellénique – Achèvement complet</w:t>
            </w:r>
          </w:p>
        </w:tc>
      </w:tr>
      <w:tr w:rsidR="00A00259" w14:paraId="46016A1C"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3810B0" w14:textId="77777777" w:rsidR="00A00259" w:rsidRDefault="00371282">
            <w:pPr>
              <w:pStyle w:val="P68B1DB1-Normal55"/>
              <w:keepNext/>
              <w:spacing w:before="40" w:after="0" w:line="259" w:lineRule="auto"/>
              <w:rPr>
                <w:rFonts w:eastAsia="Times New Roman" w:cs="Times New Roman"/>
                <w:bCs/>
                <w:noProof/>
                <w:szCs w:val="18"/>
              </w:rPr>
            </w:pPr>
            <w:r>
              <w:rPr>
                <w:noProof/>
              </w:rPr>
              <w:t>351</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42E4FA1E" w14:textId="77777777" w:rsidR="00A00259" w:rsidRDefault="00371282">
            <w:pPr>
              <w:pStyle w:val="P68B1DB1-Normal55"/>
              <w:keepNext/>
              <w:spacing w:before="40" w:after="0" w:line="259" w:lineRule="auto"/>
              <w:rPr>
                <w:rFonts w:eastAsia="Times New Roman" w:cs="Times New Roman"/>
                <w:bCs/>
                <w:noProof/>
                <w:szCs w:val="18"/>
              </w:rPr>
            </w:pPr>
            <w:r>
              <w:rPr>
                <w:noProof/>
              </w:rPr>
              <w:t>20 - 5.1. Réformes REPowerEU - 16987_Cadre d’octroi de licences pour l’hydrogène renouvelable et le biométhane durable</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655C23FE" w14:textId="77777777" w:rsidR="00A00259" w:rsidRDefault="00371282">
            <w:pPr>
              <w:pStyle w:val="P68B1DB1-Normal55"/>
              <w:keepNext/>
              <w:spacing w:before="40" w:after="0" w:line="259" w:lineRule="auto"/>
              <w:rPr>
                <w:rFonts w:eastAsia="Times New Roman" w:cs="Times New Roman"/>
                <w:noProof/>
                <w:szCs w:val="18"/>
              </w:rPr>
            </w:pPr>
            <w:r>
              <w:rPr>
                <w:noProof/>
              </w:rPr>
              <w:t>Étape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1ADDB1F9" w14:textId="77777777" w:rsidR="00A00259" w:rsidRDefault="00371282">
            <w:pPr>
              <w:pStyle w:val="P68B1DB1-Normal55"/>
              <w:keepNext/>
              <w:spacing w:before="40" w:after="0" w:line="259" w:lineRule="auto"/>
              <w:rPr>
                <w:rFonts w:eastAsia="Times New Roman" w:cs="Times New Roman"/>
                <w:noProof/>
                <w:szCs w:val="18"/>
              </w:rPr>
            </w:pPr>
            <w:r>
              <w:rPr>
                <w:noProof/>
              </w:rPr>
              <w:t>Cadre législatif pour l’hydrogène renouvelable et le biométhane durable</w:t>
            </w:r>
          </w:p>
        </w:tc>
      </w:tr>
      <w:tr w:rsidR="00A00259" w14:paraId="5BAD36E7"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50870B" w14:textId="77777777" w:rsidR="00A00259" w:rsidRDefault="00371282">
            <w:pPr>
              <w:pStyle w:val="P68B1DB1-Normal55"/>
              <w:keepNext/>
              <w:spacing w:before="40" w:after="0" w:line="259" w:lineRule="auto"/>
              <w:rPr>
                <w:rFonts w:cs="Times New Roman"/>
                <w:noProof/>
              </w:rPr>
            </w:pPr>
            <w:r>
              <w:rPr>
                <w:noProof/>
              </w:rPr>
              <w:t>356</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0F5986CB" w14:textId="77777777" w:rsidR="00A00259" w:rsidRDefault="00371282">
            <w:pPr>
              <w:pStyle w:val="P68B1DB1-Normal55"/>
              <w:keepNext/>
              <w:spacing w:before="40" w:after="0" w:line="259" w:lineRule="auto"/>
              <w:rPr>
                <w:rFonts w:cs="Times New Roman"/>
                <w:noProof/>
              </w:rPr>
            </w:pPr>
            <w:r>
              <w:rPr>
                <w:noProof/>
              </w:rPr>
              <w:t xml:space="preserve">20 - 5.1. Réformes REPowerEU – 16990_Augmentation de la capacité de réseau et de stockage – encouragement des investissements dans le stockage </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7894CC65" w14:textId="77777777" w:rsidR="00A00259" w:rsidRDefault="00371282">
            <w:pPr>
              <w:pStyle w:val="P68B1DB1-Normal55"/>
              <w:keepNext/>
              <w:spacing w:before="40" w:after="0" w:line="259" w:lineRule="auto"/>
              <w:rPr>
                <w:rFonts w:cs="Times New Roman"/>
                <w:noProof/>
              </w:rPr>
            </w:pPr>
            <w:r>
              <w:rPr>
                <w:noProof/>
              </w:rPr>
              <w:t>Étape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7F7236CC" w14:textId="77777777" w:rsidR="00A00259" w:rsidRDefault="00371282">
            <w:pPr>
              <w:pStyle w:val="P68B1DB1-Normal55"/>
              <w:keepNext/>
              <w:spacing w:before="40" w:after="0" w:line="259" w:lineRule="auto"/>
              <w:rPr>
                <w:rFonts w:cs="Times New Roman"/>
                <w:noProof/>
              </w:rPr>
            </w:pPr>
            <w:r>
              <w:rPr>
                <w:noProof/>
              </w:rPr>
              <w:t>Entrée en vigueur du cadre législatif</w:t>
            </w:r>
          </w:p>
        </w:tc>
      </w:tr>
      <w:tr w:rsidR="00A00259" w14:paraId="27269C11"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8F3C1B" w14:textId="088E84A7" w:rsidR="00A00259" w:rsidRDefault="00371282">
            <w:pPr>
              <w:pStyle w:val="P68B1DB1-Normal55"/>
              <w:keepNext/>
              <w:spacing w:before="40" w:after="0" w:line="259" w:lineRule="auto"/>
              <w:rPr>
                <w:noProof/>
              </w:rPr>
            </w:pPr>
            <w:r>
              <w:rPr>
                <w:noProof/>
              </w:rPr>
              <w:t>358</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7201C08E" w14:textId="54584AB9" w:rsidR="00A00259" w:rsidRDefault="00371282">
            <w:pPr>
              <w:pStyle w:val="P68B1DB1-Normal55"/>
              <w:keepNext/>
              <w:spacing w:before="40" w:after="0" w:line="259" w:lineRule="auto"/>
              <w:rPr>
                <w:noProof/>
              </w:rPr>
            </w:pPr>
            <w:r>
              <w:rPr>
                <w:noProof/>
              </w:rPr>
              <w:t>20 - 5.1. Réformes REPowerEU – 16991_Cadre réglementaire vers un réseau intelligent</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4845053E" w14:textId="13896B19" w:rsidR="00A00259" w:rsidRDefault="00371282">
            <w:pPr>
              <w:pStyle w:val="P68B1DB1-Normal55"/>
              <w:keepNext/>
              <w:spacing w:before="40" w:after="0" w:line="259" w:lineRule="auto"/>
              <w:rPr>
                <w:noProof/>
              </w:rPr>
            </w:pPr>
            <w:r>
              <w:rPr>
                <w:noProof/>
              </w:rPr>
              <w:t>Étape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1AE6E687" w14:textId="088D1F6A" w:rsidR="00A00259" w:rsidRDefault="00371282">
            <w:pPr>
              <w:pStyle w:val="P68B1DB1-Normal55"/>
              <w:keepNext/>
              <w:spacing w:before="40" w:after="0" w:line="259" w:lineRule="auto"/>
              <w:rPr>
                <w:noProof/>
                <w:highlight w:val="yellow"/>
              </w:rPr>
            </w:pPr>
            <w:r>
              <w:rPr>
                <w:noProof/>
              </w:rPr>
              <w:t>Développement d'un système incitatif pour le gestionnaire de réseau de distribution et les consommateurs afin d'accroître le déploiement et l'utilisation des compteurs intelligents.</w:t>
            </w:r>
          </w:p>
        </w:tc>
      </w:tr>
      <w:tr w:rsidR="00A00259" w14:paraId="5F231112"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16108E" w14:textId="77777777" w:rsidR="00A00259" w:rsidRDefault="00371282">
            <w:pPr>
              <w:pStyle w:val="P68B1DB1-Normal55"/>
              <w:keepNext/>
              <w:spacing w:before="40" w:after="0" w:line="259" w:lineRule="auto"/>
              <w:rPr>
                <w:rFonts w:eastAsia="Times New Roman" w:cs="Times New Roman"/>
                <w:bCs/>
                <w:noProof/>
                <w:szCs w:val="18"/>
              </w:rPr>
            </w:pPr>
            <w:r>
              <w:rPr>
                <w:noProof/>
              </w:rPr>
              <w:t>361</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11860582" w14:textId="77777777" w:rsidR="00A00259" w:rsidRDefault="00371282">
            <w:pPr>
              <w:pStyle w:val="P68B1DB1-Normal55"/>
              <w:keepNext/>
              <w:spacing w:before="40" w:after="0" w:line="259" w:lineRule="auto"/>
              <w:rPr>
                <w:rFonts w:eastAsia="Times New Roman" w:cs="Times New Roman"/>
                <w:bCs/>
                <w:noProof/>
                <w:szCs w:val="18"/>
              </w:rPr>
            </w:pPr>
            <w:r>
              <w:rPr>
                <w:noProof/>
              </w:rPr>
              <w:t>20 - 5. Réformes REPowerEU - 16992_Ensemble d’outils pour promouvoir le partage d’énergie, l’autoconsommation et les communautés d’énergie renouvelable</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5D8E119C" w14:textId="77777777" w:rsidR="00A00259" w:rsidRDefault="00371282">
            <w:pPr>
              <w:pStyle w:val="P68B1DB1-Normal55"/>
              <w:keepNext/>
              <w:spacing w:before="40" w:after="0" w:line="259" w:lineRule="auto"/>
              <w:rPr>
                <w:rFonts w:eastAsia="Times New Roman" w:cs="Times New Roman"/>
                <w:noProof/>
                <w:szCs w:val="18"/>
              </w:rPr>
            </w:pPr>
            <w:r>
              <w:rPr>
                <w:noProof/>
              </w:rPr>
              <w:t>Étape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2E466F28" w14:textId="77777777" w:rsidR="00A00259" w:rsidRDefault="00371282">
            <w:pPr>
              <w:pStyle w:val="P68B1DB1-Normal55"/>
              <w:keepNext/>
              <w:spacing w:before="40" w:after="0" w:line="259" w:lineRule="auto"/>
              <w:rPr>
                <w:rFonts w:eastAsia="Times New Roman" w:cs="Times New Roman"/>
                <w:noProof/>
                <w:szCs w:val="18"/>
              </w:rPr>
            </w:pPr>
            <w:r>
              <w:rPr>
                <w:noProof/>
              </w:rPr>
              <w:t>Entrée en vigueur du droit primaire et du droit dérivé sur l’autoconsommation et facilitation des procédures d’autorisation pour l’installation de stations SER dans les immeubles d’habitation</w:t>
            </w:r>
          </w:p>
        </w:tc>
      </w:tr>
      <w:tr w:rsidR="00A00259" w14:paraId="1A2123CC"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52BA93" w14:textId="77777777" w:rsidR="00A00259" w:rsidRDefault="00371282">
            <w:pPr>
              <w:pStyle w:val="P68B1DB1-Normal55"/>
              <w:keepNext/>
              <w:spacing w:before="40" w:after="0" w:line="259" w:lineRule="auto"/>
              <w:rPr>
                <w:rFonts w:eastAsia="Times New Roman" w:cs="Times New Roman"/>
                <w:bCs/>
                <w:noProof/>
                <w:szCs w:val="18"/>
              </w:rPr>
            </w:pPr>
            <w:r>
              <w:rPr>
                <w:noProof/>
              </w:rPr>
              <w:t>363</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03CC8DD8" w14:textId="77777777" w:rsidR="00A00259" w:rsidRDefault="00371282">
            <w:pPr>
              <w:pStyle w:val="P68B1DB1-Normal55"/>
              <w:keepNext/>
              <w:spacing w:before="40" w:after="0" w:line="259" w:lineRule="auto"/>
              <w:rPr>
                <w:rFonts w:eastAsia="Times New Roman" w:cs="Times New Roman"/>
                <w:bCs/>
                <w:noProof/>
                <w:szCs w:val="18"/>
              </w:rPr>
            </w:pPr>
            <w:r>
              <w:rPr>
                <w:noProof/>
              </w:rPr>
              <w:t>20 - 5. Réformes REPowerEU - 16993_Feuille de route pour des interventions innovantes en matière d’efficacité énergétique et identification de nouveaux instruments financiers</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596A5549" w14:textId="77777777" w:rsidR="00A00259" w:rsidRDefault="00371282">
            <w:pPr>
              <w:pStyle w:val="P68B1DB1-Normal55"/>
              <w:keepNext/>
              <w:spacing w:before="40" w:after="0" w:line="259" w:lineRule="auto"/>
              <w:rPr>
                <w:rFonts w:eastAsia="Times New Roman" w:cs="Times New Roman"/>
                <w:noProof/>
                <w:szCs w:val="18"/>
              </w:rPr>
            </w:pPr>
            <w:r>
              <w:rPr>
                <w:noProof/>
              </w:rPr>
              <w:t>Étape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5F56A5BD" w14:textId="77777777" w:rsidR="00A00259" w:rsidRDefault="00371282">
            <w:pPr>
              <w:pStyle w:val="P68B1DB1-Normal55"/>
              <w:keepNext/>
              <w:spacing w:before="40" w:after="0" w:line="259" w:lineRule="auto"/>
              <w:rPr>
                <w:rFonts w:eastAsia="Times New Roman" w:cs="Times New Roman"/>
                <w:noProof/>
                <w:szCs w:val="18"/>
              </w:rPr>
            </w:pPr>
            <w:r>
              <w:rPr>
                <w:noProof/>
              </w:rPr>
              <w:t>Mise en place d'une feuille de route pour des interventions innovantes en matière d'efficacité énergétique et d'un cadre juridique</w:t>
            </w:r>
          </w:p>
        </w:tc>
      </w:tr>
      <w:tr w:rsidR="00A00259" w14:paraId="2E3C38A6"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66FE50" w14:textId="77777777" w:rsidR="00A00259" w:rsidRDefault="00371282">
            <w:pPr>
              <w:pStyle w:val="P68B1DB1-Normal55"/>
              <w:keepNext/>
              <w:spacing w:before="40" w:after="0" w:line="259" w:lineRule="auto"/>
              <w:rPr>
                <w:rFonts w:eastAsia="Times New Roman" w:cs="Times New Roman"/>
                <w:bCs/>
                <w:noProof/>
                <w:szCs w:val="18"/>
              </w:rPr>
            </w:pPr>
            <w:r>
              <w:rPr>
                <w:noProof/>
              </w:rPr>
              <w:t>365</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7E36F530" w14:textId="77777777" w:rsidR="00A00259" w:rsidRDefault="00371282">
            <w:pPr>
              <w:pStyle w:val="P68B1DB1-Normal55"/>
              <w:keepNext/>
              <w:spacing w:before="40" w:after="0" w:line="259" w:lineRule="auto"/>
              <w:rPr>
                <w:rFonts w:eastAsia="Times New Roman" w:cs="Times New Roman"/>
                <w:bCs/>
                <w:noProof/>
                <w:szCs w:val="18"/>
              </w:rPr>
            </w:pPr>
            <w:r>
              <w:rPr>
                <w:noProof/>
              </w:rPr>
              <w:t>21 - 5.2 Investissements REPowerEU – 16996_Installation de stockage d’énergie pour une pénétration supplémentaire des SER</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1D692023" w14:textId="77777777" w:rsidR="00A00259" w:rsidRDefault="00371282">
            <w:pPr>
              <w:pStyle w:val="P68B1DB1-Normal55"/>
              <w:keepNext/>
              <w:spacing w:before="40" w:after="0" w:line="259" w:lineRule="auto"/>
              <w:rPr>
                <w:rFonts w:eastAsia="Times New Roman" w:cs="Times New Roman"/>
                <w:noProof/>
                <w:szCs w:val="18"/>
              </w:rPr>
            </w:pPr>
            <w:r>
              <w:rPr>
                <w:noProof/>
              </w:rPr>
              <w:t>Étape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65028F31" w14:textId="77777777" w:rsidR="00A00259" w:rsidRDefault="00371282">
            <w:pPr>
              <w:pStyle w:val="P68B1DB1-Normal55"/>
              <w:keepNext/>
              <w:spacing w:before="40" w:after="0" w:line="259" w:lineRule="auto"/>
              <w:rPr>
                <w:rFonts w:eastAsia="Times New Roman" w:cs="Times New Roman"/>
                <w:noProof/>
                <w:szCs w:val="18"/>
              </w:rPr>
            </w:pPr>
            <w:r>
              <w:rPr>
                <w:noProof/>
              </w:rPr>
              <w:t>Projets de stockage d'énergie approuvés</w:t>
            </w:r>
          </w:p>
        </w:tc>
      </w:tr>
      <w:tr w:rsidR="00A00259" w14:paraId="641218DA"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55F6B8" w14:textId="77777777" w:rsidR="00A00259" w:rsidRDefault="00371282">
            <w:pPr>
              <w:pStyle w:val="P68B1DB1-Normal55"/>
              <w:keepNext/>
              <w:spacing w:before="40" w:after="0" w:line="259" w:lineRule="auto"/>
              <w:rPr>
                <w:noProof/>
              </w:rPr>
            </w:pPr>
            <w:r>
              <w:rPr>
                <w:noProof/>
              </w:rPr>
              <w:t>370</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17E6D673" w14:textId="77777777" w:rsidR="00A00259" w:rsidRDefault="00371282">
            <w:pPr>
              <w:pStyle w:val="P68B1DB1-Normal55"/>
              <w:keepNext/>
              <w:spacing w:before="40" w:after="0" w:line="259" w:lineRule="auto"/>
              <w:rPr>
                <w:noProof/>
              </w:rPr>
            </w:pPr>
            <w:r>
              <w:rPr>
                <w:noProof/>
              </w:rPr>
              <w:t>21 - 5.2 Investissements REPowerEU - 16995_Projet de production d'hydrogène renouvelable</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0DBDB8F2" w14:textId="77777777" w:rsidR="00A00259" w:rsidRDefault="00371282">
            <w:pPr>
              <w:pStyle w:val="P68B1DB1-Normal55"/>
              <w:keepNext/>
              <w:spacing w:before="40" w:after="0" w:line="259" w:lineRule="auto"/>
              <w:rPr>
                <w:noProof/>
              </w:rPr>
            </w:pPr>
            <w:r>
              <w:rPr>
                <w:noProof/>
              </w:rPr>
              <w:t>Étape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426CD41C" w14:textId="77777777" w:rsidR="00A00259" w:rsidRDefault="00371282">
            <w:pPr>
              <w:pStyle w:val="P68B1DB1-Normal55"/>
              <w:keepNext/>
              <w:spacing w:before="40" w:after="0" w:line="259" w:lineRule="auto"/>
              <w:rPr>
                <w:noProof/>
              </w:rPr>
            </w:pPr>
            <w:r>
              <w:rPr>
                <w:noProof/>
              </w:rPr>
              <w:t>Délivrance d’une décision ministérielle conjointe pour l’octroi de la subvention au bénéficiaire</w:t>
            </w:r>
          </w:p>
        </w:tc>
      </w:tr>
      <w:tr w:rsidR="00A00259" w14:paraId="4A03D2BE"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504581" w14:textId="77777777" w:rsidR="00A00259" w:rsidRDefault="00371282">
            <w:pPr>
              <w:pStyle w:val="P68B1DB1-Normal55"/>
              <w:keepNext/>
              <w:spacing w:before="40" w:after="0" w:line="259" w:lineRule="auto"/>
              <w:rPr>
                <w:noProof/>
              </w:rPr>
            </w:pPr>
            <w:r>
              <w:rPr>
                <w:noProof/>
              </w:rPr>
              <w:t>368</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13872555" w14:textId="77777777" w:rsidR="00A00259" w:rsidRDefault="00371282">
            <w:pPr>
              <w:pStyle w:val="P68B1DB1-Normal55"/>
              <w:keepNext/>
              <w:spacing w:before="40" w:after="0" w:line="259" w:lineRule="auto"/>
              <w:rPr>
                <w:noProof/>
              </w:rPr>
            </w:pPr>
            <w:r>
              <w:rPr>
                <w:noProof/>
              </w:rPr>
              <w:t>21 - 5.2 Investissements REPowerEU - 16994_Efficacité énergétique et promotion des SER pour l'autoconsommation</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42AFDB96" w14:textId="77777777" w:rsidR="00A00259" w:rsidRDefault="00371282">
            <w:pPr>
              <w:pStyle w:val="P68B1DB1-Normal55"/>
              <w:keepNext/>
              <w:spacing w:before="40" w:after="0" w:line="259" w:lineRule="auto"/>
              <w:rPr>
                <w:noProof/>
              </w:rPr>
            </w:pPr>
            <w:r>
              <w:rPr>
                <w:noProof/>
              </w:rPr>
              <w:t>Objectif</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6F87DBB0" w14:textId="77777777" w:rsidR="00A00259" w:rsidRDefault="00371282">
            <w:pPr>
              <w:pStyle w:val="P68B1DB1-Normal55"/>
              <w:keepNext/>
              <w:spacing w:before="40" w:after="0" w:line="259" w:lineRule="auto"/>
              <w:rPr>
                <w:noProof/>
              </w:rPr>
            </w:pPr>
            <w:r>
              <w:rPr>
                <w:noProof/>
              </w:rPr>
              <w:t>Installation de systèmes photovoltaïques pour l'autoconsommation</w:t>
            </w:r>
          </w:p>
        </w:tc>
      </w:tr>
      <w:tr w:rsidR="00A00259" w14:paraId="45B1BBCB"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B89AC5" w14:textId="77777777" w:rsidR="00A00259" w:rsidRDefault="00A00259">
            <w:pPr>
              <w:keepNext/>
              <w:spacing w:before="40" w:after="0" w:line="259" w:lineRule="auto"/>
              <w:rPr>
                <w:rFonts w:ascii="Times New Roman" w:eastAsia="Times New Roman" w:hAnsi="Times New Roman" w:cs="Times New Roman"/>
                <w:bCs/>
                <w:noProof/>
                <w:sz w:val="18"/>
                <w:szCs w:val="18"/>
              </w:rPr>
            </w:pP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38161F94" w14:textId="77777777" w:rsidR="00A00259" w:rsidRDefault="00A00259">
            <w:pPr>
              <w:keepNext/>
              <w:spacing w:before="40" w:after="0" w:line="259" w:lineRule="auto"/>
              <w:rPr>
                <w:rFonts w:ascii="Times New Roman" w:eastAsia="Times New Roman" w:hAnsi="Times New Roman" w:cs="Times New Roman"/>
                <w:bCs/>
                <w:noProof/>
                <w:sz w:val="18"/>
                <w:szCs w:val="18"/>
              </w:rPr>
            </w:pP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43C64A74" w14:textId="77777777" w:rsidR="00A00259" w:rsidRDefault="00371282">
            <w:pPr>
              <w:pStyle w:val="P68B1DB1-Normal55"/>
              <w:keepNext/>
              <w:spacing w:before="40" w:after="0" w:line="259" w:lineRule="auto"/>
              <w:rPr>
                <w:rFonts w:eastAsia="Times New Roman" w:cs="Times New Roman"/>
                <w:noProof/>
                <w:szCs w:val="18"/>
              </w:rPr>
            </w:pPr>
            <w:r>
              <w:rPr>
                <w:noProof/>
              </w:rPr>
              <w:t>Montant des acomptes provisionnels</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29232E3E" w14:textId="77777777" w:rsidR="00A00259" w:rsidRDefault="00371282">
            <w:pPr>
              <w:pStyle w:val="P68B1DB1-Normal55"/>
              <w:keepNext/>
              <w:spacing w:before="40" w:after="0" w:line="259" w:lineRule="auto"/>
              <w:rPr>
                <w:rFonts w:eastAsia="Times New Roman" w:cs="Times New Roman"/>
                <w:noProof/>
                <w:szCs w:val="18"/>
              </w:rPr>
            </w:pPr>
            <w:r>
              <w:rPr>
                <w:noProof/>
              </w:rPr>
              <w:t>2 439 692 495 EUR</w:t>
            </w:r>
          </w:p>
        </w:tc>
      </w:tr>
    </w:tbl>
    <w:p w14:paraId="4E7E2839" w14:textId="220C62CF" w:rsidR="00A00259" w:rsidRDefault="00371282">
      <w:pPr>
        <w:pStyle w:val="P68B1DB1-Normal57"/>
        <w:keepNext/>
        <w:spacing w:before="40" w:line="259" w:lineRule="auto"/>
        <w:jc w:val="both"/>
        <w:rPr>
          <w:noProof/>
        </w:rPr>
        <w:sectPr w:rsidR="00A00259">
          <w:headerReference w:type="even" r:id="rId444"/>
          <w:headerReference w:type="default" r:id="rId445"/>
          <w:footerReference w:type="even" r:id="rId446"/>
          <w:footerReference w:type="default" r:id="rId447"/>
          <w:headerReference w:type="first" r:id="rId448"/>
          <w:footerReference w:type="first" r:id="rId449"/>
          <w:pgSz w:w="11906" w:h="16838"/>
          <w:pgMar w:top="1134" w:right="1134" w:bottom="1134" w:left="1134" w:header="567" w:footer="567" w:gutter="0"/>
          <w:cols w:space="708"/>
          <w:docGrid w:linePitch="360"/>
        </w:sectPr>
      </w:pPr>
      <w:r>
        <w:rPr>
          <w:noProof/>
        </w:rPr>
        <w:br/>
      </w:r>
      <w:r>
        <w:rPr>
          <w:noProof/>
        </w:rPr>
        <w:br/>
      </w:r>
    </w:p>
    <w:p w14:paraId="58D9E580" w14:textId="77777777" w:rsidR="00A00259" w:rsidRDefault="00371282">
      <w:pPr>
        <w:pStyle w:val="P68B1DB1-Normal5"/>
        <w:keepNext/>
        <w:numPr>
          <w:ilvl w:val="1"/>
          <w:numId w:val="93"/>
        </w:numPr>
        <w:spacing w:before="40" w:after="160" w:line="259" w:lineRule="auto"/>
        <w:ind w:left="0"/>
        <w:contextualSpacing/>
        <w:jc w:val="both"/>
        <w:rPr>
          <w:rFonts w:eastAsia="Times New Roman" w:cs="Times New Roman"/>
          <w:noProof/>
        </w:rPr>
      </w:pPr>
      <w:r>
        <w:rPr>
          <w:noProof/>
        </w:rPr>
        <w:t xml:space="preserve">Septième demande de paiement (soutien non remboursable): </w:t>
      </w:r>
    </w:p>
    <w:p w14:paraId="3A4654B0" w14:textId="77777777" w:rsidR="00A00259" w:rsidRDefault="00A00259">
      <w:pPr>
        <w:keepNext/>
        <w:spacing w:before="40" w:after="160" w:line="259" w:lineRule="auto"/>
        <w:contextualSpacing/>
        <w:jc w:val="both"/>
        <w:rPr>
          <w:rFonts w:ascii="Times New Roman" w:eastAsia="Times New Roman" w:hAnsi="Times New Roman" w:cs="Times New Roman"/>
          <w:noProof/>
          <w:sz w:val="24"/>
        </w:rPr>
      </w:pPr>
    </w:p>
    <w:tbl>
      <w:tblPr>
        <w:tblW w:w="959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9"/>
        <w:gridCol w:w="4407"/>
        <w:gridCol w:w="1417"/>
        <w:gridCol w:w="2812"/>
      </w:tblGrid>
      <w:tr w:rsidR="00A00259" w14:paraId="2C6A5366" w14:textId="77777777">
        <w:trPr>
          <w:trHeight w:val="906"/>
          <w:tblHeader/>
          <w:jc w:val="center"/>
        </w:trPr>
        <w:tc>
          <w:tcPr>
            <w:tcW w:w="959" w:type="dxa"/>
            <w:vMerge w:val="restart"/>
            <w:shd w:val="clear" w:color="auto" w:fill="BDD7EE"/>
            <w:vAlign w:val="center"/>
            <w:hideMark/>
          </w:tcPr>
          <w:p w14:paraId="372BC113" w14:textId="77777777" w:rsidR="00A00259" w:rsidRDefault="00371282">
            <w:pPr>
              <w:pStyle w:val="P68B1DB1-Normal15"/>
              <w:keepNext/>
              <w:spacing w:before="40" w:after="0" w:line="259" w:lineRule="auto"/>
              <w:jc w:val="center"/>
              <w:rPr>
                <w:rFonts w:eastAsia="Times New Roman"/>
                <w:bCs/>
                <w:noProof/>
              </w:rPr>
            </w:pPr>
            <w:r>
              <w:rPr>
                <w:noProof/>
              </w:rPr>
              <w:t xml:space="preserve">Seq. </w:t>
            </w:r>
            <w:r>
              <w:rPr>
                <w:noProof/>
              </w:rPr>
              <w:br/>
              <w:t>Non.</w:t>
            </w:r>
          </w:p>
        </w:tc>
        <w:tc>
          <w:tcPr>
            <w:tcW w:w="4407" w:type="dxa"/>
            <w:vMerge w:val="restart"/>
            <w:shd w:val="clear" w:color="auto" w:fill="BDD7EE"/>
            <w:vAlign w:val="center"/>
            <w:hideMark/>
          </w:tcPr>
          <w:p w14:paraId="249AC747"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Mesure connexe (réforme ou investissement)</w:t>
            </w:r>
          </w:p>
        </w:tc>
        <w:tc>
          <w:tcPr>
            <w:tcW w:w="1417" w:type="dxa"/>
            <w:vMerge w:val="restart"/>
            <w:shd w:val="clear" w:color="auto" w:fill="BDD7EE"/>
            <w:vAlign w:val="center"/>
            <w:hideMark/>
          </w:tcPr>
          <w:p w14:paraId="60DBAC4F"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Étape/cible</w:t>
            </w:r>
          </w:p>
        </w:tc>
        <w:tc>
          <w:tcPr>
            <w:tcW w:w="2812" w:type="dxa"/>
            <w:vMerge w:val="restart"/>
            <w:shd w:val="clear" w:color="auto" w:fill="BDD7EE"/>
            <w:vAlign w:val="center"/>
            <w:hideMark/>
          </w:tcPr>
          <w:p w14:paraId="666E3168"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Nom</w:t>
            </w:r>
          </w:p>
        </w:tc>
      </w:tr>
      <w:tr w:rsidR="00A00259" w14:paraId="0CBC4BC4" w14:textId="77777777">
        <w:trPr>
          <w:trHeight w:val="349"/>
          <w:jc w:val="center"/>
        </w:trPr>
        <w:tc>
          <w:tcPr>
            <w:tcW w:w="959" w:type="dxa"/>
            <w:vMerge/>
            <w:vAlign w:val="center"/>
            <w:hideMark/>
          </w:tcPr>
          <w:p w14:paraId="060E4A1F" w14:textId="77777777" w:rsidR="00A00259" w:rsidRDefault="00A00259">
            <w:pPr>
              <w:keepNext/>
              <w:spacing w:before="40" w:after="0" w:line="259" w:lineRule="auto"/>
              <w:rPr>
                <w:rFonts w:ascii="Times New Roman" w:eastAsia="Times New Roman" w:hAnsi="Times New Roman" w:cs="Times New Roman"/>
                <w:bCs/>
                <w:noProof/>
                <w:sz w:val="18"/>
                <w:szCs w:val="18"/>
              </w:rPr>
            </w:pPr>
          </w:p>
        </w:tc>
        <w:tc>
          <w:tcPr>
            <w:tcW w:w="4407" w:type="dxa"/>
            <w:vMerge/>
            <w:vAlign w:val="center"/>
            <w:hideMark/>
          </w:tcPr>
          <w:p w14:paraId="6D3E4779" w14:textId="77777777" w:rsidR="00A00259" w:rsidRDefault="00A00259">
            <w:pPr>
              <w:keepNext/>
              <w:spacing w:before="40" w:after="0" w:line="259" w:lineRule="auto"/>
              <w:rPr>
                <w:rFonts w:ascii="Times New Roman" w:eastAsia="Times New Roman" w:hAnsi="Times New Roman" w:cs="Times New Roman"/>
                <w:bCs/>
                <w:noProof/>
                <w:sz w:val="18"/>
                <w:szCs w:val="18"/>
              </w:rPr>
            </w:pPr>
          </w:p>
        </w:tc>
        <w:tc>
          <w:tcPr>
            <w:tcW w:w="1417" w:type="dxa"/>
            <w:vMerge/>
            <w:vAlign w:val="center"/>
            <w:hideMark/>
          </w:tcPr>
          <w:p w14:paraId="0948E05A" w14:textId="77777777" w:rsidR="00A00259" w:rsidRDefault="00A00259">
            <w:pPr>
              <w:keepNext/>
              <w:spacing w:before="40" w:after="0" w:line="259" w:lineRule="auto"/>
              <w:rPr>
                <w:rFonts w:ascii="Times New Roman" w:eastAsia="Times New Roman" w:hAnsi="Times New Roman" w:cs="Times New Roman"/>
                <w:bCs/>
                <w:noProof/>
                <w:sz w:val="18"/>
                <w:szCs w:val="18"/>
              </w:rPr>
            </w:pPr>
          </w:p>
        </w:tc>
        <w:tc>
          <w:tcPr>
            <w:tcW w:w="2812" w:type="dxa"/>
            <w:vMerge/>
            <w:vAlign w:val="center"/>
            <w:hideMark/>
          </w:tcPr>
          <w:p w14:paraId="4BD385AE" w14:textId="77777777" w:rsidR="00A00259" w:rsidRDefault="00A00259">
            <w:pPr>
              <w:keepNext/>
              <w:spacing w:before="40" w:after="0" w:line="259" w:lineRule="auto"/>
              <w:rPr>
                <w:rFonts w:ascii="Times New Roman" w:eastAsia="Times New Roman" w:hAnsi="Times New Roman" w:cs="Times New Roman"/>
                <w:bCs/>
                <w:noProof/>
                <w:sz w:val="18"/>
                <w:szCs w:val="18"/>
              </w:rPr>
            </w:pPr>
          </w:p>
        </w:tc>
      </w:tr>
      <w:tr w:rsidR="00A00259" w14:paraId="2022C6EC" w14:textId="77777777">
        <w:trPr>
          <w:trHeight w:val="302"/>
          <w:jc w:val="center"/>
        </w:trPr>
        <w:tc>
          <w:tcPr>
            <w:tcW w:w="959" w:type="dxa"/>
            <w:shd w:val="clear" w:color="auto" w:fill="C6EFCE"/>
            <w:noWrap/>
            <w:vAlign w:val="center"/>
          </w:tcPr>
          <w:p w14:paraId="2EB352BB" w14:textId="77777777" w:rsidR="00A00259" w:rsidRDefault="00371282">
            <w:pPr>
              <w:pStyle w:val="P68B1DB1-Normal55"/>
              <w:keepNext/>
              <w:spacing w:before="40" w:after="0" w:line="240" w:lineRule="auto"/>
              <w:rPr>
                <w:noProof/>
              </w:rPr>
            </w:pPr>
            <w:r>
              <w:rPr>
                <w:noProof/>
              </w:rPr>
              <w:t>51</w:t>
            </w:r>
          </w:p>
        </w:tc>
        <w:tc>
          <w:tcPr>
            <w:tcW w:w="4407" w:type="dxa"/>
            <w:shd w:val="clear" w:color="auto" w:fill="C6EFCE"/>
            <w:noWrap/>
            <w:vAlign w:val="center"/>
          </w:tcPr>
          <w:p w14:paraId="30799013" w14:textId="77777777" w:rsidR="00A00259" w:rsidRDefault="00371282">
            <w:pPr>
              <w:pStyle w:val="P68B1DB1-Normal55"/>
              <w:spacing w:after="0" w:line="240" w:lineRule="auto"/>
              <w:rPr>
                <w:noProof/>
              </w:rPr>
            </w:pPr>
            <w:r>
              <w:rPr>
                <w:noProof/>
              </w:rPr>
              <w:t>3 - 1.3. Recharge et ravitaillement - 16831_Produc- E Green</w:t>
            </w:r>
          </w:p>
        </w:tc>
        <w:tc>
          <w:tcPr>
            <w:tcW w:w="1417" w:type="dxa"/>
            <w:shd w:val="clear" w:color="auto" w:fill="C6EFCE"/>
            <w:noWrap/>
            <w:vAlign w:val="center"/>
          </w:tcPr>
          <w:p w14:paraId="4298EEF6" w14:textId="77777777" w:rsidR="00A00259" w:rsidRDefault="00371282">
            <w:pPr>
              <w:pStyle w:val="P68B1DB1-Normal55"/>
              <w:keepNext/>
              <w:spacing w:before="40" w:after="0" w:line="240" w:lineRule="auto"/>
              <w:rPr>
                <w:noProof/>
              </w:rPr>
            </w:pPr>
            <w:r>
              <w:rPr>
                <w:noProof/>
              </w:rPr>
              <w:t>Étape</w:t>
            </w:r>
          </w:p>
        </w:tc>
        <w:tc>
          <w:tcPr>
            <w:tcW w:w="2812" w:type="dxa"/>
            <w:shd w:val="clear" w:color="auto" w:fill="C6EFCE"/>
            <w:noWrap/>
            <w:vAlign w:val="center"/>
          </w:tcPr>
          <w:p w14:paraId="001426D7" w14:textId="77777777" w:rsidR="00A00259" w:rsidRDefault="00371282">
            <w:pPr>
              <w:pStyle w:val="P68B1DB1-Normal55"/>
              <w:keepNext/>
              <w:spacing w:before="40" w:after="0" w:line="240" w:lineRule="auto"/>
              <w:rPr>
                <w:noProof/>
              </w:rPr>
            </w:pPr>
            <w:r>
              <w:rPr>
                <w:noProof/>
              </w:rPr>
              <w:t>Captage et stockage du carbone (CSC) – autorisation de stockage</w:t>
            </w:r>
          </w:p>
        </w:tc>
      </w:tr>
      <w:tr w:rsidR="00A00259" w14:paraId="33B32416" w14:textId="77777777">
        <w:trPr>
          <w:trHeight w:val="302"/>
          <w:jc w:val="center"/>
        </w:trPr>
        <w:tc>
          <w:tcPr>
            <w:tcW w:w="959" w:type="dxa"/>
            <w:shd w:val="clear" w:color="auto" w:fill="C6EFCE"/>
            <w:noWrap/>
            <w:vAlign w:val="center"/>
          </w:tcPr>
          <w:p w14:paraId="713603C8" w14:textId="77777777" w:rsidR="00A00259" w:rsidRDefault="00371282">
            <w:pPr>
              <w:pStyle w:val="P68B1DB1-Normal55"/>
              <w:keepNext/>
              <w:spacing w:before="40" w:after="0" w:line="240" w:lineRule="auto"/>
              <w:rPr>
                <w:rFonts w:eastAsia="Times New Roman" w:cs="Times New Roman"/>
                <w:bCs/>
                <w:noProof/>
                <w:szCs w:val="18"/>
              </w:rPr>
            </w:pPr>
            <w:r>
              <w:rPr>
                <w:noProof/>
              </w:rPr>
              <w:t>98</w:t>
            </w:r>
          </w:p>
        </w:tc>
        <w:tc>
          <w:tcPr>
            <w:tcW w:w="4407" w:type="dxa"/>
            <w:shd w:val="clear" w:color="auto" w:fill="C6EFCE"/>
            <w:noWrap/>
            <w:vAlign w:val="center"/>
          </w:tcPr>
          <w:p w14:paraId="403BF20A" w14:textId="77777777" w:rsidR="00A00259" w:rsidRDefault="00371282">
            <w:pPr>
              <w:pStyle w:val="P68B1DB1-Normal55"/>
              <w:keepNext/>
              <w:spacing w:before="40" w:after="0" w:line="240" w:lineRule="auto"/>
              <w:rPr>
                <w:rFonts w:eastAsia="Times New Roman" w:cs="Times New Roman"/>
                <w:bCs/>
                <w:noProof/>
                <w:szCs w:val="18"/>
              </w:rPr>
            </w:pPr>
            <w:r>
              <w:rPr>
                <w:noProof/>
              </w:rPr>
              <w:t>6 - 2.2. 16782_Interconnexion et interopérabilité des registres, des systèmes et des services pour l'échange de données entre les organismes publics nationaux</w:t>
            </w:r>
          </w:p>
        </w:tc>
        <w:tc>
          <w:tcPr>
            <w:tcW w:w="1417" w:type="dxa"/>
            <w:shd w:val="clear" w:color="auto" w:fill="C6EFCE"/>
            <w:noWrap/>
            <w:vAlign w:val="center"/>
          </w:tcPr>
          <w:p w14:paraId="56C13024" w14:textId="77777777" w:rsidR="00A00259" w:rsidRDefault="00371282">
            <w:pPr>
              <w:pStyle w:val="P68B1DB1-Normal55"/>
              <w:keepNext/>
              <w:spacing w:before="40" w:after="0" w:line="240" w:lineRule="auto"/>
              <w:rPr>
                <w:rFonts w:eastAsia="Times New Roman" w:cs="Times New Roman"/>
                <w:noProof/>
                <w:szCs w:val="18"/>
              </w:rPr>
            </w:pPr>
            <w:r>
              <w:rPr>
                <w:noProof/>
              </w:rPr>
              <w:t>Étape</w:t>
            </w:r>
          </w:p>
        </w:tc>
        <w:tc>
          <w:tcPr>
            <w:tcW w:w="2812" w:type="dxa"/>
            <w:shd w:val="clear" w:color="auto" w:fill="C6EFCE"/>
            <w:noWrap/>
            <w:vAlign w:val="center"/>
          </w:tcPr>
          <w:p w14:paraId="4C60ABFF" w14:textId="77777777" w:rsidR="00A00259" w:rsidRDefault="00371282">
            <w:pPr>
              <w:pStyle w:val="P68B1DB1-Normal55"/>
              <w:keepNext/>
              <w:spacing w:before="40" w:after="0" w:line="240" w:lineRule="auto"/>
              <w:rPr>
                <w:rFonts w:eastAsia="Times New Roman" w:cs="Times New Roman"/>
                <w:noProof/>
                <w:szCs w:val="18"/>
              </w:rPr>
            </w:pPr>
            <w:r>
              <w:rPr>
                <w:noProof/>
              </w:rPr>
              <w:t>Base réglementaire pour l'interconnexion et l'interopérabilité des registres</w:t>
            </w:r>
          </w:p>
        </w:tc>
      </w:tr>
      <w:tr w:rsidR="00A00259" w14:paraId="01973111" w14:textId="77777777">
        <w:trPr>
          <w:trHeight w:val="302"/>
          <w:jc w:val="center"/>
        </w:trPr>
        <w:tc>
          <w:tcPr>
            <w:tcW w:w="959" w:type="dxa"/>
            <w:shd w:val="clear" w:color="auto" w:fill="C6EFCE"/>
            <w:noWrap/>
            <w:vAlign w:val="center"/>
          </w:tcPr>
          <w:p w14:paraId="7A7C40A5" w14:textId="77777777" w:rsidR="00A00259" w:rsidRDefault="00371282">
            <w:pPr>
              <w:pStyle w:val="P68B1DB1-Normal55"/>
              <w:keepNext/>
              <w:spacing w:before="40" w:after="0" w:line="240" w:lineRule="auto"/>
              <w:rPr>
                <w:rFonts w:eastAsia="Times New Roman" w:cs="Times New Roman"/>
                <w:bCs/>
                <w:noProof/>
                <w:szCs w:val="18"/>
              </w:rPr>
            </w:pPr>
            <w:r>
              <w:rPr>
                <w:noProof/>
              </w:rPr>
              <w:t>110a</w:t>
            </w:r>
          </w:p>
        </w:tc>
        <w:tc>
          <w:tcPr>
            <w:tcW w:w="4407" w:type="dxa"/>
            <w:shd w:val="clear" w:color="auto" w:fill="C6EFCE"/>
            <w:noWrap/>
            <w:vAlign w:val="center"/>
          </w:tcPr>
          <w:p w14:paraId="0BC90649" w14:textId="77777777" w:rsidR="00A00259" w:rsidRDefault="00371282">
            <w:pPr>
              <w:pStyle w:val="P68B1DB1-Normal11"/>
              <w:keepNext/>
              <w:spacing w:before="40" w:after="0" w:line="240" w:lineRule="auto"/>
              <w:rPr>
                <w:rFonts w:eastAsia="Times New Roman" w:cs="Times New Roman"/>
                <w:bCs/>
                <w:noProof/>
              </w:rPr>
            </w:pPr>
            <w:r>
              <w:rPr>
                <w:noProof/>
              </w:rPr>
              <w:t>6 - 2.2. 16780_Modernisation des guichets uniques de l’administration publique</w:t>
            </w:r>
          </w:p>
        </w:tc>
        <w:tc>
          <w:tcPr>
            <w:tcW w:w="1417" w:type="dxa"/>
            <w:shd w:val="clear" w:color="auto" w:fill="C6EFCE"/>
            <w:noWrap/>
            <w:vAlign w:val="center"/>
          </w:tcPr>
          <w:p w14:paraId="3A02DA3D" w14:textId="77777777" w:rsidR="00A00259" w:rsidRDefault="00371282">
            <w:pPr>
              <w:pStyle w:val="P68B1DB1-Normal55"/>
              <w:keepNext/>
              <w:spacing w:before="40" w:after="0" w:line="240" w:lineRule="auto"/>
              <w:rPr>
                <w:rFonts w:eastAsia="Times New Roman" w:cs="Times New Roman"/>
                <w:noProof/>
                <w:szCs w:val="18"/>
              </w:rPr>
            </w:pPr>
            <w:r>
              <w:rPr>
                <w:noProof/>
              </w:rPr>
              <w:t>Étape</w:t>
            </w:r>
          </w:p>
        </w:tc>
        <w:tc>
          <w:tcPr>
            <w:tcW w:w="2812" w:type="dxa"/>
            <w:shd w:val="clear" w:color="auto" w:fill="C6EFCE"/>
            <w:noWrap/>
            <w:vAlign w:val="center"/>
          </w:tcPr>
          <w:p w14:paraId="1A7B2716" w14:textId="77777777" w:rsidR="00A00259" w:rsidRDefault="00371282">
            <w:pPr>
              <w:pStyle w:val="P68B1DB1-Normal11"/>
              <w:keepNext/>
              <w:spacing w:before="40" w:after="0" w:line="240" w:lineRule="auto"/>
              <w:rPr>
                <w:rFonts w:eastAsia="Times New Roman" w:cs="Times New Roman"/>
                <w:noProof/>
              </w:rPr>
            </w:pPr>
            <w:r>
              <w:rPr>
                <w:noProof/>
              </w:rPr>
              <w:t>Réalisation du projet de modernisation des guichets uniques</w:t>
            </w:r>
          </w:p>
        </w:tc>
      </w:tr>
      <w:tr w:rsidR="00A00259" w14:paraId="316DE41F" w14:textId="77777777">
        <w:trPr>
          <w:trHeight w:val="302"/>
          <w:jc w:val="center"/>
        </w:trPr>
        <w:tc>
          <w:tcPr>
            <w:tcW w:w="959" w:type="dxa"/>
            <w:shd w:val="clear" w:color="auto" w:fill="C6EFCE"/>
            <w:noWrap/>
            <w:vAlign w:val="center"/>
          </w:tcPr>
          <w:p w14:paraId="204203E3" w14:textId="77777777" w:rsidR="00A00259" w:rsidRDefault="00371282">
            <w:pPr>
              <w:pStyle w:val="P68B1DB1-Normal55"/>
              <w:keepNext/>
              <w:spacing w:before="40" w:after="0" w:line="240" w:lineRule="auto"/>
              <w:rPr>
                <w:rFonts w:eastAsia="Times New Roman" w:cs="Times New Roman"/>
                <w:bCs/>
                <w:noProof/>
                <w:szCs w:val="18"/>
              </w:rPr>
            </w:pPr>
            <w:r>
              <w:rPr>
                <w:noProof/>
              </w:rPr>
              <w:t>112</w:t>
            </w:r>
          </w:p>
        </w:tc>
        <w:tc>
          <w:tcPr>
            <w:tcW w:w="4407" w:type="dxa"/>
            <w:shd w:val="clear" w:color="auto" w:fill="C6EFCE"/>
            <w:noWrap/>
            <w:vAlign w:val="center"/>
          </w:tcPr>
          <w:p w14:paraId="1F9BE379" w14:textId="77777777" w:rsidR="00A00259" w:rsidRDefault="00371282">
            <w:pPr>
              <w:pStyle w:val="P68B1DB1-Normal11"/>
              <w:keepNext/>
              <w:spacing w:before="40" w:after="0" w:line="240" w:lineRule="auto"/>
              <w:rPr>
                <w:rFonts w:eastAsia="Times New Roman" w:cs="Times New Roman"/>
                <w:bCs/>
                <w:noProof/>
              </w:rPr>
            </w:pPr>
            <w:r>
              <w:rPr>
                <w:noProof/>
              </w:rPr>
              <w:t>6 - 2.2. 16823_Stratégie de cybersécurité et Centre national des opérations de sécurité</w:t>
            </w:r>
          </w:p>
        </w:tc>
        <w:tc>
          <w:tcPr>
            <w:tcW w:w="1417" w:type="dxa"/>
            <w:shd w:val="clear" w:color="auto" w:fill="C6EFCE"/>
            <w:noWrap/>
            <w:vAlign w:val="center"/>
          </w:tcPr>
          <w:p w14:paraId="3A726D4A" w14:textId="77777777" w:rsidR="00A00259" w:rsidRDefault="00371282">
            <w:pPr>
              <w:pStyle w:val="P68B1DB1-Normal55"/>
              <w:keepNext/>
              <w:spacing w:before="40" w:after="0" w:line="240" w:lineRule="auto"/>
              <w:rPr>
                <w:rFonts w:eastAsia="Times New Roman" w:cs="Times New Roman"/>
                <w:noProof/>
                <w:szCs w:val="18"/>
              </w:rPr>
            </w:pPr>
            <w:r>
              <w:rPr>
                <w:noProof/>
              </w:rPr>
              <w:t>Étape</w:t>
            </w:r>
          </w:p>
        </w:tc>
        <w:tc>
          <w:tcPr>
            <w:tcW w:w="2812" w:type="dxa"/>
            <w:shd w:val="clear" w:color="auto" w:fill="C6EFCE"/>
            <w:noWrap/>
            <w:vAlign w:val="center"/>
          </w:tcPr>
          <w:p w14:paraId="52D78749" w14:textId="1D151892" w:rsidR="00A00259" w:rsidRDefault="00371282">
            <w:pPr>
              <w:pStyle w:val="P68B1DB1-Normal11"/>
              <w:keepNext/>
              <w:spacing w:before="40" w:after="0" w:line="240" w:lineRule="auto"/>
              <w:rPr>
                <w:noProof/>
              </w:rPr>
            </w:pPr>
            <w:r>
              <w:rPr>
                <w:noProof/>
              </w:rPr>
              <w:t>Mise en œuvre de la stratégie de cybersécurité et du Centre des opérations de sécurité nationale</w:t>
            </w:r>
          </w:p>
        </w:tc>
      </w:tr>
      <w:tr w:rsidR="00A00259" w14:paraId="5FF387BE" w14:textId="77777777">
        <w:trPr>
          <w:trHeight w:val="302"/>
          <w:jc w:val="center"/>
        </w:trPr>
        <w:tc>
          <w:tcPr>
            <w:tcW w:w="959" w:type="dxa"/>
            <w:shd w:val="clear" w:color="auto" w:fill="C6EFCE"/>
            <w:noWrap/>
            <w:vAlign w:val="center"/>
          </w:tcPr>
          <w:p w14:paraId="5FD5429D" w14:textId="77777777" w:rsidR="00A00259" w:rsidRDefault="00371282">
            <w:pPr>
              <w:pStyle w:val="P68B1DB1-Normal55"/>
              <w:keepNext/>
              <w:spacing w:before="40" w:after="0" w:line="240" w:lineRule="auto"/>
              <w:rPr>
                <w:rFonts w:cs="Times New Roman"/>
                <w:noProof/>
                <w:szCs w:val="18"/>
              </w:rPr>
            </w:pPr>
            <w:r>
              <w:rPr>
                <w:noProof/>
              </w:rPr>
              <w:t>142 bis</w:t>
            </w:r>
          </w:p>
        </w:tc>
        <w:tc>
          <w:tcPr>
            <w:tcW w:w="4407" w:type="dxa"/>
            <w:shd w:val="clear" w:color="auto" w:fill="C6EFCE"/>
            <w:noWrap/>
            <w:vAlign w:val="center"/>
          </w:tcPr>
          <w:p w14:paraId="13697A92" w14:textId="4C24EC78" w:rsidR="00A00259" w:rsidRDefault="00371282">
            <w:pPr>
              <w:pStyle w:val="P68B1DB1-Normal11"/>
              <w:keepNext/>
              <w:spacing w:before="40" w:after="0" w:line="240" w:lineRule="auto"/>
              <w:rPr>
                <w:noProof/>
              </w:rPr>
            </w:pPr>
            <w:r>
              <w:rPr>
                <w:noProof/>
              </w:rPr>
              <w:t>8 - 3.1. «Promouvoir la création d'emplois et la participation au marché du travail» - 16746_Réforme des politiques passives du marché du travail pour soutenir les transitions vers l'emploi</w:t>
            </w:r>
          </w:p>
        </w:tc>
        <w:tc>
          <w:tcPr>
            <w:tcW w:w="1417" w:type="dxa"/>
            <w:shd w:val="clear" w:color="auto" w:fill="C6EFCE"/>
            <w:noWrap/>
            <w:vAlign w:val="center"/>
          </w:tcPr>
          <w:p w14:paraId="508FFE57" w14:textId="77777777" w:rsidR="00A00259" w:rsidRDefault="00371282">
            <w:pPr>
              <w:pStyle w:val="P68B1DB1-Normal55"/>
              <w:keepNext/>
              <w:spacing w:before="40" w:after="0" w:line="240" w:lineRule="auto"/>
              <w:rPr>
                <w:rFonts w:cs="Times New Roman"/>
                <w:noProof/>
                <w:szCs w:val="18"/>
              </w:rPr>
            </w:pPr>
            <w:r>
              <w:rPr>
                <w:noProof/>
              </w:rPr>
              <w:t>Étape</w:t>
            </w:r>
          </w:p>
        </w:tc>
        <w:tc>
          <w:tcPr>
            <w:tcW w:w="2812" w:type="dxa"/>
            <w:shd w:val="clear" w:color="auto" w:fill="C6EFCE"/>
            <w:noWrap/>
            <w:vAlign w:val="center"/>
          </w:tcPr>
          <w:p w14:paraId="3F1D3E80" w14:textId="77777777" w:rsidR="00A00259" w:rsidRDefault="00371282">
            <w:pPr>
              <w:pStyle w:val="P68B1DB1-Normal16"/>
              <w:keepNext/>
              <w:spacing w:before="40" w:after="0" w:line="240" w:lineRule="auto"/>
              <w:rPr>
                <w:noProof/>
              </w:rPr>
            </w:pPr>
            <w:r>
              <w:rPr>
                <w:noProof/>
              </w:rPr>
              <w:t>Législation sur les prestations et allocations de chômage</w:t>
            </w:r>
          </w:p>
        </w:tc>
      </w:tr>
      <w:tr w:rsidR="00A00259" w14:paraId="01599FC9" w14:textId="77777777">
        <w:trPr>
          <w:trHeight w:val="302"/>
          <w:jc w:val="center"/>
        </w:trPr>
        <w:tc>
          <w:tcPr>
            <w:tcW w:w="959" w:type="dxa"/>
            <w:shd w:val="clear" w:color="auto" w:fill="C6EFCE"/>
            <w:noWrap/>
            <w:vAlign w:val="center"/>
          </w:tcPr>
          <w:p w14:paraId="1CAB7CA9" w14:textId="77777777" w:rsidR="00A00259" w:rsidRDefault="00371282">
            <w:pPr>
              <w:pStyle w:val="P68B1DB1-Normal55"/>
              <w:keepNext/>
              <w:spacing w:before="40" w:after="0" w:line="240" w:lineRule="auto"/>
              <w:rPr>
                <w:rFonts w:cs="Times New Roman"/>
                <w:noProof/>
                <w:szCs w:val="18"/>
              </w:rPr>
            </w:pPr>
            <w:r>
              <w:rPr>
                <w:noProof/>
              </w:rPr>
              <w:t>144</w:t>
            </w:r>
          </w:p>
        </w:tc>
        <w:tc>
          <w:tcPr>
            <w:tcW w:w="4407" w:type="dxa"/>
            <w:shd w:val="clear" w:color="auto" w:fill="C6EFCE"/>
            <w:noWrap/>
            <w:vAlign w:val="center"/>
          </w:tcPr>
          <w:p w14:paraId="79DA23CD" w14:textId="77777777" w:rsidR="00A00259" w:rsidRDefault="00371282">
            <w:pPr>
              <w:pStyle w:val="P68B1DB1-Normal55"/>
              <w:keepNext/>
              <w:spacing w:before="40" w:after="0" w:line="240" w:lineRule="auto"/>
              <w:rPr>
                <w:rFonts w:cs="Times New Roman"/>
                <w:noProof/>
                <w:szCs w:val="18"/>
              </w:rPr>
            </w:pPr>
            <w:r>
              <w:rPr>
                <w:noProof/>
              </w:rPr>
              <w:t>8 - 3.1. Promouvoir la création d'emplois et la participation au marché du travail - 16747_Réforme des politiques actives du marché du travail</w:t>
            </w:r>
          </w:p>
        </w:tc>
        <w:tc>
          <w:tcPr>
            <w:tcW w:w="1417" w:type="dxa"/>
            <w:shd w:val="clear" w:color="auto" w:fill="C6EFCE"/>
            <w:noWrap/>
            <w:vAlign w:val="center"/>
          </w:tcPr>
          <w:p w14:paraId="409C6975" w14:textId="77777777" w:rsidR="00A00259" w:rsidRDefault="00371282">
            <w:pPr>
              <w:pStyle w:val="P68B1DB1-Normal55"/>
              <w:keepNext/>
              <w:spacing w:before="40" w:after="0" w:line="240" w:lineRule="auto"/>
              <w:rPr>
                <w:rFonts w:cs="Times New Roman"/>
                <w:noProof/>
                <w:szCs w:val="18"/>
              </w:rPr>
            </w:pPr>
            <w:r>
              <w:rPr>
                <w:noProof/>
              </w:rPr>
              <w:t>Étape</w:t>
            </w:r>
          </w:p>
        </w:tc>
        <w:tc>
          <w:tcPr>
            <w:tcW w:w="2812" w:type="dxa"/>
            <w:shd w:val="clear" w:color="auto" w:fill="C6EFCE"/>
            <w:noWrap/>
            <w:vAlign w:val="center"/>
          </w:tcPr>
          <w:p w14:paraId="4B867C41" w14:textId="77777777" w:rsidR="00A00259" w:rsidRDefault="00371282">
            <w:pPr>
              <w:pStyle w:val="P68B1DB1-Normal55"/>
              <w:keepNext/>
              <w:spacing w:before="40" w:after="0" w:line="240" w:lineRule="auto"/>
              <w:rPr>
                <w:rFonts w:cs="Times New Roman"/>
                <w:noProof/>
                <w:szCs w:val="18"/>
              </w:rPr>
            </w:pPr>
            <w:r>
              <w:rPr>
                <w:noProof/>
              </w:rPr>
              <w:t xml:space="preserve">Mise en œuvre d’un programme de formation à l’emploi dans le cadre des PAMT </w:t>
            </w:r>
          </w:p>
        </w:tc>
      </w:tr>
      <w:tr w:rsidR="00A00259" w14:paraId="0ABBF254" w14:textId="77777777">
        <w:trPr>
          <w:trHeight w:val="302"/>
          <w:jc w:val="center"/>
        </w:trPr>
        <w:tc>
          <w:tcPr>
            <w:tcW w:w="959" w:type="dxa"/>
            <w:shd w:val="clear" w:color="auto" w:fill="C6EFCE"/>
            <w:noWrap/>
            <w:vAlign w:val="center"/>
          </w:tcPr>
          <w:p w14:paraId="66539126" w14:textId="77777777" w:rsidR="00A00259" w:rsidRDefault="00371282">
            <w:pPr>
              <w:pStyle w:val="P68B1DB1-Normal55"/>
              <w:keepNext/>
              <w:spacing w:before="40" w:after="0" w:line="240" w:lineRule="auto"/>
              <w:rPr>
                <w:rFonts w:cs="Times New Roman"/>
                <w:noProof/>
                <w:szCs w:val="18"/>
              </w:rPr>
            </w:pPr>
            <w:r>
              <w:rPr>
                <w:noProof/>
              </w:rPr>
              <w:t>145 bis</w:t>
            </w:r>
          </w:p>
        </w:tc>
        <w:tc>
          <w:tcPr>
            <w:tcW w:w="4407" w:type="dxa"/>
            <w:shd w:val="clear" w:color="auto" w:fill="C6EFCE"/>
            <w:noWrap/>
            <w:vAlign w:val="center"/>
          </w:tcPr>
          <w:p w14:paraId="2EF44250" w14:textId="77777777" w:rsidR="00A00259" w:rsidRDefault="00371282">
            <w:pPr>
              <w:pStyle w:val="P68B1DB1-Normal55"/>
              <w:keepNext/>
              <w:spacing w:before="40" w:after="0" w:line="240" w:lineRule="auto"/>
              <w:rPr>
                <w:rFonts w:cs="Times New Roman"/>
                <w:noProof/>
                <w:szCs w:val="18"/>
              </w:rPr>
            </w:pPr>
            <w:r>
              <w:rPr>
                <w:noProof/>
              </w:rPr>
              <w:t xml:space="preserve">9 - 3.2. Éducation, enseignement et formation professionnels et compétences - 16794_Renforcement du système d'apprentissage </w:t>
            </w:r>
          </w:p>
        </w:tc>
        <w:tc>
          <w:tcPr>
            <w:tcW w:w="1417" w:type="dxa"/>
            <w:shd w:val="clear" w:color="auto" w:fill="C6EFCE"/>
            <w:noWrap/>
            <w:vAlign w:val="center"/>
          </w:tcPr>
          <w:p w14:paraId="6BA0BE64" w14:textId="77777777" w:rsidR="00A00259" w:rsidRDefault="00371282">
            <w:pPr>
              <w:pStyle w:val="P68B1DB1-Normal55"/>
              <w:keepNext/>
              <w:spacing w:before="40" w:after="0" w:line="240" w:lineRule="auto"/>
              <w:rPr>
                <w:rFonts w:cs="Times New Roman"/>
                <w:noProof/>
                <w:szCs w:val="18"/>
              </w:rPr>
            </w:pPr>
            <w:r>
              <w:rPr>
                <w:noProof/>
              </w:rPr>
              <w:t>Étape</w:t>
            </w:r>
          </w:p>
        </w:tc>
        <w:tc>
          <w:tcPr>
            <w:tcW w:w="2812" w:type="dxa"/>
            <w:shd w:val="clear" w:color="auto" w:fill="C6EFCE"/>
            <w:noWrap/>
            <w:vAlign w:val="center"/>
          </w:tcPr>
          <w:p w14:paraId="10B4FF89" w14:textId="77777777" w:rsidR="00A00259" w:rsidRDefault="00371282">
            <w:pPr>
              <w:pStyle w:val="P68B1DB1-Normal55"/>
              <w:keepNext/>
              <w:spacing w:before="40" w:after="0" w:line="240" w:lineRule="auto"/>
              <w:rPr>
                <w:rFonts w:cs="Times New Roman"/>
                <w:noProof/>
                <w:szCs w:val="18"/>
              </w:rPr>
            </w:pPr>
            <w:r>
              <w:rPr>
                <w:noProof/>
              </w:rPr>
              <w:t>Cadre juridique Système national d'EFP</w:t>
            </w:r>
          </w:p>
        </w:tc>
      </w:tr>
      <w:tr w:rsidR="00A00259" w14:paraId="1D5F0442" w14:textId="77777777">
        <w:trPr>
          <w:trHeight w:val="302"/>
          <w:jc w:val="center"/>
        </w:trPr>
        <w:tc>
          <w:tcPr>
            <w:tcW w:w="959" w:type="dxa"/>
            <w:shd w:val="clear" w:color="auto" w:fill="C6EFCE"/>
            <w:noWrap/>
            <w:vAlign w:val="center"/>
          </w:tcPr>
          <w:p w14:paraId="674C45E6" w14:textId="77777777" w:rsidR="00A00259" w:rsidRDefault="00371282">
            <w:pPr>
              <w:pStyle w:val="P68B1DB1-Normal55"/>
              <w:keepNext/>
              <w:spacing w:before="40" w:after="0" w:line="240" w:lineRule="auto"/>
              <w:rPr>
                <w:noProof/>
              </w:rPr>
            </w:pPr>
            <w:r>
              <w:rPr>
                <w:noProof/>
              </w:rPr>
              <w:t>166</w:t>
            </w:r>
          </w:p>
        </w:tc>
        <w:tc>
          <w:tcPr>
            <w:tcW w:w="4407" w:type="dxa"/>
            <w:shd w:val="clear" w:color="auto" w:fill="C6EFCE"/>
            <w:noWrap/>
            <w:vAlign w:val="center"/>
          </w:tcPr>
          <w:p w14:paraId="74226A09" w14:textId="77777777" w:rsidR="00A00259" w:rsidRDefault="00371282">
            <w:pPr>
              <w:pStyle w:val="P68B1DB1-Normal55"/>
              <w:keepNext/>
              <w:spacing w:before="40" w:after="0" w:line="240" w:lineRule="auto"/>
              <w:rPr>
                <w:noProof/>
              </w:rPr>
            </w:pPr>
            <w:r>
              <w:rPr>
                <w:noProof/>
                <w:szCs w:val="18"/>
              </w:rPr>
              <w:t xml:space="preserve">10 - 3.3. Améliorer la résilience, l'accessibilité et la durabilité des soins de santé - </w:t>
            </w:r>
            <w:r>
              <w:rPr>
                <w:noProof/>
              </w:rPr>
              <w:t>16755_Investissements verts - Réforme du système de soins de santé primaires</w:t>
            </w:r>
          </w:p>
        </w:tc>
        <w:tc>
          <w:tcPr>
            <w:tcW w:w="1417" w:type="dxa"/>
            <w:shd w:val="clear" w:color="auto" w:fill="C6EFCE"/>
            <w:noWrap/>
            <w:vAlign w:val="center"/>
          </w:tcPr>
          <w:p w14:paraId="674AC12C" w14:textId="77777777" w:rsidR="00A00259" w:rsidRDefault="00371282">
            <w:pPr>
              <w:pStyle w:val="P68B1DB1-Normal55"/>
              <w:keepNext/>
              <w:spacing w:before="40" w:after="0" w:line="240" w:lineRule="auto"/>
              <w:rPr>
                <w:noProof/>
              </w:rPr>
            </w:pPr>
            <w:r>
              <w:rPr>
                <w:noProof/>
              </w:rPr>
              <w:t>Objectif</w:t>
            </w:r>
          </w:p>
        </w:tc>
        <w:tc>
          <w:tcPr>
            <w:tcW w:w="2812" w:type="dxa"/>
            <w:shd w:val="clear" w:color="auto" w:fill="C6EFCE"/>
            <w:noWrap/>
            <w:vAlign w:val="center"/>
          </w:tcPr>
          <w:p w14:paraId="39E19006" w14:textId="77777777" w:rsidR="00A00259" w:rsidRDefault="00371282">
            <w:pPr>
              <w:pStyle w:val="P68B1DB1-Normal55"/>
              <w:keepNext/>
              <w:spacing w:before="40" w:after="0" w:line="240" w:lineRule="auto"/>
              <w:rPr>
                <w:noProof/>
              </w:rPr>
            </w:pPr>
            <w:r>
              <w:rPr>
                <w:noProof/>
              </w:rPr>
              <w:t>SSP – unités de soins de santé primaires dotées d’infrastructures rénovées – étape 1</w:t>
            </w:r>
          </w:p>
        </w:tc>
      </w:tr>
      <w:tr w:rsidR="00A00259" w14:paraId="1FD34D32" w14:textId="77777777">
        <w:trPr>
          <w:trHeight w:val="302"/>
          <w:jc w:val="center"/>
        </w:trPr>
        <w:tc>
          <w:tcPr>
            <w:tcW w:w="959" w:type="dxa"/>
            <w:shd w:val="clear" w:color="auto" w:fill="C6EFCE"/>
            <w:noWrap/>
            <w:vAlign w:val="center"/>
          </w:tcPr>
          <w:p w14:paraId="613315CA" w14:textId="77777777" w:rsidR="00A00259" w:rsidRDefault="00371282">
            <w:pPr>
              <w:pStyle w:val="P68B1DB1-Normal11"/>
              <w:keepNext/>
              <w:spacing w:before="40" w:after="0" w:line="240" w:lineRule="auto"/>
              <w:rPr>
                <w:rFonts w:cs="Times New Roman"/>
                <w:noProof/>
              </w:rPr>
            </w:pPr>
            <w:r>
              <w:rPr>
                <w:noProof/>
              </w:rPr>
              <w:t>168</w:t>
            </w:r>
          </w:p>
        </w:tc>
        <w:tc>
          <w:tcPr>
            <w:tcW w:w="4407" w:type="dxa"/>
            <w:shd w:val="clear" w:color="auto" w:fill="C6EFCE"/>
            <w:noWrap/>
            <w:vAlign w:val="center"/>
          </w:tcPr>
          <w:p w14:paraId="7FD7E0F6" w14:textId="77777777" w:rsidR="00A00259" w:rsidRDefault="00371282">
            <w:pPr>
              <w:pStyle w:val="P68B1DB1-Normal11"/>
              <w:keepNext/>
              <w:spacing w:before="40" w:after="0" w:line="240" w:lineRule="auto"/>
              <w:rPr>
                <w:rFonts w:cs="Times New Roman"/>
                <w:noProof/>
              </w:rPr>
            </w:pPr>
            <w:r>
              <w:rPr>
                <w:noProof/>
              </w:rPr>
              <w:t>10 - 3.3. Améliorer la résilience, l'accessibilité et la durabilité des soins de santé - 16752_Transformation numérique de la santé (DigHealth)</w:t>
            </w:r>
          </w:p>
        </w:tc>
        <w:tc>
          <w:tcPr>
            <w:tcW w:w="1417" w:type="dxa"/>
            <w:shd w:val="clear" w:color="auto" w:fill="C6EFCE"/>
            <w:noWrap/>
            <w:vAlign w:val="center"/>
          </w:tcPr>
          <w:p w14:paraId="17DE43DE" w14:textId="77777777" w:rsidR="00A00259" w:rsidRDefault="00371282">
            <w:pPr>
              <w:pStyle w:val="P68B1DB1-Normal11"/>
              <w:keepNext/>
              <w:spacing w:before="40" w:after="0" w:line="240" w:lineRule="auto"/>
              <w:rPr>
                <w:rFonts w:cs="Times New Roman"/>
                <w:noProof/>
              </w:rPr>
            </w:pPr>
            <w:r>
              <w:rPr>
                <w:noProof/>
              </w:rPr>
              <w:t>Étape</w:t>
            </w:r>
          </w:p>
        </w:tc>
        <w:tc>
          <w:tcPr>
            <w:tcW w:w="2812" w:type="dxa"/>
            <w:shd w:val="clear" w:color="auto" w:fill="C6EFCE"/>
            <w:noWrap/>
            <w:vAlign w:val="center"/>
          </w:tcPr>
          <w:p w14:paraId="44DE50EC" w14:textId="4DD2A8A2" w:rsidR="00A00259" w:rsidRDefault="00371282">
            <w:pPr>
              <w:pStyle w:val="P68B1DB1-Normal11"/>
              <w:keepNext/>
              <w:spacing w:before="40" w:after="0" w:line="240" w:lineRule="auto"/>
              <w:rPr>
                <w:noProof/>
              </w:rPr>
            </w:pPr>
            <w:r>
              <w:rPr>
                <w:noProof/>
              </w:rPr>
              <w:t>Transformation numérique – Extension du système de création et de gestion des rendez-vous dans le cadre du programme national de vaccination contre la COVID-19, mise à niveau de l’infrastructure du système de prescription électronique</w:t>
            </w:r>
          </w:p>
        </w:tc>
      </w:tr>
      <w:tr w:rsidR="00A00259" w14:paraId="2B64C614" w14:textId="77777777">
        <w:trPr>
          <w:trHeight w:val="302"/>
          <w:jc w:val="center"/>
        </w:trPr>
        <w:tc>
          <w:tcPr>
            <w:tcW w:w="959" w:type="dxa"/>
            <w:shd w:val="clear" w:color="auto" w:fill="C6EFCE"/>
            <w:noWrap/>
            <w:vAlign w:val="center"/>
          </w:tcPr>
          <w:p w14:paraId="08453A61" w14:textId="77777777" w:rsidR="00A00259" w:rsidRDefault="00371282">
            <w:pPr>
              <w:pStyle w:val="P68B1DB1-Normal55"/>
              <w:keepNext/>
              <w:spacing w:before="40" w:after="0" w:line="240" w:lineRule="auto"/>
              <w:rPr>
                <w:noProof/>
              </w:rPr>
            </w:pPr>
            <w:r>
              <w:rPr>
                <w:noProof/>
              </w:rPr>
              <w:t>170</w:t>
            </w:r>
          </w:p>
        </w:tc>
        <w:tc>
          <w:tcPr>
            <w:tcW w:w="4407" w:type="dxa"/>
            <w:shd w:val="clear" w:color="auto" w:fill="C6EFCE"/>
            <w:noWrap/>
            <w:vAlign w:val="center"/>
          </w:tcPr>
          <w:p w14:paraId="62DD4C17" w14:textId="77777777" w:rsidR="00A00259" w:rsidRDefault="00371282">
            <w:pPr>
              <w:pStyle w:val="P68B1DB1-Normal55"/>
              <w:keepNext/>
              <w:spacing w:before="40" w:after="0" w:line="240" w:lineRule="auto"/>
              <w:rPr>
                <w:noProof/>
              </w:rPr>
            </w:pPr>
            <w:r>
              <w:rPr>
                <w:noProof/>
              </w:rPr>
              <w:t>10 - 3.3. Améliorer la résilience, l'accessibilité et la durabilité des soins de santé - 16795_Infrastructures de santé</w:t>
            </w:r>
          </w:p>
        </w:tc>
        <w:tc>
          <w:tcPr>
            <w:tcW w:w="1417" w:type="dxa"/>
            <w:shd w:val="clear" w:color="auto" w:fill="C6EFCE"/>
            <w:noWrap/>
            <w:vAlign w:val="center"/>
          </w:tcPr>
          <w:p w14:paraId="5EBCF8AD" w14:textId="77777777" w:rsidR="00A00259" w:rsidRDefault="00371282">
            <w:pPr>
              <w:pStyle w:val="P68B1DB1-Normal55"/>
              <w:keepNext/>
              <w:spacing w:before="40" w:after="0" w:line="240" w:lineRule="auto"/>
              <w:rPr>
                <w:noProof/>
              </w:rPr>
            </w:pPr>
            <w:r>
              <w:rPr>
                <w:noProof/>
              </w:rPr>
              <w:t>Étape</w:t>
            </w:r>
          </w:p>
        </w:tc>
        <w:tc>
          <w:tcPr>
            <w:tcW w:w="2812" w:type="dxa"/>
            <w:shd w:val="clear" w:color="auto" w:fill="C6EFCE"/>
            <w:noWrap/>
            <w:vAlign w:val="center"/>
          </w:tcPr>
          <w:p w14:paraId="129CFB63" w14:textId="77777777" w:rsidR="00A00259" w:rsidRDefault="00371282">
            <w:pPr>
              <w:pStyle w:val="P68B1DB1-Normal55"/>
              <w:keepNext/>
              <w:spacing w:before="40" w:after="0" w:line="240" w:lineRule="auto"/>
              <w:rPr>
                <w:noProof/>
              </w:rPr>
            </w:pPr>
            <w:r>
              <w:rPr>
                <w:noProof/>
              </w:rPr>
              <w:t>Mise à niveau de l’infrastructure du NHS – étape 1</w:t>
            </w:r>
          </w:p>
        </w:tc>
      </w:tr>
      <w:tr w:rsidR="00A00259" w14:paraId="07950256" w14:textId="77777777">
        <w:trPr>
          <w:trHeight w:val="302"/>
          <w:jc w:val="center"/>
        </w:trPr>
        <w:tc>
          <w:tcPr>
            <w:tcW w:w="959" w:type="dxa"/>
            <w:shd w:val="clear" w:color="auto" w:fill="C6EFCE"/>
            <w:noWrap/>
            <w:vAlign w:val="center"/>
          </w:tcPr>
          <w:p w14:paraId="540FC12F" w14:textId="77777777" w:rsidR="00A00259" w:rsidRDefault="00371282">
            <w:pPr>
              <w:pStyle w:val="P68B1DB1-Normal55"/>
              <w:keepNext/>
              <w:spacing w:before="40" w:after="0" w:line="240" w:lineRule="auto"/>
              <w:rPr>
                <w:noProof/>
              </w:rPr>
            </w:pPr>
            <w:r>
              <w:rPr>
                <w:noProof/>
              </w:rPr>
              <w:t>175</w:t>
            </w:r>
          </w:p>
        </w:tc>
        <w:tc>
          <w:tcPr>
            <w:tcW w:w="4407" w:type="dxa"/>
            <w:shd w:val="clear" w:color="auto" w:fill="C6EFCE"/>
            <w:noWrap/>
            <w:vAlign w:val="center"/>
          </w:tcPr>
          <w:p w14:paraId="7B7312B2" w14:textId="77777777" w:rsidR="00A00259" w:rsidRDefault="00371282">
            <w:pPr>
              <w:pStyle w:val="P68B1DB1-Normal55"/>
              <w:keepNext/>
              <w:spacing w:before="40" w:after="0" w:line="240" w:lineRule="auto"/>
              <w:rPr>
                <w:noProof/>
              </w:rPr>
            </w:pPr>
            <w:r>
              <w:rPr>
                <w:noProof/>
              </w:rPr>
              <w:t>11 - 3.4. Accroître l’accès à des politiques sociales efficaces et inclusives – 16726 Optimisation des prestations sociales</w:t>
            </w:r>
          </w:p>
        </w:tc>
        <w:tc>
          <w:tcPr>
            <w:tcW w:w="1417" w:type="dxa"/>
            <w:shd w:val="clear" w:color="auto" w:fill="C6EFCE"/>
            <w:noWrap/>
            <w:vAlign w:val="center"/>
          </w:tcPr>
          <w:p w14:paraId="08A122B7" w14:textId="77777777" w:rsidR="00A00259" w:rsidRDefault="00371282">
            <w:pPr>
              <w:pStyle w:val="P68B1DB1-Normal55"/>
              <w:keepNext/>
              <w:spacing w:before="40" w:after="0" w:line="240" w:lineRule="auto"/>
              <w:rPr>
                <w:noProof/>
              </w:rPr>
            </w:pPr>
            <w:r>
              <w:rPr>
                <w:noProof/>
              </w:rPr>
              <w:t>Étape</w:t>
            </w:r>
          </w:p>
        </w:tc>
        <w:tc>
          <w:tcPr>
            <w:tcW w:w="2812" w:type="dxa"/>
            <w:shd w:val="clear" w:color="auto" w:fill="C6EFCE"/>
            <w:noWrap/>
            <w:vAlign w:val="center"/>
          </w:tcPr>
          <w:p w14:paraId="28BD7743" w14:textId="77777777" w:rsidR="00A00259" w:rsidRDefault="00371282">
            <w:pPr>
              <w:pStyle w:val="P68B1DB1-Normal16"/>
              <w:keepNext/>
              <w:spacing w:before="40" w:after="0" w:line="240" w:lineRule="auto"/>
              <w:rPr>
                <w:noProof/>
              </w:rPr>
            </w:pPr>
            <w:r>
              <w:rPr>
                <w:noProof/>
              </w:rPr>
              <w:t>Avantages sociaux Optimisation des cartes prépayées</w:t>
            </w:r>
          </w:p>
        </w:tc>
      </w:tr>
      <w:tr w:rsidR="00A00259" w14:paraId="62C8FB9C" w14:textId="77777777">
        <w:trPr>
          <w:trHeight w:val="302"/>
          <w:jc w:val="center"/>
        </w:trPr>
        <w:tc>
          <w:tcPr>
            <w:tcW w:w="959" w:type="dxa"/>
            <w:shd w:val="clear" w:color="auto" w:fill="C6EFCE"/>
            <w:noWrap/>
            <w:vAlign w:val="center"/>
          </w:tcPr>
          <w:p w14:paraId="7A874B2C" w14:textId="77777777" w:rsidR="00A00259" w:rsidRDefault="00371282">
            <w:pPr>
              <w:pStyle w:val="P68B1DB1-Normal55"/>
              <w:keepNext/>
              <w:spacing w:before="40" w:after="0" w:line="240" w:lineRule="auto"/>
              <w:rPr>
                <w:rFonts w:cs="Times New Roman"/>
                <w:noProof/>
                <w:szCs w:val="18"/>
              </w:rPr>
            </w:pPr>
            <w:r>
              <w:rPr>
                <w:noProof/>
              </w:rPr>
              <w:t>176</w:t>
            </w:r>
          </w:p>
        </w:tc>
        <w:tc>
          <w:tcPr>
            <w:tcW w:w="4407" w:type="dxa"/>
            <w:shd w:val="clear" w:color="auto" w:fill="C6EFCE"/>
            <w:noWrap/>
            <w:vAlign w:val="center"/>
          </w:tcPr>
          <w:p w14:paraId="335BBE16" w14:textId="77777777" w:rsidR="00A00259" w:rsidRDefault="00371282">
            <w:pPr>
              <w:pStyle w:val="P68B1DB1-Normal55"/>
              <w:keepNext/>
              <w:spacing w:before="40" w:after="0" w:line="240" w:lineRule="auto"/>
              <w:rPr>
                <w:rFonts w:cs="Times New Roman"/>
                <w:noProof/>
                <w:szCs w:val="18"/>
              </w:rPr>
            </w:pPr>
            <w:r>
              <w:rPr>
                <w:noProof/>
              </w:rPr>
              <w:t>11 - 3.4. Accroître l'accès à des politiques sociales efficaces et inclusives - 16904_Disability</w:t>
            </w:r>
          </w:p>
        </w:tc>
        <w:tc>
          <w:tcPr>
            <w:tcW w:w="1417" w:type="dxa"/>
            <w:shd w:val="clear" w:color="auto" w:fill="C6EFCE"/>
            <w:noWrap/>
            <w:vAlign w:val="center"/>
          </w:tcPr>
          <w:p w14:paraId="6198296F" w14:textId="77777777" w:rsidR="00A00259" w:rsidRDefault="00371282">
            <w:pPr>
              <w:pStyle w:val="P68B1DB1-Normal55"/>
              <w:keepNext/>
              <w:spacing w:before="40" w:after="0" w:line="240" w:lineRule="auto"/>
              <w:rPr>
                <w:rFonts w:cs="Times New Roman"/>
                <w:noProof/>
                <w:szCs w:val="18"/>
              </w:rPr>
            </w:pPr>
            <w:r>
              <w:rPr>
                <w:noProof/>
              </w:rPr>
              <w:t>Étape</w:t>
            </w:r>
          </w:p>
        </w:tc>
        <w:tc>
          <w:tcPr>
            <w:tcW w:w="2812" w:type="dxa"/>
            <w:shd w:val="clear" w:color="auto" w:fill="C6EFCE"/>
            <w:noWrap/>
            <w:vAlign w:val="center"/>
          </w:tcPr>
          <w:p w14:paraId="257A6031" w14:textId="77777777" w:rsidR="00A00259" w:rsidRDefault="00371282">
            <w:pPr>
              <w:pStyle w:val="P68B1DB1-Normal55"/>
              <w:keepNext/>
              <w:spacing w:before="40" w:after="0" w:line="240" w:lineRule="auto"/>
              <w:rPr>
                <w:rFonts w:cs="Times New Roman"/>
                <w:noProof/>
                <w:szCs w:val="18"/>
              </w:rPr>
            </w:pPr>
            <w:r>
              <w:rPr>
                <w:noProof/>
              </w:rPr>
              <w:t>Évaluation du handicap de l'aide personnelle</w:t>
            </w:r>
          </w:p>
        </w:tc>
      </w:tr>
      <w:tr w:rsidR="00A00259" w14:paraId="767CE356" w14:textId="77777777">
        <w:trPr>
          <w:trHeight w:val="302"/>
          <w:jc w:val="center"/>
        </w:trPr>
        <w:tc>
          <w:tcPr>
            <w:tcW w:w="959" w:type="dxa"/>
            <w:shd w:val="clear" w:color="auto" w:fill="C6EFCE"/>
            <w:noWrap/>
            <w:vAlign w:val="center"/>
          </w:tcPr>
          <w:p w14:paraId="53697845" w14:textId="77777777" w:rsidR="00A00259" w:rsidRDefault="00371282">
            <w:pPr>
              <w:pStyle w:val="P68B1DB1-Normal55"/>
              <w:keepNext/>
              <w:spacing w:before="40" w:after="0" w:line="240" w:lineRule="auto"/>
              <w:rPr>
                <w:rFonts w:cs="Times New Roman"/>
                <w:noProof/>
                <w:szCs w:val="18"/>
              </w:rPr>
            </w:pPr>
            <w:r>
              <w:rPr>
                <w:noProof/>
              </w:rPr>
              <w:t>184</w:t>
            </w:r>
          </w:p>
        </w:tc>
        <w:tc>
          <w:tcPr>
            <w:tcW w:w="4407" w:type="dxa"/>
            <w:shd w:val="clear" w:color="auto" w:fill="C6EFCE"/>
            <w:noWrap/>
            <w:vAlign w:val="center"/>
          </w:tcPr>
          <w:p w14:paraId="1037DECA" w14:textId="77777777" w:rsidR="00A00259" w:rsidRDefault="00371282">
            <w:pPr>
              <w:pStyle w:val="P68B1DB1-Normal55"/>
              <w:keepNext/>
              <w:spacing w:before="40" w:after="0" w:line="240" w:lineRule="auto"/>
              <w:rPr>
                <w:rFonts w:cs="Times New Roman"/>
                <w:noProof/>
                <w:szCs w:val="18"/>
              </w:rPr>
            </w:pPr>
            <w:r>
              <w:rPr>
                <w:noProof/>
              </w:rPr>
              <w:t>11 - 3.4. Accroître l'accès à des politiques sociales efficaces et inclusives - 16685_Sensibilisation à la diversité</w:t>
            </w:r>
          </w:p>
        </w:tc>
        <w:tc>
          <w:tcPr>
            <w:tcW w:w="1417" w:type="dxa"/>
            <w:shd w:val="clear" w:color="auto" w:fill="C6EFCE"/>
            <w:noWrap/>
            <w:vAlign w:val="center"/>
          </w:tcPr>
          <w:p w14:paraId="4A6A9831" w14:textId="77777777" w:rsidR="00A00259" w:rsidRDefault="00371282">
            <w:pPr>
              <w:pStyle w:val="P68B1DB1-Normal55"/>
              <w:keepNext/>
              <w:spacing w:before="40" w:after="0" w:line="240" w:lineRule="auto"/>
              <w:rPr>
                <w:rFonts w:cs="Times New Roman"/>
                <w:noProof/>
                <w:szCs w:val="18"/>
              </w:rPr>
            </w:pPr>
            <w:r>
              <w:rPr>
                <w:noProof/>
              </w:rPr>
              <w:t>Étape</w:t>
            </w:r>
          </w:p>
        </w:tc>
        <w:tc>
          <w:tcPr>
            <w:tcW w:w="2812" w:type="dxa"/>
            <w:shd w:val="clear" w:color="auto" w:fill="C6EFCE"/>
            <w:noWrap/>
            <w:vAlign w:val="center"/>
          </w:tcPr>
          <w:p w14:paraId="765D5B1A" w14:textId="77777777" w:rsidR="00A00259" w:rsidRDefault="00371282">
            <w:pPr>
              <w:pStyle w:val="P68B1DB1-Normal55"/>
              <w:keepNext/>
              <w:spacing w:before="40" w:after="0" w:line="240" w:lineRule="auto"/>
              <w:rPr>
                <w:rFonts w:cs="Times New Roman"/>
                <w:noProof/>
                <w:szCs w:val="18"/>
              </w:rPr>
            </w:pPr>
            <w:r>
              <w:rPr>
                <w:noProof/>
              </w:rPr>
              <w:t>Certificats de formation délivrés aux employés des entreprises du secteur privé</w:t>
            </w:r>
          </w:p>
        </w:tc>
      </w:tr>
      <w:tr w:rsidR="00A00259" w14:paraId="708E4B7F" w14:textId="77777777">
        <w:trPr>
          <w:trHeight w:val="302"/>
          <w:jc w:val="center"/>
        </w:trPr>
        <w:tc>
          <w:tcPr>
            <w:tcW w:w="959" w:type="dxa"/>
            <w:shd w:val="clear" w:color="auto" w:fill="C6EFCE"/>
            <w:noWrap/>
            <w:vAlign w:val="center"/>
          </w:tcPr>
          <w:p w14:paraId="302A53DA" w14:textId="77777777" w:rsidR="00A00259" w:rsidRDefault="00371282">
            <w:pPr>
              <w:pStyle w:val="P68B1DB1-Normal55"/>
              <w:keepNext/>
              <w:spacing w:before="40" w:after="0" w:line="240" w:lineRule="auto"/>
              <w:rPr>
                <w:rFonts w:cs="Times New Roman"/>
                <w:noProof/>
                <w:szCs w:val="18"/>
              </w:rPr>
            </w:pPr>
            <w:r>
              <w:rPr>
                <w:noProof/>
              </w:rPr>
              <w:t>195a</w:t>
            </w:r>
          </w:p>
        </w:tc>
        <w:tc>
          <w:tcPr>
            <w:tcW w:w="4407" w:type="dxa"/>
            <w:shd w:val="clear" w:color="auto" w:fill="C6EFCE"/>
            <w:noWrap/>
            <w:vAlign w:val="center"/>
          </w:tcPr>
          <w:p w14:paraId="62DFA48A" w14:textId="77777777" w:rsidR="00A00259" w:rsidRDefault="00371282">
            <w:pPr>
              <w:pStyle w:val="P68B1DB1-Normal55"/>
              <w:keepNext/>
              <w:spacing w:before="40" w:after="0" w:line="240" w:lineRule="auto"/>
              <w:rPr>
                <w:rFonts w:cs="Times New Roman"/>
                <w:noProof/>
                <w:szCs w:val="18"/>
              </w:rPr>
            </w:pPr>
            <w:r>
              <w:rPr>
                <w:noProof/>
              </w:rPr>
              <w:t>12 - 4.1. Rendre les impôts plus propices à la croissance et améliorer l'administration fiscale et la perception des impôts - 16291_Transformation numérique de l'administration fiscale et douanière</w:t>
            </w:r>
          </w:p>
        </w:tc>
        <w:tc>
          <w:tcPr>
            <w:tcW w:w="1417" w:type="dxa"/>
            <w:shd w:val="clear" w:color="auto" w:fill="C6EFCE"/>
            <w:noWrap/>
            <w:vAlign w:val="center"/>
          </w:tcPr>
          <w:p w14:paraId="38B833E0" w14:textId="77777777" w:rsidR="00A00259" w:rsidRDefault="00371282">
            <w:pPr>
              <w:pStyle w:val="P68B1DB1-Normal55"/>
              <w:keepNext/>
              <w:spacing w:before="40" w:after="0" w:line="240" w:lineRule="auto"/>
              <w:rPr>
                <w:rFonts w:cs="Times New Roman"/>
                <w:noProof/>
                <w:szCs w:val="18"/>
              </w:rPr>
            </w:pPr>
            <w:r>
              <w:rPr>
                <w:noProof/>
              </w:rPr>
              <w:t>Étape</w:t>
            </w:r>
          </w:p>
        </w:tc>
        <w:tc>
          <w:tcPr>
            <w:tcW w:w="2812" w:type="dxa"/>
            <w:shd w:val="clear" w:color="auto" w:fill="C6EFCE"/>
            <w:noWrap/>
          </w:tcPr>
          <w:p w14:paraId="0DAAE7E1" w14:textId="77777777" w:rsidR="00A00259" w:rsidRDefault="00371282">
            <w:pPr>
              <w:pStyle w:val="P68B1DB1-Normal16"/>
              <w:keepNext/>
              <w:spacing w:before="40" w:after="0" w:line="240" w:lineRule="auto"/>
              <w:rPr>
                <w:rFonts w:eastAsia="Times New Roman"/>
                <w:noProof/>
              </w:rPr>
            </w:pPr>
            <w:r>
              <w:rPr>
                <w:noProof/>
              </w:rPr>
              <w:t>Mise à disposition i) d’un système d’information intégré pour la direction générale des services financiers de l’IAPR et ii) de matériel de bureau et d’équipements informatiques portables pour l’IAPR</w:t>
            </w:r>
          </w:p>
        </w:tc>
      </w:tr>
      <w:tr w:rsidR="00A00259" w14:paraId="3B011A81" w14:textId="77777777">
        <w:trPr>
          <w:trHeight w:val="302"/>
          <w:jc w:val="center"/>
        </w:trPr>
        <w:tc>
          <w:tcPr>
            <w:tcW w:w="959" w:type="dxa"/>
            <w:shd w:val="clear" w:color="auto" w:fill="C6EFCE"/>
            <w:noWrap/>
            <w:vAlign w:val="center"/>
          </w:tcPr>
          <w:p w14:paraId="1DF34026" w14:textId="77777777" w:rsidR="00A00259" w:rsidRDefault="00371282">
            <w:pPr>
              <w:pStyle w:val="P68B1DB1-Normal55"/>
              <w:keepNext/>
              <w:spacing w:before="40" w:after="0" w:line="240" w:lineRule="auto"/>
              <w:rPr>
                <w:rFonts w:eastAsia="Times New Roman" w:cs="Times New Roman"/>
                <w:bCs/>
                <w:noProof/>
                <w:szCs w:val="18"/>
              </w:rPr>
            </w:pPr>
            <w:r>
              <w:rPr>
                <w:noProof/>
              </w:rPr>
              <w:t>236</w:t>
            </w:r>
          </w:p>
        </w:tc>
        <w:tc>
          <w:tcPr>
            <w:tcW w:w="4407" w:type="dxa"/>
            <w:shd w:val="clear" w:color="auto" w:fill="C6EFCE"/>
            <w:noWrap/>
            <w:vAlign w:val="center"/>
          </w:tcPr>
          <w:p w14:paraId="17F0B2C5" w14:textId="77777777" w:rsidR="00A00259" w:rsidRDefault="00371282">
            <w:pPr>
              <w:pStyle w:val="P68B1DB1-Normal55"/>
              <w:keepNext/>
              <w:spacing w:before="40" w:after="0" w:line="240" w:lineRule="auto"/>
              <w:rPr>
                <w:rFonts w:eastAsia="Times New Roman" w:cs="Times New Roman"/>
                <w:bCs/>
                <w:noProof/>
                <w:szCs w:val="18"/>
              </w:rPr>
            </w:pPr>
            <w:r>
              <w:rPr>
                <w:noProof/>
              </w:rPr>
              <w:t>14 - 4.3. Améliorer l’efficacité du système judiciaire – 16575 Accélérer l’administration de la justice</w:t>
            </w:r>
          </w:p>
        </w:tc>
        <w:tc>
          <w:tcPr>
            <w:tcW w:w="1417" w:type="dxa"/>
            <w:shd w:val="clear" w:color="auto" w:fill="C6EFCE"/>
            <w:noWrap/>
            <w:vAlign w:val="center"/>
          </w:tcPr>
          <w:p w14:paraId="0806F58E" w14:textId="77777777" w:rsidR="00A00259" w:rsidRDefault="00371282">
            <w:pPr>
              <w:pStyle w:val="P68B1DB1-Normal55"/>
              <w:keepNext/>
              <w:spacing w:before="40" w:after="0" w:line="240" w:lineRule="auto"/>
              <w:rPr>
                <w:rFonts w:eastAsia="Times New Roman" w:cs="Times New Roman"/>
                <w:noProof/>
                <w:szCs w:val="18"/>
              </w:rPr>
            </w:pPr>
            <w:r>
              <w:rPr>
                <w:noProof/>
              </w:rPr>
              <w:t>Étape</w:t>
            </w:r>
          </w:p>
        </w:tc>
        <w:tc>
          <w:tcPr>
            <w:tcW w:w="2812" w:type="dxa"/>
            <w:shd w:val="clear" w:color="auto" w:fill="C6EFCE"/>
            <w:noWrap/>
            <w:vAlign w:val="center"/>
          </w:tcPr>
          <w:p w14:paraId="0E06EEBA" w14:textId="77777777" w:rsidR="00A00259" w:rsidRDefault="00371282">
            <w:pPr>
              <w:pStyle w:val="P68B1DB1-Normal55"/>
              <w:keepNext/>
              <w:spacing w:before="40" w:after="0" w:line="240" w:lineRule="auto"/>
              <w:rPr>
                <w:rFonts w:eastAsia="Times New Roman" w:cs="Times New Roman"/>
                <w:noProof/>
                <w:szCs w:val="18"/>
              </w:rPr>
            </w:pPr>
            <w:r>
              <w:rPr>
                <w:noProof/>
              </w:rPr>
              <w:t xml:space="preserve">Révision de la carte judiciaire </w:t>
            </w:r>
          </w:p>
        </w:tc>
      </w:tr>
      <w:tr w:rsidR="00A00259" w14:paraId="57310A50" w14:textId="77777777">
        <w:trPr>
          <w:trHeight w:val="302"/>
          <w:jc w:val="center"/>
        </w:trPr>
        <w:tc>
          <w:tcPr>
            <w:tcW w:w="959" w:type="dxa"/>
            <w:shd w:val="clear" w:color="auto" w:fill="C6EFCE"/>
            <w:noWrap/>
            <w:vAlign w:val="center"/>
          </w:tcPr>
          <w:p w14:paraId="3462A4E6" w14:textId="77777777" w:rsidR="00A00259" w:rsidRDefault="00371282">
            <w:pPr>
              <w:pStyle w:val="P68B1DB1-Normal55"/>
              <w:keepNext/>
              <w:spacing w:before="40" w:after="0" w:line="240" w:lineRule="auto"/>
              <w:rPr>
                <w:noProof/>
              </w:rPr>
            </w:pPr>
            <w:r>
              <w:rPr>
                <w:noProof/>
              </w:rPr>
              <w:t>277</w:t>
            </w:r>
          </w:p>
        </w:tc>
        <w:tc>
          <w:tcPr>
            <w:tcW w:w="4407" w:type="dxa"/>
            <w:shd w:val="clear" w:color="auto" w:fill="C6EFCE"/>
            <w:noWrap/>
            <w:vAlign w:val="center"/>
          </w:tcPr>
          <w:p w14:paraId="475CE3D2" w14:textId="77777777" w:rsidR="00A00259" w:rsidRDefault="00371282">
            <w:pPr>
              <w:pStyle w:val="P68B1DB1-Normal55"/>
              <w:keepNext/>
              <w:spacing w:before="40" w:after="0" w:line="240" w:lineRule="auto"/>
              <w:rPr>
                <w:noProof/>
              </w:rPr>
            </w:pPr>
            <w:r>
              <w:rPr>
                <w:noProof/>
              </w:rPr>
              <w:t>17 - 4.6. Moderniser et améliorer la résilience des secteurs économiques clés - 16786_Simplification des procédures du ministère des infrastructures et des transports</w:t>
            </w:r>
          </w:p>
        </w:tc>
        <w:tc>
          <w:tcPr>
            <w:tcW w:w="1417" w:type="dxa"/>
            <w:shd w:val="clear" w:color="auto" w:fill="C6EFCE"/>
            <w:noWrap/>
            <w:vAlign w:val="center"/>
          </w:tcPr>
          <w:p w14:paraId="519CC814" w14:textId="77777777" w:rsidR="00A00259" w:rsidRDefault="00371282">
            <w:pPr>
              <w:pStyle w:val="P68B1DB1-Normal55"/>
              <w:keepNext/>
              <w:spacing w:before="40" w:after="0" w:line="240" w:lineRule="auto"/>
              <w:rPr>
                <w:noProof/>
              </w:rPr>
            </w:pPr>
            <w:r>
              <w:rPr>
                <w:noProof/>
              </w:rPr>
              <w:t>Étape</w:t>
            </w:r>
          </w:p>
        </w:tc>
        <w:tc>
          <w:tcPr>
            <w:tcW w:w="2812" w:type="dxa"/>
            <w:shd w:val="clear" w:color="auto" w:fill="C6EFCE"/>
            <w:noWrap/>
            <w:vAlign w:val="center"/>
          </w:tcPr>
          <w:p w14:paraId="06B48A79" w14:textId="77777777" w:rsidR="00A00259" w:rsidRDefault="00371282">
            <w:pPr>
              <w:pStyle w:val="P68B1DB1-Normal16"/>
              <w:keepNext/>
              <w:spacing w:before="40" w:after="0" w:line="240" w:lineRule="auto"/>
              <w:rPr>
                <w:noProof/>
              </w:rPr>
            </w:pPr>
            <w:r>
              <w:rPr>
                <w:noProof/>
              </w:rPr>
              <w:t>Simplification des procédures pour le ministère des transports</w:t>
            </w:r>
          </w:p>
        </w:tc>
      </w:tr>
      <w:tr w:rsidR="00A00259" w14:paraId="2C826731" w14:textId="77777777">
        <w:trPr>
          <w:trHeight w:val="302"/>
          <w:jc w:val="center"/>
        </w:trPr>
        <w:tc>
          <w:tcPr>
            <w:tcW w:w="959" w:type="dxa"/>
            <w:shd w:val="clear" w:color="auto" w:fill="C6EFCE"/>
            <w:noWrap/>
            <w:vAlign w:val="center"/>
          </w:tcPr>
          <w:p w14:paraId="0F658E69" w14:textId="77777777" w:rsidR="00A00259" w:rsidRDefault="00371282">
            <w:pPr>
              <w:pStyle w:val="P68B1DB1-Normal55"/>
              <w:keepNext/>
              <w:spacing w:before="40" w:after="0" w:line="240" w:lineRule="auto"/>
              <w:rPr>
                <w:rFonts w:cs="Times New Roman"/>
                <w:noProof/>
                <w:szCs w:val="18"/>
              </w:rPr>
            </w:pPr>
            <w:r>
              <w:rPr>
                <w:noProof/>
              </w:rPr>
              <w:t>333</w:t>
            </w:r>
          </w:p>
        </w:tc>
        <w:tc>
          <w:tcPr>
            <w:tcW w:w="4407" w:type="dxa"/>
            <w:shd w:val="clear" w:color="auto" w:fill="C6EFCE"/>
            <w:noWrap/>
            <w:vAlign w:val="center"/>
          </w:tcPr>
          <w:p w14:paraId="46150279" w14:textId="77777777" w:rsidR="00A00259" w:rsidRDefault="00371282">
            <w:pPr>
              <w:pStyle w:val="P68B1DB1-Normal55"/>
              <w:keepNext/>
              <w:spacing w:before="40" w:after="0" w:line="240" w:lineRule="auto"/>
              <w:rPr>
                <w:rFonts w:cs="Times New Roman"/>
                <w:noProof/>
                <w:szCs w:val="18"/>
              </w:rPr>
            </w:pPr>
            <w:r>
              <w:rPr>
                <w:noProof/>
              </w:rPr>
              <w:t>5 - 2.1. 16844_ Transition vers la technologie 5G, facilitant le développement de services à distance innovants</w:t>
            </w:r>
          </w:p>
        </w:tc>
        <w:tc>
          <w:tcPr>
            <w:tcW w:w="1417" w:type="dxa"/>
            <w:shd w:val="clear" w:color="auto" w:fill="C6EFCE"/>
            <w:noWrap/>
            <w:vAlign w:val="center"/>
          </w:tcPr>
          <w:p w14:paraId="2F0CBBDE" w14:textId="77777777" w:rsidR="00A00259" w:rsidRDefault="00371282">
            <w:pPr>
              <w:pStyle w:val="P68B1DB1-Normal55"/>
              <w:keepNext/>
              <w:spacing w:before="40" w:after="0" w:line="240" w:lineRule="auto"/>
              <w:rPr>
                <w:rFonts w:cs="Times New Roman"/>
                <w:noProof/>
                <w:szCs w:val="18"/>
              </w:rPr>
            </w:pPr>
            <w:r>
              <w:rPr>
                <w:noProof/>
              </w:rPr>
              <w:t>Étape</w:t>
            </w:r>
          </w:p>
        </w:tc>
        <w:tc>
          <w:tcPr>
            <w:tcW w:w="2812" w:type="dxa"/>
            <w:shd w:val="clear" w:color="auto" w:fill="C6EFCE"/>
            <w:noWrap/>
            <w:vAlign w:val="center"/>
          </w:tcPr>
          <w:p w14:paraId="168FFA4F" w14:textId="77777777" w:rsidR="00A00259" w:rsidRDefault="00371282">
            <w:pPr>
              <w:pStyle w:val="P68B1DB1-Normal55"/>
              <w:keepNext/>
              <w:spacing w:before="40" w:after="0" w:line="240" w:lineRule="auto"/>
              <w:rPr>
                <w:rFonts w:cs="Times New Roman"/>
                <w:noProof/>
                <w:szCs w:val="18"/>
              </w:rPr>
            </w:pPr>
            <w:r>
              <w:rPr>
                <w:noProof/>
              </w:rPr>
              <w:t>Entrée en vigueur de la réforme de la transition vers la technologie 5G</w:t>
            </w:r>
          </w:p>
        </w:tc>
      </w:tr>
      <w:tr w:rsidR="00A00259" w14:paraId="740DA1C8" w14:textId="77777777">
        <w:trPr>
          <w:trHeight w:val="302"/>
          <w:jc w:val="center"/>
        </w:trPr>
        <w:tc>
          <w:tcPr>
            <w:tcW w:w="959" w:type="dxa"/>
            <w:shd w:val="clear" w:color="auto" w:fill="C6EFCE"/>
            <w:noWrap/>
            <w:vAlign w:val="center"/>
          </w:tcPr>
          <w:p w14:paraId="21BD8903" w14:textId="77777777" w:rsidR="00A00259" w:rsidRDefault="00371282">
            <w:pPr>
              <w:pStyle w:val="P68B1DB1-Normal55"/>
              <w:keepNext/>
              <w:spacing w:before="40" w:after="0" w:line="259" w:lineRule="auto"/>
              <w:rPr>
                <w:rFonts w:eastAsia="Times New Roman" w:cs="Times New Roman"/>
                <w:bCs/>
                <w:noProof/>
                <w:szCs w:val="18"/>
              </w:rPr>
            </w:pPr>
            <w:r>
              <w:rPr>
                <w:noProof/>
              </w:rPr>
              <w:t>268a</w:t>
            </w:r>
          </w:p>
        </w:tc>
        <w:tc>
          <w:tcPr>
            <w:tcW w:w="4407" w:type="dxa"/>
            <w:shd w:val="clear" w:color="auto" w:fill="C6EFCE"/>
            <w:noWrap/>
            <w:vAlign w:val="center"/>
          </w:tcPr>
          <w:p w14:paraId="7F3DF321" w14:textId="77777777" w:rsidR="00A00259" w:rsidRDefault="00371282">
            <w:pPr>
              <w:pStyle w:val="P68B1DB1-Normal55"/>
              <w:keepNext/>
              <w:spacing w:before="40" w:after="0" w:line="259" w:lineRule="auto"/>
              <w:rPr>
                <w:rFonts w:eastAsia="Times New Roman" w:cs="Times New Roman"/>
                <w:bCs/>
                <w:noProof/>
                <w:szCs w:val="18"/>
              </w:rPr>
            </w:pPr>
            <w:r>
              <w:rPr>
                <w:noProof/>
              </w:rPr>
              <w:t>17 - 4.6. Moderniser et améliorer la résilience des secteurs économiques clés - 16982_Réforme organisationnelle dans le secteur ferroviaire</w:t>
            </w:r>
          </w:p>
        </w:tc>
        <w:tc>
          <w:tcPr>
            <w:tcW w:w="1417" w:type="dxa"/>
            <w:shd w:val="clear" w:color="auto" w:fill="C6EFCE"/>
            <w:noWrap/>
            <w:vAlign w:val="center"/>
          </w:tcPr>
          <w:p w14:paraId="06A53E4A" w14:textId="77777777" w:rsidR="00A00259" w:rsidRDefault="00371282">
            <w:pPr>
              <w:pStyle w:val="P68B1DB1-Normal55"/>
              <w:keepNext/>
              <w:spacing w:before="40" w:after="0" w:line="259" w:lineRule="auto"/>
              <w:rPr>
                <w:rFonts w:eastAsia="Times New Roman" w:cs="Times New Roman"/>
                <w:noProof/>
                <w:szCs w:val="18"/>
              </w:rPr>
            </w:pPr>
            <w:r>
              <w:rPr>
                <w:noProof/>
              </w:rPr>
              <w:t>Étape</w:t>
            </w:r>
          </w:p>
        </w:tc>
        <w:tc>
          <w:tcPr>
            <w:tcW w:w="2812" w:type="dxa"/>
            <w:shd w:val="clear" w:color="auto" w:fill="C6EFCE"/>
            <w:noWrap/>
            <w:vAlign w:val="center"/>
          </w:tcPr>
          <w:p w14:paraId="0C5355C2" w14:textId="77777777" w:rsidR="00A00259" w:rsidRDefault="00371282">
            <w:pPr>
              <w:pStyle w:val="P68B1DB1-Normal11"/>
              <w:keepNext/>
              <w:spacing w:before="40" w:after="0" w:line="259" w:lineRule="auto"/>
              <w:rPr>
                <w:rFonts w:eastAsia="Times New Roman" w:cs="Calibri"/>
                <w:noProof/>
                <w:color w:val="006100"/>
              </w:rPr>
            </w:pPr>
            <w:r>
              <w:rPr>
                <w:noProof/>
              </w:rPr>
              <w:t>Actes juridiques pour les chemins de fer helléniques</w:t>
            </w:r>
          </w:p>
        </w:tc>
      </w:tr>
      <w:tr w:rsidR="00A00259" w14:paraId="422EFCA1" w14:textId="77777777">
        <w:trPr>
          <w:trHeight w:val="302"/>
          <w:jc w:val="center"/>
        </w:trPr>
        <w:tc>
          <w:tcPr>
            <w:tcW w:w="959" w:type="dxa"/>
            <w:shd w:val="clear" w:color="auto" w:fill="C6EFCE"/>
            <w:noWrap/>
            <w:vAlign w:val="center"/>
          </w:tcPr>
          <w:p w14:paraId="4A04593C" w14:textId="77777777" w:rsidR="00A00259" w:rsidRDefault="00371282">
            <w:pPr>
              <w:pStyle w:val="P68B1DB1-Normal11"/>
              <w:keepNext/>
              <w:spacing w:before="40" w:after="0" w:line="240" w:lineRule="auto"/>
              <w:rPr>
                <w:noProof/>
              </w:rPr>
            </w:pPr>
            <w:r>
              <w:rPr>
                <w:noProof/>
              </w:rPr>
              <w:t>313</w:t>
            </w:r>
          </w:p>
        </w:tc>
        <w:tc>
          <w:tcPr>
            <w:tcW w:w="4407" w:type="dxa"/>
            <w:shd w:val="clear" w:color="auto" w:fill="C6EFCE"/>
            <w:noWrap/>
            <w:vAlign w:val="center"/>
          </w:tcPr>
          <w:p w14:paraId="23E03C13" w14:textId="77777777" w:rsidR="00A00259" w:rsidRDefault="00371282">
            <w:pPr>
              <w:pStyle w:val="P68B1DB1-Normal11"/>
              <w:keepNext/>
              <w:spacing w:before="40" w:after="0" w:line="240" w:lineRule="auto"/>
              <w:rPr>
                <w:noProof/>
              </w:rPr>
            </w:pPr>
            <w:r>
              <w:rPr>
                <w:noProof/>
              </w:rPr>
              <w:t> 17 - 4.6. Moderniser et améliorer la résilience des secteurs économiques clés - 16653_Transformation numérique du secteur agroalimentaire</w:t>
            </w:r>
          </w:p>
        </w:tc>
        <w:tc>
          <w:tcPr>
            <w:tcW w:w="1417" w:type="dxa"/>
            <w:shd w:val="clear" w:color="auto" w:fill="C6EFCE"/>
            <w:noWrap/>
            <w:vAlign w:val="center"/>
          </w:tcPr>
          <w:p w14:paraId="6C6D603E" w14:textId="77777777" w:rsidR="00A00259" w:rsidRDefault="00371282">
            <w:pPr>
              <w:pStyle w:val="P68B1DB1-Normal11"/>
              <w:keepNext/>
              <w:spacing w:before="40" w:after="0" w:line="240" w:lineRule="auto"/>
              <w:rPr>
                <w:noProof/>
              </w:rPr>
            </w:pPr>
            <w:r>
              <w:rPr>
                <w:noProof/>
              </w:rPr>
              <w:t>Étape</w:t>
            </w:r>
          </w:p>
        </w:tc>
        <w:tc>
          <w:tcPr>
            <w:tcW w:w="2812" w:type="dxa"/>
            <w:shd w:val="clear" w:color="auto" w:fill="C6EFCE"/>
            <w:noWrap/>
            <w:vAlign w:val="center"/>
          </w:tcPr>
          <w:p w14:paraId="3B122555" w14:textId="77777777" w:rsidR="00A00259" w:rsidRDefault="00371282">
            <w:pPr>
              <w:pStyle w:val="P68B1DB1-Normal16"/>
              <w:keepNext/>
              <w:spacing w:before="40" w:after="0" w:line="240" w:lineRule="auto"/>
              <w:rPr>
                <w:noProof/>
              </w:rPr>
            </w:pPr>
            <w:r>
              <w:rPr>
                <w:noProof/>
              </w:rPr>
              <w:t>Mise en œuvre de la transformation numérique des projets du secteur agroalimentaire</w:t>
            </w:r>
          </w:p>
        </w:tc>
      </w:tr>
      <w:tr w:rsidR="00A00259" w14:paraId="48828C45" w14:textId="77777777">
        <w:trPr>
          <w:trHeight w:val="302"/>
          <w:jc w:val="center"/>
        </w:trPr>
        <w:tc>
          <w:tcPr>
            <w:tcW w:w="959" w:type="dxa"/>
            <w:shd w:val="clear" w:color="auto" w:fill="C6EFCE"/>
            <w:noWrap/>
            <w:vAlign w:val="center"/>
          </w:tcPr>
          <w:p w14:paraId="1F9E82A8" w14:textId="77777777" w:rsidR="00A00259" w:rsidRDefault="00371282">
            <w:pPr>
              <w:pStyle w:val="P68B1DB1-Normal55"/>
              <w:keepNext/>
              <w:spacing w:before="40" w:after="0" w:line="259" w:lineRule="auto"/>
              <w:rPr>
                <w:rFonts w:eastAsia="Times New Roman" w:cs="Times New Roman"/>
                <w:bCs/>
                <w:noProof/>
                <w:szCs w:val="18"/>
              </w:rPr>
            </w:pPr>
            <w:r>
              <w:rPr>
                <w:noProof/>
              </w:rPr>
              <w:t>353</w:t>
            </w:r>
          </w:p>
        </w:tc>
        <w:tc>
          <w:tcPr>
            <w:tcW w:w="4407" w:type="dxa"/>
            <w:shd w:val="clear" w:color="auto" w:fill="C6EFCE"/>
            <w:noWrap/>
            <w:vAlign w:val="center"/>
          </w:tcPr>
          <w:p w14:paraId="1F073C87" w14:textId="77777777" w:rsidR="00A00259" w:rsidRDefault="00371282">
            <w:pPr>
              <w:pStyle w:val="P68B1DB1-Normal55"/>
              <w:keepNext/>
              <w:spacing w:before="40" w:after="0" w:line="259" w:lineRule="auto"/>
              <w:rPr>
                <w:rFonts w:eastAsia="Times New Roman" w:cs="Times New Roman"/>
                <w:bCs/>
                <w:noProof/>
                <w:szCs w:val="18"/>
              </w:rPr>
            </w:pPr>
            <w:r>
              <w:rPr>
                <w:noProof/>
              </w:rPr>
              <w:t>20 - 5.1. REPowerEU reforms - 16989_Optimisation de l'utilisation de l'espace terrestre et maritime pour le développement des énergies renouvelables et de l'énergie éolienne en mer</w:t>
            </w:r>
          </w:p>
        </w:tc>
        <w:tc>
          <w:tcPr>
            <w:tcW w:w="1417" w:type="dxa"/>
            <w:shd w:val="clear" w:color="auto" w:fill="C6EFCE"/>
            <w:noWrap/>
            <w:vAlign w:val="center"/>
          </w:tcPr>
          <w:p w14:paraId="73A9C42E" w14:textId="77777777" w:rsidR="00A00259" w:rsidRDefault="00371282">
            <w:pPr>
              <w:pStyle w:val="P68B1DB1-Normal55"/>
              <w:keepNext/>
              <w:spacing w:before="40" w:after="0" w:line="259" w:lineRule="auto"/>
              <w:rPr>
                <w:rFonts w:eastAsia="Times New Roman" w:cs="Times New Roman"/>
                <w:noProof/>
                <w:szCs w:val="18"/>
              </w:rPr>
            </w:pPr>
            <w:r>
              <w:rPr>
                <w:noProof/>
              </w:rPr>
              <w:t>Étape</w:t>
            </w:r>
          </w:p>
        </w:tc>
        <w:tc>
          <w:tcPr>
            <w:tcW w:w="2812" w:type="dxa"/>
            <w:shd w:val="clear" w:color="auto" w:fill="C6EFCE"/>
            <w:noWrap/>
            <w:vAlign w:val="center"/>
          </w:tcPr>
          <w:p w14:paraId="52D8214E" w14:textId="77777777" w:rsidR="00A00259" w:rsidRDefault="00371282">
            <w:pPr>
              <w:pStyle w:val="P68B1DB1-Normal55"/>
              <w:keepNext/>
              <w:spacing w:before="40" w:after="0" w:line="259" w:lineRule="auto"/>
              <w:rPr>
                <w:noProof/>
              </w:rPr>
            </w:pPr>
            <w:r>
              <w:rPr>
                <w:noProof/>
              </w:rPr>
              <w:t>Identification des zones pour les sources d'énergie renouvelables et cadre pour le double usage des terres pour l'agriculture et le photovoltaïque</w:t>
            </w:r>
          </w:p>
        </w:tc>
      </w:tr>
      <w:tr w:rsidR="00A00259" w14:paraId="6237EB4D" w14:textId="77777777">
        <w:trPr>
          <w:trHeight w:val="302"/>
          <w:jc w:val="center"/>
        </w:trPr>
        <w:tc>
          <w:tcPr>
            <w:tcW w:w="959" w:type="dxa"/>
            <w:shd w:val="clear" w:color="auto" w:fill="C6EFCE"/>
            <w:noWrap/>
            <w:vAlign w:val="center"/>
          </w:tcPr>
          <w:p w14:paraId="534C1239" w14:textId="77777777" w:rsidR="00A00259" w:rsidRDefault="00371282">
            <w:pPr>
              <w:pStyle w:val="P68B1DB1-Normal55"/>
              <w:keepNext/>
              <w:spacing w:before="40" w:after="0" w:line="259" w:lineRule="auto"/>
              <w:rPr>
                <w:noProof/>
              </w:rPr>
            </w:pPr>
            <w:r>
              <w:rPr>
                <w:noProof/>
              </w:rPr>
              <w:t>355</w:t>
            </w:r>
          </w:p>
        </w:tc>
        <w:tc>
          <w:tcPr>
            <w:tcW w:w="4407" w:type="dxa"/>
            <w:shd w:val="clear" w:color="auto" w:fill="C6EFCE"/>
            <w:noWrap/>
            <w:vAlign w:val="center"/>
          </w:tcPr>
          <w:p w14:paraId="286408C6" w14:textId="77777777" w:rsidR="00A00259" w:rsidRDefault="00371282">
            <w:pPr>
              <w:pStyle w:val="P68B1DB1-Normal55"/>
              <w:keepNext/>
              <w:spacing w:before="40" w:after="0" w:line="259" w:lineRule="auto"/>
              <w:rPr>
                <w:noProof/>
              </w:rPr>
            </w:pPr>
            <w:r>
              <w:rPr>
                <w:noProof/>
              </w:rPr>
              <w:t xml:space="preserve">20 - 5.1. REPowerEU reforms - 16988_Cadre réglementaire et opérationnel du marché pour les technologies de captage, d’utilisation et de stockage du carbone afin de favoriser la décarbonation de l’industrie </w:t>
            </w:r>
          </w:p>
        </w:tc>
        <w:tc>
          <w:tcPr>
            <w:tcW w:w="1417" w:type="dxa"/>
            <w:shd w:val="clear" w:color="auto" w:fill="C6EFCE"/>
            <w:noWrap/>
            <w:vAlign w:val="center"/>
          </w:tcPr>
          <w:p w14:paraId="20B15545" w14:textId="77777777" w:rsidR="00A00259" w:rsidRDefault="00371282">
            <w:pPr>
              <w:pStyle w:val="P68B1DB1-Normal55"/>
              <w:keepNext/>
              <w:spacing w:before="40" w:after="0" w:line="259" w:lineRule="auto"/>
              <w:rPr>
                <w:noProof/>
              </w:rPr>
            </w:pPr>
            <w:r>
              <w:rPr>
                <w:noProof/>
              </w:rPr>
              <w:t>Étape</w:t>
            </w:r>
          </w:p>
        </w:tc>
        <w:tc>
          <w:tcPr>
            <w:tcW w:w="2812" w:type="dxa"/>
            <w:shd w:val="clear" w:color="auto" w:fill="C6EFCE"/>
            <w:noWrap/>
            <w:vAlign w:val="center"/>
          </w:tcPr>
          <w:p w14:paraId="4E20FA87" w14:textId="77777777" w:rsidR="00A00259" w:rsidRDefault="00371282">
            <w:pPr>
              <w:pStyle w:val="P68B1DB1-Normal55"/>
              <w:keepNext/>
              <w:spacing w:before="40" w:after="0" w:line="259" w:lineRule="auto"/>
              <w:rPr>
                <w:noProof/>
              </w:rPr>
            </w:pPr>
            <w:r>
              <w:rPr>
                <w:noProof/>
              </w:rPr>
              <w:t>Mise en place d'un cadre juridique pour le captage, l'utilisation et le stockage du carbone.</w:t>
            </w:r>
          </w:p>
        </w:tc>
      </w:tr>
      <w:tr w:rsidR="00A00259" w14:paraId="57D817B6" w14:textId="77777777">
        <w:trPr>
          <w:trHeight w:val="302"/>
          <w:jc w:val="center"/>
        </w:trPr>
        <w:tc>
          <w:tcPr>
            <w:tcW w:w="959" w:type="dxa"/>
            <w:shd w:val="clear" w:color="auto" w:fill="C6EFCE"/>
            <w:noWrap/>
            <w:vAlign w:val="center"/>
          </w:tcPr>
          <w:p w14:paraId="164AD625" w14:textId="77777777" w:rsidR="00A00259" w:rsidRDefault="00371282">
            <w:pPr>
              <w:pStyle w:val="P68B1DB1-Normal55"/>
              <w:keepNext/>
              <w:spacing w:before="40" w:after="0" w:line="259" w:lineRule="auto"/>
              <w:rPr>
                <w:rFonts w:cs="Times New Roman"/>
                <w:noProof/>
              </w:rPr>
            </w:pPr>
            <w:r>
              <w:rPr>
                <w:noProof/>
              </w:rPr>
              <w:t>359</w:t>
            </w:r>
          </w:p>
        </w:tc>
        <w:tc>
          <w:tcPr>
            <w:tcW w:w="4407" w:type="dxa"/>
            <w:shd w:val="clear" w:color="auto" w:fill="C6EFCE"/>
            <w:noWrap/>
            <w:vAlign w:val="center"/>
          </w:tcPr>
          <w:p w14:paraId="500615DE" w14:textId="77777777" w:rsidR="00A00259" w:rsidRDefault="00371282">
            <w:pPr>
              <w:pStyle w:val="P68B1DB1-Normal55"/>
              <w:keepNext/>
              <w:spacing w:before="40" w:after="0" w:line="259" w:lineRule="auto"/>
              <w:rPr>
                <w:rFonts w:cs="Times New Roman"/>
                <w:noProof/>
              </w:rPr>
            </w:pPr>
            <w:r>
              <w:rPr>
                <w:noProof/>
              </w:rPr>
              <w:t>20 - 5.1. Réformes REPowerEU – 16991_Cadre réglementaire vers un réseau intelligent</w:t>
            </w:r>
          </w:p>
        </w:tc>
        <w:tc>
          <w:tcPr>
            <w:tcW w:w="1417" w:type="dxa"/>
            <w:shd w:val="clear" w:color="auto" w:fill="C6EFCE"/>
            <w:noWrap/>
            <w:vAlign w:val="center"/>
          </w:tcPr>
          <w:p w14:paraId="1481C9FB" w14:textId="77777777" w:rsidR="00A00259" w:rsidRDefault="00371282">
            <w:pPr>
              <w:pStyle w:val="P68B1DB1-Normal55"/>
              <w:keepNext/>
              <w:spacing w:before="40" w:after="0" w:line="259" w:lineRule="auto"/>
              <w:rPr>
                <w:rFonts w:cs="Times New Roman"/>
                <w:noProof/>
              </w:rPr>
            </w:pPr>
            <w:r>
              <w:rPr>
                <w:noProof/>
              </w:rPr>
              <w:t xml:space="preserve">Étape </w:t>
            </w:r>
          </w:p>
        </w:tc>
        <w:tc>
          <w:tcPr>
            <w:tcW w:w="2812" w:type="dxa"/>
            <w:shd w:val="clear" w:color="auto" w:fill="C6EFCE"/>
            <w:noWrap/>
            <w:vAlign w:val="center"/>
          </w:tcPr>
          <w:p w14:paraId="522E5DFA" w14:textId="77777777" w:rsidR="00A00259" w:rsidRDefault="00371282">
            <w:pPr>
              <w:pStyle w:val="P68B1DB1-Normal55"/>
              <w:keepNext/>
              <w:spacing w:before="40" w:after="0" w:line="259" w:lineRule="auto"/>
              <w:rPr>
                <w:rFonts w:cs="Times New Roman"/>
                <w:noProof/>
              </w:rPr>
            </w:pPr>
            <w:r>
              <w:rPr>
                <w:noProof/>
              </w:rPr>
              <w:t xml:space="preserve">Cadre pour les contrats de tarification dynamique </w:t>
            </w:r>
          </w:p>
        </w:tc>
      </w:tr>
      <w:tr w:rsidR="00A00259" w14:paraId="62BF06E4" w14:textId="77777777">
        <w:trPr>
          <w:trHeight w:val="302"/>
          <w:jc w:val="center"/>
        </w:trPr>
        <w:tc>
          <w:tcPr>
            <w:tcW w:w="959" w:type="dxa"/>
            <w:shd w:val="clear" w:color="auto" w:fill="C6EFCE"/>
            <w:noWrap/>
            <w:vAlign w:val="center"/>
          </w:tcPr>
          <w:p w14:paraId="18127D6E" w14:textId="77777777" w:rsidR="00A00259" w:rsidRDefault="00A00259">
            <w:pPr>
              <w:keepNext/>
              <w:spacing w:before="40" w:after="0" w:line="259" w:lineRule="auto"/>
              <w:rPr>
                <w:rFonts w:ascii="Times New Roman" w:eastAsia="Times New Roman" w:hAnsi="Times New Roman" w:cs="Times New Roman"/>
                <w:bCs/>
                <w:noProof/>
                <w:sz w:val="18"/>
                <w:szCs w:val="18"/>
              </w:rPr>
            </w:pPr>
          </w:p>
        </w:tc>
        <w:tc>
          <w:tcPr>
            <w:tcW w:w="4407" w:type="dxa"/>
            <w:shd w:val="clear" w:color="auto" w:fill="C6EFCE"/>
            <w:noWrap/>
            <w:vAlign w:val="center"/>
          </w:tcPr>
          <w:p w14:paraId="1862B669" w14:textId="77777777" w:rsidR="00A00259" w:rsidRDefault="00A00259">
            <w:pPr>
              <w:keepNext/>
              <w:spacing w:before="40" w:after="0" w:line="259" w:lineRule="auto"/>
              <w:rPr>
                <w:rFonts w:ascii="Times New Roman" w:eastAsia="Times New Roman" w:hAnsi="Times New Roman" w:cs="Times New Roman"/>
                <w:bCs/>
                <w:noProof/>
                <w:sz w:val="18"/>
                <w:szCs w:val="18"/>
              </w:rPr>
            </w:pPr>
          </w:p>
        </w:tc>
        <w:tc>
          <w:tcPr>
            <w:tcW w:w="1417" w:type="dxa"/>
            <w:shd w:val="clear" w:color="auto" w:fill="C6EFCE"/>
            <w:noWrap/>
            <w:vAlign w:val="center"/>
          </w:tcPr>
          <w:p w14:paraId="1DFC9EA2" w14:textId="77777777" w:rsidR="00A00259" w:rsidRDefault="00371282">
            <w:pPr>
              <w:pStyle w:val="P68B1DB1-Normal55"/>
              <w:keepNext/>
              <w:spacing w:before="40" w:after="0" w:line="259" w:lineRule="auto"/>
              <w:rPr>
                <w:rFonts w:eastAsia="Times New Roman" w:cs="Times New Roman"/>
                <w:noProof/>
                <w:szCs w:val="18"/>
              </w:rPr>
            </w:pPr>
            <w:r>
              <w:rPr>
                <w:noProof/>
              </w:rPr>
              <w:t>Montant des acomptes provisionnels</w:t>
            </w:r>
          </w:p>
        </w:tc>
        <w:tc>
          <w:tcPr>
            <w:tcW w:w="2812" w:type="dxa"/>
            <w:shd w:val="clear" w:color="auto" w:fill="C6EFCE"/>
            <w:noWrap/>
            <w:vAlign w:val="center"/>
          </w:tcPr>
          <w:p w14:paraId="7F5E6113" w14:textId="77777777" w:rsidR="00A00259" w:rsidRDefault="00371282">
            <w:pPr>
              <w:pStyle w:val="P68B1DB1-Normal55"/>
              <w:keepNext/>
              <w:spacing w:before="40" w:after="0" w:line="259" w:lineRule="auto"/>
              <w:rPr>
                <w:rFonts w:eastAsia="Times New Roman" w:cs="Times New Roman"/>
                <w:noProof/>
                <w:szCs w:val="18"/>
              </w:rPr>
            </w:pPr>
            <w:r>
              <w:rPr>
                <w:noProof/>
              </w:rPr>
              <w:t>1 022 674 930 EUR</w:t>
            </w:r>
          </w:p>
        </w:tc>
      </w:tr>
    </w:tbl>
    <w:p w14:paraId="557855BC" w14:textId="4DD49265" w:rsidR="00A00259" w:rsidRDefault="00A00259">
      <w:pPr>
        <w:keepNext/>
        <w:spacing w:before="40" w:after="160" w:line="259" w:lineRule="auto"/>
        <w:contextualSpacing/>
        <w:jc w:val="both"/>
        <w:rPr>
          <w:rFonts w:ascii="Times New Roman" w:eastAsia="Times New Roman" w:hAnsi="Times New Roman" w:cs="Times New Roman"/>
          <w:noProof/>
          <w:sz w:val="24"/>
        </w:rPr>
      </w:pPr>
    </w:p>
    <w:p w14:paraId="047DDF46" w14:textId="29052E00" w:rsidR="00A00259" w:rsidRDefault="00371282">
      <w:pPr>
        <w:pStyle w:val="P68B1DB1-ListParagraph32"/>
        <w:numPr>
          <w:ilvl w:val="1"/>
          <w:numId w:val="93"/>
        </w:numPr>
        <w:rPr>
          <w:rFonts w:eastAsia="Times New Roman" w:cs="Times New Roman"/>
          <w:noProof/>
        </w:rPr>
      </w:pPr>
      <w:r>
        <w:rPr>
          <w:noProof/>
        </w:rPr>
        <w:t xml:space="preserve">Huitième demande de paiement (soutien non remboursable): </w:t>
      </w:r>
    </w:p>
    <w:tbl>
      <w:tblPr>
        <w:tblW w:w="9588" w:type="dxa"/>
        <w:jc w:val="center"/>
        <w:tblLayout w:type="fixed"/>
        <w:tblLook w:val="04A0" w:firstRow="1" w:lastRow="0" w:firstColumn="1" w:lastColumn="0" w:noHBand="0" w:noVBand="1"/>
      </w:tblPr>
      <w:tblGrid>
        <w:gridCol w:w="1101"/>
        <w:gridCol w:w="4677"/>
        <w:gridCol w:w="1380"/>
        <w:gridCol w:w="2430"/>
      </w:tblGrid>
      <w:tr w:rsidR="00A00259" w14:paraId="65973A85" w14:textId="77777777">
        <w:trPr>
          <w:trHeight w:val="1266"/>
          <w:tblHeader/>
          <w:jc w:val="center"/>
        </w:trPr>
        <w:tc>
          <w:tcPr>
            <w:tcW w:w="110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78F6FD6" w14:textId="77777777" w:rsidR="00A00259" w:rsidRDefault="00371282">
            <w:pPr>
              <w:pStyle w:val="P68B1DB1-Normal15"/>
              <w:keepNext/>
              <w:spacing w:before="40" w:after="0" w:line="259" w:lineRule="auto"/>
              <w:jc w:val="center"/>
              <w:rPr>
                <w:rFonts w:eastAsia="Times New Roman"/>
                <w:bCs/>
                <w:noProof/>
              </w:rPr>
            </w:pPr>
            <w:r>
              <w:rPr>
                <w:noProof/>
              </w:rPr>
              <w:t xml:space="preserve">Seq. </w:t>
            </w:r>
            <w:r>
              <w:rPr>
                <w:noProof/>
              </w:rPr>
              <w:br/>
              <w:t>Non.</w:t>
            </w:r>
          </w:p>
        </w:tc>
        <w:tc>
          <w:tcPr>
            <w:tcW w:w="467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4C231FF"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Mesure connexe (réforme ou investissement)</w:t>
            </w:r>
          </w:p>
        </w:tc>
        <w:tc>
          <w:tcPr>
            <w:tcW w:w="13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904C186"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Étape/cible</w:t>
            </w:r>
          </w:p>
        </w:tc>
        <w:tc>
          <w:tcPr>
            <w:tcW w:w="243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681333B"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Nom</w:t>
            </w:r>
          </w:p>
        </w:tc>
      </w:tr>
      <w:tr w:rsidR="00A00259" w14:paraId="6784B6E5"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ACE338" w14:textId="77777777" w:rsidR="00A00259" w:rsidRDefault="00371282">
            <w:pPr>
              <w:pStyle w:val="P68B1DB1-Normal16"/>
              <w:keepNext/>
              <w:spacing w:before="40" w:after="0" w:line="240" w:lineRule="auto"/>
              <w:jc w:val="both"/>
              <w:rPr>
                <w:noProof/>
              </w:rPr>
            </w:pPr>
            <w:r>
              <w:rPr>
                <w:noProof/>
              </w:rPr>
              <w:t>385</w:t>
            </w:r>
          </w:p>
        </w:tc>
        <w:tc>
          <w:tcPr>
            <w:tcW w:w="4677" w:type="dxa"/>
            <w:tcBorders>
              <w:top w:val="single" w:sz="4" w:space="0" w:color="auto"/>
              <w:left w:val="nil"/>
              <w:bottom w:val="single" w:sz="4" w:space="0" w:color="auto"/>
              <w:right w:val="single" w:sz="4" w:space="0" w:color="auto"/>
            </w:tcBorders>
            <w:shd w:val="clear" w:color="auto" w:fill="C6EFCE"/>
            <w:noWrap/>
            <w:vAlign w:val="center"/>
          </w:tcPr>
          <w:p w14:paraId="0495D28F" w14:textId="77777777" w:rsidR="00A00259" w:rsidRDefault="00371282">
            <w:pPr>
              <w:pStyle w:val="P68B1DB1-Normal16"/>
              <w:keepNext/>
              <w:spacing w:before="40" w:after="0" w:line="240" w:lineRule="auto"/>
              <w:jc w:val="both"/>
              <w:rPr>
                <w:noProof/>
              </w:rPr>
            </w:pPr>
            <w:r>
              <w:rPr>
                <w:noProof/>
              </w:rPr>
              <w:t>1.4. Utilisation durable des ressources, résilience au changement climatique et protection de l’environnement – 16404_Programme de développement des collectivités locales «Antonis Tritsis»</w:t>
            </w:r>
          </w:p>
        </w:tc>
        <w:tc>
          <w:tcPr>
            <w:tcW w:w="1380" w:type="dxa"/>
            <w:tcBorders>
              <w:top w:val="single" w:sz="4" w:space="0" w:color="auto"/>
              <w:left w:val="nil"/>
              <w:bottom w:val="single" w:sz="4" w:space="0" w:color="auto"/>
              <w:right w:val="single" w:sz="4" w:space="0" w:color="auto"/>
            </w:tcBorders>
            <w:shd w:val="clear" w:color="auto" w:fill="C6EFCE"/>
            <w:noWrap/>
            <w:vAlign w:val="center"/>
          </w:tcPr>
          <w:p w14:paraId="02BB6B21" w14:textId="77777777" w:rsidR="00A00259" w:rsidRDefault="00371282">
            <w:pPr>
              <w:pStyle w:val="P68B1DB1-Normal16"/>
              <w:keepNext/>
              <w:spacing w:before="40" w:after="0" w:line="240" w:lineRule="auto"/>
              <w:jc w:val="both"/>
              <w:rPr>
                <w:noProof/>
              </w:rPr>
            </w:pPr>
            <w:r>
              <w:rPr>
                <w:noProof/>
              </w:rPr>
              <w:t>Étape</w:t>
            </w:r>
          </w:p>
        </w:tc>
        <w:tc>
          <w:tcPr>
            <w:tcW w:w="2430" w:type="dxa"/>
            <w:tcBorders>
              <w:top w:val="single" w:sz="4" w:space="0" w:color="auto"/>
              <w:left w:val="nil"/>
              <w:bottom w:val="single" w:sz="4" w:space="0" w:color="auto"/>
              <w:right w:val="single" w:sz="4" w:space="0" w:color="auto"/>
            </w:tcBorders>
            <w:shd w:val="clear" w:color="auto" w:fill="C6EFCE"/>
            <w:noWrap/>
            <w:vAlign w:val="center"/>
          </w:tcPr>
          <w:p w14:paraId="6B0986C9" w14:textId="77777777" w:rsidR="00A00259" w:rsidRDefault="00371282">
            <w:pPr>
              <w:pStyle w:val="P68B1DB1-Normal16"/>
              <w:keepNext/>
              <w:spacing w:before="40" w:after="0" w:line="240" w:lineRule="auto"/>
              <w:jc w:val="both"/>
              <w:rPr>
                <w:noProof/>
              </w:rPr>
            </w:pPr>
            <w:r>
              <w:rPr>
                <w:noProof/>
              </w:rPr>
              <w:t>Programme de développement des collectivités locales «Antonis Tritsis»</w:t>
            </w:r>
          </w:p>
        </w:tc>
      </w:tr>
      <w:tr w:rsidR="00A00259" w14:paraId="5B9A32EF" w14:textId="77777777">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696952EB" w14:textId="77777777" w:rsidR="00A00259" w:rsidRDefault="00371282">
            <w:pPr>
              <w:pStyle w:val="P68B1DB1-Normal16"/>
              <w:keepNext/>
              <w:spacing w:before="40" w:after="0" w:line="240" w:lineRule="auto"/>
              <w:jc w:val="both"/>
              <w:rPr>
                <w:noProof/>
              </w:rPr>
            </w:pPr>
            <w:r>
              <w:rPr>
                <w:noProof/>
              </w:rPr>
              <w:t>45 bis</w:t>
            </w:r>
          </w:p>
        </w:tc>
        <w:tc>
          <w:tcPr>
            <w:tcW w:w="4677" w:type="dxa"/>
            <w:tcBorders>
              <w:top w:val="single" w:sz="4" w:space="0" w:color="auto"/>
              <w:left w:val="nil"/>
              <w:bottom w:val="single" w:sz="4" w:space="0" w:color="auto"/>
              <w:right w:val="single" w:sz="4" w:space="0" w:color="auto"/>
            </w:tcBorders>
            <w:shd w:val="clear" w:color="auto" w:fill="C6EFCE"/>
            <w:noWrap/>
          </w:tcPr>
          <w:p w14:paraId="089EF883" w14:textId="77777777" w:rsidR="00A00259" w:rsidRDefault="00371282">
            <w:pPr>
              <w:pStyle w:val="P68B1DB1-Normal16"/>
              <w:keepNext/>
              <w:spacing w:before="40" w:after="0" w:line="240" w:lineRule="auto"/>
              <w:jc w:val="both"/>
              <w:rPr>
                <w:noProof/>
              </w:rPr>
            </w:pPr>
            <w:r>
              <w:rPr>
                <w:noProof/>
              </w:rPr>
              <w:t>3 - 1.3. Recharge et ravitaillement –16924_ Electromobility</w:t>
            </w:r>
          </w:p>
        </w:tc>
        <w:tc>
          <w:tcPr>
            <w:tcW w:w="1380" w:type="dxa"/>
            <w:tcBorders>
              <w:top w:val="single" w:sz="4" w:space="0" w:color="auto"/>
              <w:left w:val="nil"/>
              <w:bottom w:val="single" w:sz="4" w:space="0" w:color="auto"/>
              <w:right w:val="single" w:sz="4" w:space="0" w:color="auto"/>
            </w:tcBorders>
            <w:shd w:val="clear" w:color="auto" w:fill="C6EFCE"/>
            <w:noWrap/>
          </w:tcPr>
          <w:p w14:paraId="55B065B9" w14:textId="77777777" w:rsidR="00A00259" w:rsidRDefault="00371282">
            <w:pPr>
              <w:pStyle w:val="P68B1DB1-Normal16"/>
              <w:keepNext/>
              <w:spacing w:before="40" w:after="0" w:line="240" w:lineRule="auto"/>
              <w:jc w:val="both"/>
              <w:rPr>
                <w:noProof/>
              </w:rPr>
            </w:pPr>
            <w:r>
              <w:rPr>
                <w:noProof/>
              </w:rPr>
              <w:t>Étape</w:t>
            </w:r>
          </w:p>
        </w:tc>
        <w:tc>
          <w:tcPr>
            <w:tcW w:w="2430" w:type="dxa"/>
            <w:tcBorders>
              <w:top w:val="single" w:sz="4" w:space="0" w:color="auto"/>
              <w:left w:val="nil"/>
              <w:bottom w:val="single" w:sz="4" w:space="0" w:color="auto"/>
              <w:right w:val="single" w:sz="4" w:space="0" w:color="auto"/>
            </w:tcBorders>
            <w:shd w:val="clear" w:color="auto" w:fill="C6EFCE"/>
            <w:noWrap/>
          </w:tcPr>
          <w:p w14:paraId="6B3B4385" w14:textId="77777777" w:rsidR="00A00259" w:rsidRDefault="00371282">
            <w:pPr>
              <w:pStyle w:val="P68B1DB1-Normal16"/>
              <w:keepNext/>
              <w:spacing w:before="40" w:after="0" w:line="240" w:lineRule="auto"/>
              <w:jc w:val="both"/>
              <w:rPr>
                <w:noProof/>
              </w:rPr>
            </w:pPr>
            <w:r>
              <w:rPr>
                <w:noProof/>
              </w:rPr>
              <w:t>Bus de transport public - publication des appels d'offres pour les régions</w:t>
            </w:r>
          </w:p>
        </w:tc>
      </w:tr>
      <w:tr w:rsidR="00A00259" w14:paraId="791E4879" w14:textId="77777777">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F3AE01" w14:textId="6647C70D" w:rsidR="00A00259" w:rsidRDefault="00371282">
            <w:pPr>
              <w:pStyle w:val="P68B1DB1-Normal55"/>
              <w:spacing w:line="240" w:lineRule="auto"/>
              <w:jc w:val="both"/>
              <w:rPr>
                <w:rFonts w:cs="Times New Roman"/>
                <w:noProof/>
                <w:szCs w:val="18"/>
              </w:rPr>
            </w:pPr>
            <w:r>
              <w:rPr>
                <w:noProof/>
              </w:rPr>
              <w:t>241</w:t>
            </w:r>
          </w:p>
        </w:tc>
        <w:tc>
          <w:tcPr>
            <w:tcW w:w="4677" w:type="dxa"/>
            <w:tcBorders>
              <w:top w:val="single" w:sz="4" w:space="0" w:color="auto"/>
              <w:left w:val="nil"/>
              <w:bottom w:val="single" w:sz="4" w:space="0" w:color="auto"/>
              <w:right w:val="single" w:sz="4" w:space="0" w:color="auto"/>
            </w:tcBorders>
            <w:shd w:val="clear" w:color="auto" w:fill="C6EFCE"/>
            <w:noWrap/>
            <w:vAlign w:val="center"/>
          </w:tcPr>
          <w:p w14:paraId="066711F1" w14:textId="28AB6AE0" w:rsidR="00A00259" w:rsidRDefault="00371282">
            <w:pPr>
              <w:pStyle w:val="P68B1DB1-Normal11"/>
              <w:keepNext/>
              <w:spacing w:before="40" w:after="0" w:line="240" w:lineRule="auto"/>
              <w:jc w:val="both"/>
              <w:rPr>
                <w:rFonts w:cs="Times New Roman"/>
                <w:noProof/>
              </w:rPr>
            </w:pPr>
            <w:r>
              <w:rPr>
                <w:noProof/>
              </w:rPr>
              <w:t>15 - 4.4. Renforcer le secteur financier et les marchés des capitaux - 16580_Livraison du nouveau cadre unifié en matière d'insolvabilité pour la restructuration de la dette et la 2e chance</w:t>
            </w:r>
          </w:p>
        </w:tc>
        <w:tc>
          <w:tcPr>
            <w:tcW w:w="1380" w:type="dxa"/>
            <w:tcBorders>
              <w:top w:val="single" w:sz="4" w:space="0" w:color="auto"/>
              <w:left w:val="nil"/>
              <w:bottom w:val="single" w:sz="4" w:space="0" w:color="auto"/>
              <w:right w:val="single" w:sz="4" w:space="0" w:color="auto"/>
            </w:tcBorders>
            <w:shd w:val="clear" w:color="auto" w:fill="C6EFCE"/>
            <w:noWrap/>
            <w:vAlign w:val="center"/>
          </w:tcPr>
          <w:p w14:paraId="3B27F928" w14:textId="532FD1B7" w:rsidR="00A00259" w:rsidRDefault="00371282">
            <w:pPr>
              <w:pStyle w:val="P68B1DB1-Normal55"/>
              <w:keepNext/>
              <w:spacing w:before="40" w:after="0" w:line="240" w:lineRule="auto"/>
              <w:jc w:val="both"/>
              <w:rPr>
                <w:rFonts w:cs="Times New Roman"/>
                <w:noProof/>
                <w:szCs w:val="18"/>
              </w:rPr>
            </w:pPr>
            <w:r>
              <w:rPr>
                <w:noProof/>
              </w:rPr>
              <w:t>Étape</w:t>
            </w:r>
          </w:p>
        </w:tc>
        <w:tc>
          <w:tcPr>
            <w:tcW w:w="2430" w:type="dxa"/>
            <w:tcBorders>
              <w:top w:val="single" w:sz="4" w:space="0" w:color="auto"/>
              <w:left w:val="nil"/>
              <w:bottom w:val="single" w:sz="4" w:space="0" w:color="auto"/>
              <w:right w:val="single" w:sz="4" w:space="0" w:color="auto"/>
            </w:tcBorders>
            <w:shd w:val="clear" w:color="auto" w:fill="C6EFCE"/>
            <w:noWrap/>
            <w:vAlign w:val="center"/>
          </w:tcPr>
          <w:p w14:paraId="078E4CA0" w14:textId="6C8D381D" w:rsidR="00A00259" w:rsidRDefault="00371282">
            <w:pPr>
              <w:pStyle w:val="P68B1DB1-Normal55"/>
              <w:keepNext/>
              <w:spacing w:before="40" w:after="0" w:line="240" w:lineRule="auto"/>
              <w:jc w:val="both"/>
              <w:rPr>
                <w:rFonts w:cs="Times New Roman"/>
                <w:noProof/>
                <w:szCs w:val="18"/>
              </w:rPr>
            </w:pPr>
            <w:r>
              <w:rPr>
                <w:noProof/>
              </w:rPr>
              <w:t>Mise à niveau des systèmes informatiques d’alerte précoce et de restructuration de la dette</w:t>
            </w:r>
          </w:p>
        </w:tc>
      </w:tr>
      <w:tr w:rsidR="00A00259" w14:paraId="6EB5F1DF" w14:textId="77777777">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3142CA1A" w14:textId="3E9BA592" w:rsidR="00A00259" w:rsidRDefault="00371282">
            <w:pPr>
              <w:pStyle w:val="P68B1DB1-Normal16"/>
              <w:spacing w:line="240" w:lineRule="auto"/>
              <w:jc w:val="both"/>
              <w:rPr>
                <w:noProof/>
              </w:rPr>
            </w:pPr>
            <w:r>
              <w:rPr>
                <w:noProof/>
              </w:rPr>
              <w:t>109</w:t>
            </w:r>
          </w:p>
        </w:tc>
        <w:tc>
          <w:tcPr>
            <w:tcW w:w="4677" w:type="dxa"/>
            <w:tcBorders>
              <w:top w:val="single" w:sz="4" w:space="0" w:color="auto"/>
              <w:left w:val="nil"/>
              <w:bottom w:val="single" w:sz="4" w:space="0" w:color="auto"/>
              <w:right w:val="single" w:sz="4" w:space="0" w:color="auto"/>
            </w:tcBorders>
            <w:shd w:val="clear" w:color="auto" w:fill="C6EFCE"/>
            <w:noWrap/>
          </w:tcPr>
          <w:p w14:paraId="59B58171" w14:textId="0D81291D" w:rsidR="00A00259" w:rsidRDefault="00371282">
            <w:pPr>
              <w:pStyle w:val="P68B1DB1-Normal16"/>
              <w:keepNext/>
              <w:spacing w:before="40" w:after="0" w:line="240" w:lineRule="auto"/>
              <w:jc w:val="both"/>
              <w:rPr>
                <w:noProof/>
              </w:rPr>
            </w:pPr>
            <w:r>
              <w:rPr>
                <w:noProof/>
              </w:rPr>
              <w:t>6 - 2.2. Moderniser - 16810_CRM pour le gouvernement général</w:t>
            </w:r>
          </w:p>
        </w:tc>
        <w:tc>
          <w:tcPr>
            <w:tcW w:w="1380" w:type="dxa"/>
            <w:tcBorders>
              <w:top w:val="single" w:sz="4" w:space="0" w:color="auto"/>
              <w:left w:val="nil"/>
              <w:bottom w:val="single" w:sz="4" w:space="0" w:color="auto"/>
              <w:right w:val="single" w:sz="4" w:space="0" w:color="auto"/>
            </w:tcBorders>
            <w:shd w:val="clear" w:color="auto" w:fill="C6EFCE"/>
            <w:noWrap/>
          </w:tcPr>
          <w:p w14:paraId="10953912" w14:textId="745FDC83" w:rsidR="00A00259" w:rsidRDefault="00371282">
            <w:pPr>
              <w:pStyle w:val="P68B1DB1-Normal16"/>
              <w:keepNext/>
              <w:spacing w:before="40" w:after="0" w:line="240" w:lineRule="auto"/>
              <w:jc w:val="both"/>
              <w:rPr>
                <w:noProof/>
              </w:rPr>
            </w:pPr>
            <w:r>
              <w:rPr>
                <w:noProof/>
              </w:rPr>
              <w:t>Étape</w:t>
            </w:r>
          </w:p>
        </w:tc>
        <w:tc>
          <w:tcPr>
            <w:tcW w:w="2430" w:type="dxa"/>
            <w:tcBorders>
              <w:top w:val="single" w:sz="4" w:space="0" w:color="auto"/>
              <w:left w:val="nil"/>
              <w:bottom w:val="single" w:sz="4" w:space="0" w:color="auto"/>
              <w:right w:val="single" w:sz="4" w:space="0" w:color="auto"/>
            </w:tcBorders>
            <w:shd w:val="clear" w:color="auto" w:fill="C6EFCE"/>
            <w:noWrap/>
          </w:tcPr>
          <w:p w14:paraId="5390B808" w14:textId="194906E0" w:rsidR="00A00259" w:rsidRDefault="00371282">
            <w:pPr>
              <w:pStyle w:val="P68B1DB1-Normal16"/>
              <w:keepNext/>
              <w:spacing w:before="40" w:after="0" w:line="240" w:lineRule="auto"/>
              <w:jc w:val="both"/>
              <w:rPr>
                <w:noProof/>
              </w:rPr>
            </w:pPr>
            <w:r>
              <w:rPr>
                <w:noProof/>
              </w:rPr>
              <w:t>Système de gestion de la relation client pour le gouvernement général et Gov.gr – messenger</w:t>
            </w:r>
          </w:p>
        </w:tc>
      </w:tr>
      <w:tr w:rsidR="00A00259" w14:paraId="76CB1367"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404763EE" w14:textId="6A470C42" w:rsidR="00A00259" w:rsidRDefault="00371282">
            <w:pPr>
              <w:pStyle w:val="P68B1DB1-Normal55"/>
              <w:keepNext/>
              <w:spacing w:before="40" w:after="0" w:line="240" w:lineRule="auto"/>
              <w:jc w:val="both"/>
              <w:rPr>
                <w:noProof/>
              </w:rPr>
            </w:pPr>
            <w:r>
              <w:rPr>
                <w:noProof/>
              </w:rPr>
              <w:t>92</w:t>
            </w:r>
          </w:p>
        </w:tc>
        <w:tc>
          <w:tcPr>
            <w:tcW w:w="4677" w:type="dxa"/>
            <w:tcBorders>
              <w:top w:val="nil"/>
              <w:left w:val="nil"/>
              <w:bottom w:val="single" w:sz="4" w:space="0" w:color="auto"/>
              <w:right w:val="single" w:sz="4" w:space="0" w:color="auto"/>
            </w:tcBorders>
            <w:shd w:val="clear" w:color="auto" w:fill="C6EFCE"/>
            <w:noWrap/>
            <w:vAlign w:val="center"/>
          </w:tcPr>
          <w:p w14:paraId="0DD17E00" w14:textId="42AE2042" w:rsidR="00A00259" w:rsidRDefault="00371282">
            <w:pPr>
              <w:pStyle w:val="P68B1DB1-Normal55"/>
              <w:keepNext/>
              <w:spacing w:before="40" w:after="0" w:line="240" w:lineRule="auto"/>
              <w:jc w:val="both"/>
              <w:rPr>
                <w:noProof/>
              </w:rPr>
            </w:pPr>
            <w:r>
              <w:rPr>
                <w:noProof/>
              </w:rPr>
              <w:t>5 - 2.1. Connect - 16855_Small-satellites</w:t>
            </w:r>
          </w:p>
        </w:tc>
        <w:tc>
          <w:tcPr>
            <w:tcW w:w="1380" w:type="dxa"/>
            <w:tcBorders>
              <w:top w:val="nil"/>
              <w:left w:val="nil"/>
              <w:bottom w:val="single" w:sz="4" w:space="0" w:color="auto"/>
              <w:right w:val="single" w:sz="4" w:space="0" w:color="auto"/>
            </w:tcBorders>
            <w:shd w:val="clear" w:color="auto" w:fill="C6EFCE"/>
            <w:noWrap/>
            <w:vAlign w:val="center"/>
          </w:tcPr>
          <w:p w14:paraId="38DB85FD" w14:textId="2D186D7A" w:rsidR="00A00259" w:rsidRDefault="00371282">
            <w:pPr>
              <w:pStyle w:val="P68B1DB1-Normal55"/>
              <w:keepNext/>
              <w:spacing w:before="40" w:after="0" w:line="240" w:lineRule="auto"/>
              <w:jc w:val="both"/>
              <w:rPr>
                <w:noProof/>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58B01965" w14:textId="1D2CB192" w:rsidR="00A00259" w:rsidRDefault="00371282">
            <w:pPr>
              <w:pStyle w:val="P68B1DB1-Normal55"/>
              <w:keepNext/>
              <w:spacing w:before="40" w:after="0" w:line="240" w:lineRule="auto"/>
              <w:jc w:val="both"/>
              <w:rPr>
                <w:noProof/>
                <w:szCs w:val="18"/>
              </w:rPr>
            </w:pPr>
            <w:r>
              <w:rPr>
                <w:noProof/>
              </w:rPr>
              <w:t xml:space="preserve">Exécution du projet « Petits satellites » </w:t>
            </w:r>
          </w:p>
        </w:tc>
      </w:tr>
      <w:tr w:rsidR="00A00259" w14:paraId="699D77B5"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1CC4FEE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114</w:t>
            </w:r>
          </w:p>
        </w:tc>
        <w:tc>
          <w:tcPr>
            <w:tcW w:w="4677" w:type="dxa"/>
            <w:tcBorders>
              <w:top w:val="nil"/>
              <w:left w:val="nil"/>
              <w:bottom w:val="single" w:sz="4" w:space="0" w:color="auto"/>
              <w:right w:val="single" w:sz="4" w:space="0" w:color="auto"/>
            </w:tcBorders>
            <w:shd w:val="clear" w:color="auto" w:fill="C6EFCE"/>
            <w:noWrap/>
            <w:vAlign w:val="center"/>
          </w:tcPr>
          <w:p w14:paraId="4C74076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6 - 2.2. Moderniser - 16742_Transformation numérique du ministère des Affaires étrangères</w:t>
            </w:r>
          </w:p>
        </w:tc>
        <w:tc>
          <w:tcPr>
            <w:tcW w:w="1380" w:type="dxa"/>
            <w:tcBorders>
              <w:top w:val="nil"/>
              <w:left w:val="nil"/>
              <w:bottom w:val="single" w:sz="4" w:space="0" w:color="auto"/>
              <w:right w:val="single" w:sz="4" w:space="0" w:color="auto"/>
            </w:tcBorders>
            <w:shd w:val="clear" w:color="auto" w:fill="C6EFCE"/>
            <w:noWrap/>
            <w:vAlign w:val="center"/>
          </w:tcPr>
          <w:p w14:paraId="1A4D2E06"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1DEB5EB8" w14:textId="77777777" w:rsidR="00A00259" w:rsidRDefault="00371282">
            <w:pPr>
              <w:pStyle w:val="P68B1DB1-Normal11"/>
              <w:keepNext/>
              <w:spacing w:before="40" w:after="0" w:line="240" w:lineRule="auto"/>
              <w:jc w:val="both"/>
              <w:rPr>
                <w:rFonts w:eastAsia="Times New Roman" w:cs="Times New Roman"/>
                <w:noProof/>
              </w:rPr>
            </w:pPr>
            <w:r>
              <w:rPr>
                <w:noProof/>
              </w:rPr>
              <w:t xml:space="preserve"> Transformation numérique du ministère des Affaires étrangères</w:t>
            </w:r>
          </w:p>
        </w:tc>
      </w:tr>
      <w:tr w:rsidR="00A00259" w14:paraId="2E192EC6"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590643CD"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115</w:t>
            </w:r>
          </w:p>
        </w:tc>
        <w:tc>
          <w:tcPr>
            <w:tcW w:w="4677" w:type="dxa"/>
            <w:tcBorders>
              <w:top w:val="nil"/>
              <w:left w:val="nil"/>
              <w:bottom w:val="single" w:sz="4" w:space="0" w:color="auto"/>
              <w:right w:val="single" w:sz="4" w:space="0" w:color="auto"/>
            </w:tcBorders>
            <w:shd w:val="clear" w:color="auto" w:fill="C6EFCE"/>
            <w:noWrap/>
            <w:vAlign w:val="center"/>
          </w:tcPr>
          <w:p w14:paraId="606402A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6 - 2.2. Moderniser - 16791_Transformation numérique de l'Organisation nationale grecque du tourisme</w:t>
            </w:r>
          </w:p>
        </w:tc>
        <w:tc>
          <w:tcPr>
            <w:tcW w:w="1380" w:type="dxa"/>
            <w:tcBorders>
              <w:top w:val="nil"/>
              <w:left w:val="nil"/>
              <w:bottom w:val="single" w:sz="4" w:space="0" w:color="auto"/>
              <w:right w:val="single" w:sz="4" w:space="0" w:color="auto"/>
            </w:tcBorders>
            <w:shd w:val="clear" w:color="auto" w:fill="C6EFCE"/>
            <w:noWrap/>
            <w:vAlign w:val="center"/>
          </w:tcPr>
          <w:p w14:paraId="77C60805"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032E9BBC" w14:textId="77777777" w:rsidR="00A00259" w:rsidRDefault="00371282">
            <w:pPr>
              <w:pStyle w:val="P68B1DB1-Normal55"/>
              <w:keepNext/>
              <w:spacing w:before="40" w:after="0" w:line="240" w:lineRule="auto"/>
              <w:jc w:val="both"/>
              <w:rPr>
                <w:rFonts w:eastAsia="Times New Roman" w:cs="Times New Roman"/>
                <w:noProof/>
                <w:szCs w:val="18"/>
              </w:rPr>
            </w:pPr>
            <w:r>
              <w:rPr>
                <w:noProof/>
              </w:rPr>
              <w:t xml:space="preserve">Numérisation de l’organisation nationale grecque du tourisme </w:t>
            </w:r>
          </w:p>
        </w:tc>
      </w:tr>
      <w:tr w:rsidR="00A00259" w14:paraId="0E1DD890"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1724339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131</w:t>
            </w:r>
          </w:p>
        </w:tc>
        <w:tc>
          <w:tcPr>
            <w:tcW w:w="4677" w:type="dxa"/>
            <w:tcBorders>
              <w:top w:val="nil"/>
              <w:left w:val="nil"/>
              <w:bottom w:val="single" w:sz="4" w:space="0" w:color="auto"/>
              <w:right w:val="single" w:sz="4" w:space="0" w:color="auto"/>
            </w:tcBorders>
            <w:shd w:val="clear" w:color="auto" w:fill="C6EFCE"/>
            <w:noWrap/>
            <w:vAlign w:val="center"/>
          </w:tcPr>
          <w:p w14:paraId="62DC8B5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7 - 2.3. Numérisation des entreprises - 16706_Transformation numérique des PME</w:t>
            </w:r>
          </w:p>
        </w:tc>
        <w:tc>
          <w:tcPr>
            <w:tcW w:w="1380" w:type="dxa"/>
            <w:tcBorders>
              <w:top w:val="nil"/>
              <w:left w:val="nil"/>
              <w:bottom w:val="single" w:sz="4" w:space="0" w:color="auto"/>
              <w:right w:val="single" w:sz="4" w:space="0" w:color="auto"/>
            </w:tcBorders>
            <w:shd w:val="clear" w:color="auto" w:fill="C6EFCE"/>
            <w:noWrap/>
            <w:vAlign w:val="center"/>
          </w:tcPr>
          <w:p w14:paraId="41DA4DC4"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6EE624C7" w14:textId="77777777" w:rsidR="00A00259" w:rsidRDefault="00371282">
            <w:pPr>
              <w:pStyle w:val="P68B1DB1-Normal55"/>
              <w:keepNext/>
              <w:spacing w:before="40" w:after="0" w:line="240" w:lineRule="auto"/>
              <w:jc w:val="both"/>
              <w:rPr>
                <w:rFonts w:eastAsia="Times New Roman" w:cs="Times New Roman"/>
                <w:noProof/>
                <w:szCs w:val="18"/>
              </w:rPr>
            </w:pPr>
            <w:r>
              <w:rPr>
                <w:noProof/>
              </w:rPr>
              <w:t>Transformation numérique des PME – Soutien à la numérisation au moyen de systèmes de chèques</w:t>
            </w:r>
          </w:p>
        </w:tc>
      </w:tr>
      <w:tr w:rsidR="00A00259" w14:paraId="39F5D780"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2A09BFF1" w14:textId="77777777" w:rsidR="00A00259" w:rsidRDefault="00371282">
            <w:pPr>
              <w:pStyle w:val="P68B1DB1-Normal55"/>
              <w:keepNext/>
              <w:spacing w:before="40" w:after="0" w:line="240" w:lineRule="auto"/>
              <w:jc w:val="both"/>
              <w:rPr>
                <w:noProof/>
              </w:rPr>
            </w:pPr>
            <w:r>
              <w:rPr>
                <w:noProof/>
              </w:rPr>
              <w:t>181 bis</w:t>
            </w:r>
          </w:p>
        </w:tc>
        <w:tc>
          <w:tcPr>
            <w:tcW w:w="4677" w:type="dxa"/>
            <w:tcBorders>
              <w:top w:val="nil"/>
              <w:left w:val="nil"/>
              <w:bottom w:val="single" w:sz="4" w:space="0" w:color="auto"/>
              <w:right w:val="single" w:sz="4" w:space="0" w:color="auto"/>
            </w:tcBorders>
            <w:shd w:val="clear" w:color="auto" w:fill="C6EFCE"/>
            <w:noWrap/>
            <w:vAlign w:val="center"/>
          </w:tcPr>
          <w:p w14:paraId="531539CC" w14:textId="77777777" w:rsidR="00A00259" w:rsidRDefault="00371282">
            <w:pPr>
              <w:pStyle w:val="P68B1DB1-Normal55"/>
              <w:keepNext/>
              <w:spacing w:before="40" w:after="0" w:line="240" w:lineRule="auto"/>
              <w:jc w:val="both"/>
              <w:rPr>
                <w:noProof/>
              </w:rPr>
            </w:pPr>
            <w:r>
              <w:rPr>
                <w:noProof/>
              </w:rPr>
              <w:t>11 – 3.4 Accroître l’accès à des politiques sociales efficaces et inclusives – 16402_Logement social et abordable</w:t>
            </w:r>
          </w:p>
        </w:tc>
        <w:tc>
          <w:tcPr>
            <w:tcW w:w="1380" w:type="dxa"/>
            <w:tcBorders>
              <w:top w:val="nil"/>
              <w:left w:val="nil"/>
              <w:bottom w:val="single" w:sz="4" w:space="0" w:color="auto"/>
              <w:right w:val="single" w:sz="4" w:space="0" w:color="auto"/>
            </w:tcBorders>
            <w:shd w:val="clear" w:color="auto" w:fill="C6EFCE"/>
            <w:noWrap/>
            <w:vAlign w:val="center"/>
          </w:tcPr>
          <w:p w14:paraId="70571841" w14:textId="77777777" w:rsidR="00A00259" w:rsidRDefault="00371282">
            <w:pPr>
              <w:pStyle w:val="P68B1DB1-Normal55"/>
              <w:keepNext/>
              <w:spacing w:before="40" w:after="0" w:line="240" w:lineRule="auto"/>
              <w:jc w:val="both"/>
              <w:rPr>
                <w:noProof/>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584A6AF3" w14:textId="77777777" w:rsidR="00A00259" w:rsidRDefault="00371282">
            <w:pPr>
              <w:pStyle w:val="P68B1DB1-Normal55"/>
              <w:keepNext/>
              <w:spacing w:before="40" w:after="0" w:line="240" w:lineRule="auto"/>
              <w:jc w:val="both"/>
              <w:rPr>
                <w:noProof/>
              </w:rPr>
            </w:pPr>
            <w:r>
              <w:rPr>
                <w:noProof/>
              </w:rPr>
              <w:t xml:space="preserve">Modification d'un acte juridique </w:t>
            </w:r>
          </w:p>
        </w:tc>
      </w:tr>
      <w:tr w:rsidR="00A00259" w14:paraId="66730912"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2759209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132</w:t>
            </w:r>
          </w:p>
        </w:tc>
        <w:tc>
          <w:tcPr>
            <w:tcW w:w="4677" w:type="dxa"/>
            <w:tcBorders>
              <w:top w:val="nil"/>
              <w:left w:val="nil"/>
              <w:bottom w:val="single" w:sz="4" w:space="0" w:color="auto"/>
              <w:right w:val="single" w:sz="4" w:space="0" w:color="auto"/>
            </w:tcBorders>
            <w:shd w:val="clear" w:color="auto" w:fill="C6EFCE"/>
            <w:noWrap/>
            <w:vAlign w:val="center"/>
          </w:tcPr>
          <w:p w14:paraId="2143371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 7 - 2.3. «Numérisation des entreprises» - 16973_Mise en place d'un écosystème d'entreprises numériques pour faciliter la transformation numérique des PME</w:t>
            </w:r>
          </w:p>
        </w:tc>
        <w:tc>
          <w:tcPr>
            <w:tcW w:w="1380" w:type="dxa"/>
            <w:tcBorders>
              <w:top w:val="nil"/>
              <w:left w:val="nil"/>
              <w:bottom w:val="single" w:sz="4" w:space="0" w:color="auto"/>
              <w:right w:val="single" w:sz="4" w:space="0" w:color="auto"/>
            </w:tcBorders>
            <w:shd w:val="clear" w:color="auto" w:fill="C6EFCE"/>
            <w:noWrap/>
            <w:vAlign w:val="center"/>
          </w:tcPr>
          <w:p w14:paraId="2AA4393B"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79344CCB" w14:textId="77777777" w:rsidR="00A00259" w:rsidRDefault="00371282">
            <w:pPr>
              <w:pStyle w:val="P68B1DB1-Normal55"/>
              <w:keepNext/>
              <w:spacing w:before="40" w:after="0" w:line="240" w:lineRule="auto"/>
              <w:jc w:val="both"/>
              <w:rPr>
                <w:rFonts w:eastAsia="Times New Roman" w:cs="Times New Roman"/>
                <w:noProof/>
                <w:szCs w:val="18"/>
              </w:rPr>
            </w:pPr>
            <w:r>
              <w:rPr>
                <w:noProof/>
              </w:rPr>
              <w:t>Transformation numérique des PME - Réforme législative visant à encourager l'adoption des technologies</w:t>
            </w:r>
          </w:p>
        </w:tc>
      </w:tr>
      <w:tr w:rsidR="00A00259" w14:paraId="151A5F4F"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662FE528" w14:textId="77777777" w:rsidR="00A00259" w:rsidRDefault="00371282">
            <w:pPr>
              <w:pStyle w:val="P68B1DB1-Normal55"/>
              <w:keepNext/>
              <w:spacing w:before="40" w:after="0" w:line="240" w:lineRule="auto"/>
              <w:jc w:val="both"/>
              <w:rPr>
                <w:noProof/>
              </w:rPr>
            </w:pPr>
            <w:r>
              <w:rPr>
                <w:noProof/>
              </w:rPr>
              <w:t>135a</w:t>
            </w:r>
          </w:p>
        </w:tc>
        <w:tc>
          <w:tcPr>
            <w:tcW w:w="4677" w:type="dxa"/>
            <w:tcBorders>
              <w:top w:val="nil"/>
              <w:left w:val="nil"/>
              <w:bottom w:val="single" w:sz="4" w:space="0" w:color="auto"/>
              <w:right w:val="single" w:sz="4" w:space="0" w:color="auto"/>
            </w:tcBorders>
            <w:shd w:val="clear" w:color="auto" w:fill="C6EFCE"/>
            <w:noWrap/>
          </w:tcPr>
          <w:p w14:paraId="567725C4" w14:textId="77777777" w:rsidR="00A00259" w:rsidRDefault="00371282">
            <w:pPr>
              <w:pStyle w:val="P68B1DB1-Normal55"/>
              <w:keepNext/>
              <w:spacing w:before="40" w:after="0" w:line="240" w:lineRule="auto"/>
              <w:jc w:val="both"/>
              <w:rPr>
                <w:noProof/>
              </w:rPr>
            </w:pPr>
            <w:r>
              <w:rPr>
                <w:noProof/>
              </w:rPr>
              <w:t>8 - 3.1. Promouvoir la création d'emplois et la participation au marché du travail - 16942_Transformation numérique du service public de l'emploi</w:t>
            </w:r>
          </w:p>
        </w:tc>
        <w:tc>
          <w:tcPr>
            <w:tcW w:w="1380" w:type="dxa"/>
            <w:tcBorders>
              <w:top w:val="nil"/>
              <w:left w:val="nil"/>
              <w:bottom w:val="single" w:sz="4" w:space="0" w:color="auto"/>
              <w:right w:val="single" w:sz="4" w:space="0" w:color="auto"/>
            </w:tcBorders>
            <w:shd w:val="clear" w:color="auto" w:fill="C6EFCE"/>
            <w:noWrap/>
          </w:tcPr>
          <w:p w14:paraId="33F0C22C" w14:textId="77777777" w:rsidR="00A00259" w:rsidRDefault="00371282">
            <w:pPr>
              <w:pStyle w:val="P68B1DB1-Normal55"/>
              <w:keepNext/>
              <w:spacing w:before="40" w:after="0" w:line="240" w:lineRule="auto"/>
              <w:jc w:val="both"/>
              <w:rPr>
                <w:noProof/>
              </w:rPr>
            </w:pPr>
            <w:r>
              <w:rPr>
                <w:noProof/>
              </w:rPr>
              <w:t>Étape</w:t>
            </w:r>
          </w:p>
        </w:tc>
        <w:tc>
          <w:tcPr>
            <w:tcW w:w="2430" w:type="dxa"/>
            <w:tcBorders>
              <w:top w:val="nil"/>
              <w:left w:val="nil"/>
              <w:bottom w:val="single" w:sz="4" w:space="0" w:color="auto"/>
              <w:right w:val="single" w:sz="4" w:space="0" w:color="auto"/>
            </w:tcBorders>
            <w:shd w:val="clear" w:color="auto" w:fill="C6EFCE"/>
            <w:noWrap/>
          </w:tcPr>
          <w:p w14:paraId="3655D007" w14:textId="77777777" w:rsidR="00A00259" w:rsidRDefault="00371282">
            <w:pPr>
              <w:pStyle w:val="P68B1DB1-Normal55"/>
              <w:keepNext/>
              <w:spacing w:before="40" w:after="0" w:line="240" w:lineRule="auto"/>
              <w:jc w:val="both"/>
              <w:rPr>
                <w:noProof/>
              </w:rPr>
            </w:pPr>
            <w:r>
              <w:rPr>
                <w:noProof/>
              </w:rPr>
              <w:t>Transformation numérique de DYPA</w:t>
            </w:r>
          </w:p>
        </w:tc>
      </w:tr>
      <w:tr w:rsidR="00A00259" w14:paraId="7F8FD7C8"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05EAD655" w14:textId="79A49C02" w:rsidR="00A00259" w:rsidRDefault="00371282">
            <w:pPr>
              <w:pStyle w:val="P68B1DB1-Normal55"/>
              <w:keepNext/>
              <w:spacing w:before="40" w:after="0" w:line="240" w:lineRule="auto"/>
              <w:jc w:val="both"/>
              <w:rPr>
                <w:noProof/>
              </w:rPr>
            </w:pPr>
            <w:r>
              <w:rPr>
                <w:noProof/>
              </w:rPr>
              <w:t>142 ter</w:t>
            </w:r>
          </w:p>
        </w:tc>
        <w:tc>
          <w:tcPr>
            <w:tcW w:w="4677" w:type="dxa"/>
            <w:tcBorders>
              <w:top w:val="nil"/>
              <w:left w:val="nil"/>
              <w:bottom w:val="single" w:sz="4" w:space="0" w:color="auto"/>
              <w:right w:val="single" w:sz="4" w:space="0" w:color="auto"/>
            </w:tcBorders>
            <w:shd w:val="clear" w:color="auto" w:fill="C6EFCE"/>
            <w:noWrap/>
            <w:vAlign w:val="center"/>
          </w:tcPr>
          <w:p w14:paraId="1D2D3EC4" w14:textId="3B01E333" w:rsidR="00A00259" w:rsidRDefault="00371282">
            <w:pPr>
              <w:pStyle w:val="P68B1DB1-Normal11"/>
              <w:keepNext/>
              <w:spacing w:before="40" w:after="0" w:line="240" w:lineRule="auto"/>
              <w:jc w:val="both"/>
              <w:rPr>
                <w:noProof/>
              </w:rPr>
            </w:pPr>
            <w:r>
              <w:rPr>
                <w:noProof/>
              </w:rPr>
              <w:t>8 - 3.1. «Promouvoir la création d'emplois et la participation au marché du travail» - 16746_Réforme des politiques passives du marché du travail pour soutenir les transitions vers l'emploi</w:t>
            </w:r>
          </w:p>
        </w:tc>
        <w:tc>
          <w:tcPr>
            <w:tcW w:w="1380" w:type="dxa"/>
            <w:tcBorders>
              <w:top w:val="nil"/>
              <w:left w:val="nil"/>
              <w:bottom w:val="single" w:sz="4" w:space="0" w:color="auto"/>
              <w:right w:val="single" w:sz="4" w:space="0" w:color="auto"/>
            </w:tcBorders>
            <w:shd w:val="clear" w:color="auto" w:fill="C6EFCE"/>
            <w:noWrap/>
            <w:vAlign w:val="center"/>
          </w:tcPr>
          <w:p w14:paraId="6BCDAE68" w14:textId="5275F9B6" w:rsidR="00A00259" w:rsidRDefault="00371282">
            <w:pPr>
              <w:pStyle w:val="P68B1DB1-Normal11"/>
              <w:keepNext/>
              <w:spacing w:before="40" w:after="0" w:line="240" w:lineRule="auto"/>
              <w:jc w:val="both"/>
              <w:rPr>
                <w:noProof/>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4CA8B761" w14:textId="1BA3E523" w:rsidR="00A00259" w:rsidRDefault="00371282">
            <w:pPr>
              <w:pStyle w:val="P68B1DB1-Normal55"/>
              <w:keepNext/>
              <w:spacing w:before="40" w:after="0" w:line="240" w:lineRule="auto"/>
              <w:jc w:val="both"/>
              <w:rPr>
                <w:noProof/>
              </w:rPr>
            </w:pPr>
            <w:r>
              <w:rPr>
                <w:noProof/>
              </w:rPr>
              <w:t>Projet pilote sur les allocations de chômage</w:t>
            </w:r>
          </w:p>
        </w:tc>
      </w:tr>
      <w:tr w:rsidR="00A00259" w14:paraId="135F120D"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2FC7071B" w14:textId="77777777" w:rsidR="00A00259" w:rsidRDefault="00371282">
            <w:pPr>
              <w:pStyle w:val="P68B1DB1-Normal55"/>
              <w:keepNext/>
              <w:spacing w:before="40" w:after="0" w:line="240" w:lineRule="auto"/>
              <w:jc w:val="both"/>
              <w:rPr>
                <w:noProof/>
              </w:rPr>
            </w:pPr>
            <w:r>
              <w:rPr>
                <w:noProof/>
              </w:rPr>
              <w:t>144 bis</w:t>
            </w:r>
          </w:p>
        </w:tc>
        <w:tc>
          <w:tcPr>
            <w:tcW w:w="4677" w:type="dxa"/>
            <w:tcBorders>
              <w:top w:val="nil"/>
              <w:left w:val="nil"/>
              <w:bottom w:val="single" w:sz="4" w:space="0" w:color="auto"/>
              <w:right w:val="single" w:sz="4" w:space="0" w:color="auto"/>
            </w:tcBorders>
            <w:shd w:val="clear" w:color="auto" w:fill="C6EFCE"/>
            <w:noWrap/>
          </w:tcPr>
          <w:p w14:paraId="01687380" w14:textId="77777777" w:rsidR="00A00259" w:rsidRDefault="00371282">
            <w:pPr>
              <w:pStyle w:val="P68B1DB1-Normal55"/>
              <w:keepNext/>
              <w:spacing w:before="40" w:after="0" w:line="240" w:lineRule="auto"/>
              <w:jc w:val="both"/>
              <w:rPr>
                <w:noProof/>
              </w:rPr>
            </w:pPr>
            <w:r>
              <w:rPr>
                <w:noProof/>
              </w:rPr>
              <w:t>8 - 3.1. Promouvoir la création d'emplois et la participation au marché du travail - 16747_Réforme des politiques actives du marché du travail</w:t>
            </w:r>
          </w:p>
        </w:tc>
        <w:tc>
          <w:tcPr>
            <w:tcW w:w="1380" w:type="dxa"/>
            <w:tcBorders>
              <w:top w:val="nil"/>
              <w:left w:val="nil"/>
              <w:bottom w:val="single" w:sz="4" w:space="0" w:color="auto"/>
              <w:right w:val="single" w:sz="4" w:space="0" w:color="auto"/>
            </w:tcBorders>
            <w:shd w:val="clear" w:color="auto" w:fill="C6EFCE"/>
            <w:noWrap/>
          </w:tcPr>
          <w:p w14:paraId="1F239D11" w14:textId="77777777" w:rsidR="00A00259" w:rsidRDefault="00371282">
            <w:pPr>
              <w:pStyle w:val="P68B1DB1-Normal55"/>
              <w:keepNext/>
              <w:spacing w:before="40" w:after="0" w:line="240" w:lineRule="auto"/>
              <w:jc w:val="both"/>
              <w:rPr>
                <w:noProof/>
              </w:rPr>
            </w:pPr>
            <w:r>
              <w:rPr>
                <w:noProof/>
              </w:rPr>
              <w:t>Étape</w:t>
            </w:r>
          </w:p>
        </w:tc>
        <w:tc>
          <w:tcPr>
            <w:tcW w:w="2430" w:type="dxa"/>
            <w:tcBorders>
              <w:top w:val="nil"/>
              <w:left w:val="nil"/>
              <w:bottom w:val="single" w:sz="4" w:space="0" w:color="auto"/>
              <w:right w:val="single" w:sz="4" w:space="0" w:color="auto"/>
            </w:tcBorders>
            <w:shd w:val="clear" w:color="auto" w:fill="C6EFCE"/>
            <w:noWrap/>
          </w:tcPr>
          <w:p w14:paraId="344D450F" w14:textId="348BBFA1" w:rsidR="00A00259" w:rsidRDefault="00371282">
            <w:pPr>
              <w:pStyle w:val="P68B1DB1-Normal55"/>
              <w:keepNext/>
              <w:spacing w:before="40" w:after="0" w:line="240" w:lineRule="auto"/>
              <w:jc w:val="both"/>
              <w:rPr>
                <w:noProof/>
              </w:rPr>
            </w:pPr>
            <w:r>
              <w:rPr>
                <w:noProof/>
              </w:rPr>
              <w:t xml:space="preserve"> Programmes d’emploi dans le cadre des PAMT: renforcement temporaire du personnel de la DYPA</w:t>
            </w:r>
          </w:p>
        </w:tc>
      </w:tr>
      <w:tr w:rsidR="00A00259" w14:paraId="03797227"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41444464" w14:textId="77777777" w:rsidR="00A00259" w:rsidRDefault="00371282">
            <w:pPr>
              <w:pStyle w:val="P68B1DB1-Normal55"/>
              <w:keepNext/>
              <w:spacing w:before="40" w:after="0" w:line="240" w:lineRule="auto"/>
              <w:jc w:val="both"/>
              <w:rPr>
                <w:rFonts w:cs="Times New Roman"/>
                <w:noProof/>
                <w:szCs w:val="18"/>
              </w:rPr>
            </w:pPr>
            <w:r>
              <w:rPr>
                <w:noProof/>
              </w:rPr>
              <w:t>148a</w:t>
            </w:r>
          </w:p>
        </w:tc>
        <w:tc>
          <w:tcPr>
            <w:tcW w:w="4677" w:type="dxa"/>
            <w:tcBorders>
              <w:top w:val="nil"/>
              <w:left w:val="nil"/>
              <w:bottom w:val="single" w:sz="4" w:space="0" w:color="auto"/>
              <w:right w:val="single" w:sz="4" w:space="0" w:color="auto"/>
            </w:tcBorders>
            <w:shd w:val="clear" w:color="auto" w:fill="C6EFCE"/>
            <w:noWrap/>
          </w:tcPr>
          <w:p w14:paraId="73009358" w14:textId="77777777" w:rsidR="00A00259" w:rsidRDefault="00371282">
            <w:pPr>
              <w:pStyle w:val="P68B1DB1-Normal55"/>
              <w:keepNext/>
              <w:spacing w:before="40" w:after="0" w:line="240" w:lineRule="auto"/>
              <w:jc w:val="both"/>
              <w:rPr>
                <w:rFonts w:cs="Times New Roman"/>
                <w:noProof/>
                <w:szCs w:val="18"/>
              </w:rPr>
            </w:pPr>
            <w:r>
              <w:rPr>
                <w:noProof/>
              </w:rPr>
              <w:t>9 - 3.2. Éducation, enseignement et formation professionnels et compétences - 16676_Transformation numérique de l'éducation</w:t>
            </w:r>
          </w:p>
        </w:tc>
        <w:tc>
          <w:tcPr>
            <w:tcW w:w="1380" w:type="dxa"/>
            <w:tcBorders>
              <w:top w:val="nil"/>
              <w:left w:val="nil"/>
              <w:bottom w:val="single" w:sz="4" w:space="0" w:color="auto"/>
              <w:right w:val="single" w:sz="4" w:space="0" w:color="auto"/>
            </w:tcBorders>
            <w:shd w:val="clear" w:color="auto" w:fill="C6EFCE"/>
            <w:noWrap/>
          </w:tcPr>
          <w:p w14:paraId="78218569" w14:textId="77777777" w:rsidR="00A00259" w:rsidRDefault="00371282">
            <w:pPr>
              <w:pStyle w:val="P68B1DB1-Normal55"/>
              <w:keepNext/>
              <w:spacing w:before="40" w:after="0" w:line="240" w:lineRule="auto"/>
              <w:jc w:val="both"/>
              <w:rPr>
                <w:rFonts w:cs="Times New Roman"/>
                <w:noProof/>
                <w:szCs w:val="18"/>
              </w:rPr>
            </w:pPr>
            <w:r>
              <w:rPr>
                <w:noProof/>
              </w:rPr>
              <w:t>Étape</w:t>
            </w:r>
          </w:p>
        </w:tc>
        <w:tc>
          <w:tcPr>
            <w:tcW w:w="2430" w:type="dxa"/>
            <w:tcBorders>
              <w:top w:val="nil"/>
              <w:left w:val="nil"/>
              <w:bottom w:val="single" w:sz="4" w:space="0" w:color="auto"/>
              <w:right w:val="single" w:sz="4" w:space="0" w:color="auto"/>
            </w:tcBorders>
            <w:shd w:val="clear" w:color="auto" w:fill="C6EFCE"/>
            <w:noWrap/>
          </w:tcPr>
          <w:p w14:paraId="39080375" w14:textId="77777777" w:rsidR="00A00259" w:rsidRDefault="00371282">
            <w:pPr>
              <w:pStyle w:val="P68B1DB1-Normal55"/>
              <w:keepNext/>
              <w:spacing w:before="40" w:after="0" w:line="240" w:lineRule="auto"/>
              <w:jc w:val="both"/>
              <w:rPr>
                <w:rFonts w:cs="Times New Roman"/>
                <w:noProof/>
                <w:szCs w:val="18"/>
              </w:rPr>
            </w:pPr>
            <w:r>
              <w:rPr>
                <w:noProof/>
              </w:rPr>
              <w:t>Stratégie de mise à jour des programmes, de rationalisation des services et de suivi des résultats de la transformation numérique de l’éducation</w:t>
            </w:r>
          </w:p>
        </w:tc>
      </w:tr>
      <w:tr w:rsidR="00A00259" w14:paraId="7564D474"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651D030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157</w:t>
            </w:r>
          </w:p>
        </w:tc>
        <w:tc>
          <w:tcPr>
            <w:tcW w:w="4677" w:type="dxa"/>
            <w:tcBorders>
              <w:top w:val="nil"/>
              <w:left w:val="nil"/>
              <w:bottom w:val="single" w:sz="4" w:space="0" w:color="auto"/>
              <w:right w:val="single" w:sz="4" w:space="0" w:color="auto"/>
            </w:tcBorders>
            <w:shd w:val="clear" w:color="auto" w:fill="C6EFCE"/>
            <w:noWrap/>
            <w:vAlign w:val="center"/>
          </w:tcPr>
          <w:p w14:paraId="250B157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10 - 3.3. Améliorer la résilience, l'accessibilité et la durabilité des soins de santé - 16816_Clawback Réduction et rationalisation des dépenses de santé</w:t>
            </w:r>
          </w:p>
        </w:tc>
        <w:tc>
          <w:tcPr>
            <w:tcW w:w="1380" w:type="dxa"/>
            <w:tcBorders>
              <w:top w:val="nil"/>
              <w:left w:val="nil"/>
              <w:bottom w:val="single" w:sz="4" w:space="0" w:color="auto"/>
              <w:right w:val="single" w:sz="4" w:space="0" w:color="auto"/>
            </w:tcBorders>
            <w:shd w:val="clear" w:color="auto" w:fill="C6EFCE"/>
            <w:noWrap/>
            <w:vAlign w:val="center"/>
          </w:tcPr>
          <w:p w14:paraId="354346DB" w14:textId="77777777" w:rsidR="00A00259" w:rsidRDefault="00371282">
            <w:pPr>
              <w:pStyle w:val="P68B1DB1-Normal55"/>
              <w:keepNext/>
              <w:spacing w:before="40" w:after="0" w:line="240" w:lineRule="auto"/>
              <w:jc w:val="both"/>
              <w:rPr>
                <w:rFonts w:eastAsia="Times New Roman" w:cs="Times New Roman"/>
                <w:noProof/>
                <w:szCs w:val="18"/>
              </w:rPr>
            </w:pPr>
            <w:r>
              <w:rPr>
                <w:noProof/>
              </w:rPr>
              <w:t>Objectif</w:t>
            </w:r>
          </w:p>
        </w:tc>
        <w:tc>
          <w:tcPr>
            <w:tcW w:w="2430" w:type="dxa"/>
            <w:tcBorders>
              <w:top w:val="nil"/>
              <w:left w:val="nil"/>
              <w:bottom w:val="single" w:sz="4" w:space="0" w:color="auto"/>
              <w:right w:val="single" w:sz="4" w:space="0" w:color="auto"/>
            </w:tcBorders>
            <w:shd w:val="clear" w:color="auto" w:fill="C6EFCE"/>
            <w:noWrap/>
            <w:vAlign w:val="center"/>
          </w:tcPr>
          <w:p w14:paraId="7102041E" w14:textId="77777777" w:rsidR="00A00259" w:rsidRDefault="00371282">
            <w:pPr>
              <w:pStyle w:val="P68B1DB1-Normal55"/>
              <w:keepNext/>
              <w:spacing w:before="40" w:after="0" w:line="240" w:lineRule="auto"/>
              <w:jc w:val="both"/>
              <w:rPr>
                <w:rFonts w:eastAsia="Times New Roman" w:cs="Times New Roman"/>
                <w:noProof/>
                <w:szCs w:val="18"/>
              </w:rPr>
            </w:pPr>
            <w:r>
              <w:rPr>
                <w:noProof/>
              </w:rPr>
              <w:t>Baisse de récupération de 300 000 000 - étape 3</w:t>
            </w:r>
          </w:p>
        </w:tc>
      </w:tr>
      <w:tr w:rsidR="00A00259" w14:paraId="69313647"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38375329" w14:textId="77777777" w:rsidR="00A00259" w:rsidRDefault="00371282">
            <w:pPr>
              <w:pStyle w:val="P68B1DB1-Normal11"/>
              <w:keepNext/>
              <w:spacing w:before="40" w:after="0" w:line="240" w:lineRule="auto"/>
              <w:jc w:val="both"/>
              <w:rPr>
                <w:rFonts w:eastAsia="Times New Roman" w:cs="Times New Roman"/>
                <w:bCs/>
                <w:noProof/>
              </w:rPr>
            </w:pPr>
            <w:r>
              <w:rPr>
                <w:noProof/>
              </w:rPr>
              <w:t>163</w:t>
            </w:r>
          </w:p>
        </w:tc>
        <w:tc>
          <w:tcPr>
            <w:tcW w:w="4677" w:type="dxa"/>
            <w:tcBorders>
              <w:top w:val="nil"/>
              <w:left w:val="nil"/>
              <w:bottom w:val="single" w:sz="4" w:space="0" w:color="auto"/>
              <w:right w:val="single" w:sz="4" w:space="0" w:color="auto"/>
            </w:tcBorders>
            <w:shd w:val="clear" w:color="auto" w:fill="C6EFCE"/>
            <w:noWrap/>
            <w:vAlign w:val="center"/>
          </w:tcPr>
          <w:p w14:paraId="3D7E30D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 xml:space="preserve">10 - 3.3. Améliorer la résilience, l'accessibilité et la durabilité des soins de santé - 16756_Réformes organisationnelles du système de santé </w:t>
            </w:r>
          </w:p>
        </w:tc>
        <w:tc>
          <w:tcPr>
            <w:tcW w:w="1380" w:type="dxa"/>
            <w:tcBorders>
              <w:top w:val="nil"/>
              <w:left w:val="nil"/>
              <w:bottom w:val="single" w:sz="4" w:space="0" w:color="auto"/>
              <w:right w:val="single" w:sz="4" w:space="0" w:color="auto"/>
            </w:tcBorders>
            <w:shd w:val="clear" w:color="auto" w:fill="C6EFCE"/>
            <w:noWrap/>
            <w:vAlign w:val="center"/>
          </w:tcPr>
          <w:p w14:paraId="2D23DBD4"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53B5314D" w14:textId="77777777" w:rsidR="00A00259" w:rsidRDefault="00371282">
            <w:pPr>
              <w:pStyle w:val="P68B1DB1-Normal55"/>
              <w:keepNext/>
              <w:spacing w:before="40" w:after="0" w:line="240" w:lineRule="auto"/>
              <w:jc w:val="both"/>
              <w:rPr>
                <w:rFonts w:eastAsia="Times New Roman" w:cs="Times New Roman"/>
                <w:noProof/>
                <w:szCs w:val="18"/>
              </w:rPr>
            </w:pPr>
            <w:r>
              <w:rPr>
                <w:noProof/>
              </w:rPr>
              <w:t xml:space="preserve">L'Institut grec DRG KETEKNY et la nouvelle Agence pour l'assurance qualité dans les soins de santé ODIPY </w:t>
            </w:r>
          </w:p>
        </w:tc>
      </w:tr>
      <w:tr w:rsidR="00A00259" w14:paraId="0247F9BE"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1FFC43CC" w14:textId="77777777" w:rsidR="00A00259" w:rsidRDefault="00371282">
            <w:pPr>
              <w:pStyle w:val="P68B1DB1-Normal11"/>
              <w:keepNext/>
              <w:spacing w:before="40" w:after="0" w:line="240" w:lineRule="auto"/>
              <w:jc w:val="both"/>
              <w:rPr>
                <w:rFonts w:eastAsia="Times New Roman" w:cs="Times New Roman"/>
                <w:bCs/>
                <w:noProof/>
              </w:rPr>
            </w:pPr>
            <w:r>
              <w:rPr>
                <w:noProof/>
              </w:rPr>
              <w:t>164</w:t>
            </w:r>
          </w:p>
        </w:tc>
        <w:tc>
          <w:tcPr>
            <w:tcW w:w="4677" w:type="dxa"/>
            <w:tcBorders>
              <w:top w:val="nil"/>
              <w:left w:val="nil"/>
              <w:bottom w:val="single" w:sz="4" w:space="0" w:color="auto"/>
              <w:right w:val="single" w:sz="4" w:space="0" w:color="auto"/>
            </w:tcBorders>
            <w:shd w:val="clear" w:color="auto" w:fill="C6EFCE"/>
            <w:noWrap/>
            <w:vAlign w:val="center"/>
          </w:tcPr>
          <w:p w14:paraId="2BC1A23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 xml:space="preserve">10 - 3.3. Améliorer la résilience, l'accessibilité et la durabilité des soins de santé - 16756_Réformes organisationnelles du système de santé </w:t>
            </w:r>
          </w:p>
        </w:tc>
        <w:tc>
          <w:tcPr>
            <w:tcW w:w="1380" w:type="dxa"/>
            <w:tcBorders>
              <w:top w:val="nil"/>
              <w:left w:val="nil"/>
              <w:bottom w:val="single" w:sz="4" w:space="0" w:color="auto"/>
              <w:right w:val="single" w:sz="4" w:space="0" w:color="auto"/>
            </w:tcBorders>
            <w:shd w:val="clear" w:color="auto" w:fill="C6EFCE"/>
            <w:noWrap/>
            <w:vAlign w:val="center"/>
          </w:tcPr>
          <w:p w14:paraId="3E788E77" w14:textId="77777777" w:rsidR="00A00259" w:rsidRDefault="00371282">
            <w:pPr>
              <w:pStyle w:val="P68B1DB1-Normal55"/>
              <w:keepNext/>
              <w:spacing w:before="40" w:after="0" w:line="240" w:lineRule="auto"/>
              <w:jc w:val="both"/>
              <w:rPr>
                <w:rFonts w:eastAsia="Times New Roman" w:cs="Times New Roman"/>
                <w:noProof/>
                <w:szCs w:val="18"/>
              </w:rPr>
            </w:pPr>
            <w:r>
              <w:rPr>
                <w:noProof/>
              </w:rPr>
              <w:t>Objectif</w:t>
            </w:r>
          </w:p>
        </w:tc>
        <w:tc>
          <w:tcPr>
            <w:tcW w:w="2430" w:type="dxa"/>
            <w:tcBorders>
              <w:top w:val="nil"/>
              <w:left w:val="nil"/>
              <w:bottom w:val="single" w:sz="4" w:space="0" w:color="auto"/>
              <w:right w:val="single" w:sz="4" w:space="0" w:color="auto"/>
            </w:tcBorders>
            <w:shd w:val="clear" w:color="auto" w:fill="C6EFCE"/>
            <w:noWrap/>
            <w:vAlign w:val="center"/>
          </w:tcPr>
          <w:p w14:paraId="31FE4273" w14:textId="77777777" w:rsidR="00A00259" w:rsidRDefault="00371282">
            <w:pPr>
              <w:pStyle w:val="P68B1DB1-Normal55"/>
              <w:keepNext/>
              <w:spacing w:before="40" w:after="0" w:line="240" w:lineRule="auto"/>
              <w:jc w:val="both"/>
              <w:rPr>
                <w:rFonts w:eastAsia="Times New Roman" w:cs="Times New Roman"/>
                <w:noProof/>
                <w:szCs w:val="18"/>
              </w:rPr>
            </w:pPr>
            <w:r>
              <w:rPr>
                <w:noProof/>
              </w:rPr>
              <w:t>Système de santé – formation KETEKNY</w:t>
            </w:r>
          </w:p>
        </w:tc>
      </w:tr>
      <w:tr w:rsidR="00A00259" w14:paraId="4ABB1E08"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1E4497D6" w14:textId="77777777" w:rsidR="00A00259" w:rsidRDefault="00371282">
            <w:pPr>
              <w:pStyle w:val="P68B1DB1-Normal11"/>
              <w:keepNext/>
              <w:spacing w:before="40" w:after="0" w:line="240" w:lineRule="auto"/>
              <w:jc w:val="both"/>
              <w:rPr>
                <w:noProof/>
              </w:rPr>
            </w:pPr>
            <w:r>
              <w:rPr>
                <w:noProof/>
              </w:rPr>
              <w:t>166 bis</w:t>
            </w:r>
          </w:p>
        </w:tc>
        <w:tc>
          <w:tcPr>
            <w:tcW w:w="4677" w:type="dxa"/>
            <w:tcBorders>
              <w:top w:val="nil"/>
              <w:left w:val="nil"/>
              <w:bottom w:val="single" w:sz="4" w:space="0" w:color="auto"/>
              <w:right w:val="single" w:sz="4" w:space="0" w:color="auto"/>
            </w:tcBorders>
            <w:shd w:val="clear" w:color="auto" w:fill="C6EFCE"/>
            <w:noWrap/>
            <w:vAlign w:val="center"/>
          </w:tcPr>
          <w:p w14:paraId="4881ADDB" w14:textId="77777777" w:rsidR="00A00259" w:rsidRDefault="00371282">
            <w:pPr>
              <w:pStyle w:val="P68B1DB1-Normal55"/>
              <w:keepNext/>
              <w:spacing w:before="40" w:after="0" w:line="240" w:lineRule="auto"/>
              <w:jc w:val="both"/>
              <w:rPr>
                <w:noProof/>
              </w:rPr>
            </w:pPr>
            <w:r>
              <w:rPr>
                <w:noProof/>
              </w:rPr>
              <w:t>16755_Investissements verts - Réforme du système de soins de santé primaires</w:t>
            </w:r>
          </w:p>
        </w:tc>
        <w:tc>
          <w:tcPr>
            <w:tcW w:w="1380" w:type="dxa"/>
            <w:tcBorders>
              <w:top w:val="nil"/>
              <w:left w:val="nil"/>
              <w:bottom w:val="single" w:sz="4" w:space="0" w:color="auto"/>
              <w:right w:val="single" w:sz="4" w:space="0" w:color="auto"/>
            </w:tcBorders>
            <w:shd w:val="clear" w:color="auto" w:fill="C6EFCE"/>
            <w:noWrap/>
            <w:vAlign w:val="center"/>
          </w:tcPr>
          <w:p w14:paraId="31F7957C" w14:textId="77777777" w:rsidR="00A00259" w:rsidRDefault="00371282">
            <w:pPr>
              <w:pStyle w:val="P68B1DB1-Normal55"/>
              <w:keepNext/>
              <w:spacing w:before="40" w:after="0" w:line="240" w:lineRule="auto"/>
              <w:jc w:val="both"/>
              <w:rPr>
                <w:noProof/>
              </w:rPr>
            </w:pPr>
            <w:r>
              <w:rPr>
                <w:noProof/>
              </w:rPr>
              <w:t>Objectif</w:t>
            </w:r>
          </w:p>
        </w:tc>
        <w:tc>
          <w:tcPr>
            <w:tcW w:w="2430" w:type="dxa"/>
            <w:tcBorders>
              <w:top w:val="nil"/>
              <w:left w:val="nil"/>
              <w:bottom w:val="single" w:sz="4" w:space="0" w:color="auto"/>
              <w:right w:val="single" w:sz="4" w:space="0" w:color="auto"/>
            </w:tcBorders>
            <w:shd w:val="clear" w:color="auto" w:fill="C6EFCE"/>
            <w:noWrap/>
            <w:vAlign w:val="center"/>
          </w:tcPr>
          <w:p w14:paraId="022E713F" w14:textId="77777777" w:rsidR="00A00259" w:rsidRDefault="00371282">
            <w:pPr>
              <w:pStyle w:val="P68B1DB1-Normal55"/>
              <w:keepNext/>
              <w:spacing w:before="40" w:after="0" w:line="240" w:lineRule="auto"/>
              <w:jc w:val="both"/>
              <w:rPr>
                <w:noProof/>
              </w:rPr>
            </w:pPr>
            <w:r>
              <w:rPr>
                <w:noProof/>
              </w:rPr>
              <w:t>SSP – unités de soins de santé primaires dotées d’infrastructures rénovées – étape 2</w:t>
            </w:r>
          </w:p>
        </w:tc>
      </w:tr>
      <w:tr w:rsidR="00A00259" w14:paraId="2C93B47E"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077BEFD4"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169</w:t>
            </w:r>
          </w:p>
        </w:tc>
        <w:tc>
          <w:tcPr>
            <w:tcW w:w="4677" w:type="dxa"/>
            <w:tcBorders>
              <w:top w:val="nil"/>
              <w:left w:val="nil"/>
              <w:bottom w:val="single" w:sz="4" w:space="0" w:color="auto"/>
              <w:right w:val="single" w:sz="4" w:space="0" w:color="auto"/>
            </w:tcBorders>
            <w:shd w:val="clear" w:color="auto" w:fill="C6EFCE"/>
            <w:noWrap/>
            <w:vAlign w:val="center"/>
          </w:tcPr>
          <w:p w14:paraId="38AC571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10 - 3.3. Améliorer la résilience, l'accessibilité et la durabilité des soins de santé - 16753_Établissement de systèmes de soins de santé à domicile &amp; Hospital at Home</w:t>
            </w:r>
          </w:p>
        </w:tc>
        <w:tc>
          <w:tcPr>
            <w:tcW w:w="1380" w:type="dxa"/>
            <w:tcBorders>
              <w:top w:val="nil"/>
              <w:left w:val="nil"/>
              <w:bottom w:val="single" w:sz="4" w:space="0" w:color="auto"/>
              <w:right w:val="single" w:sz="4" w:space="0" w:color="auto"/>
            </w:tcBorders>
            <w:shd w:val="clear" w:color="auto" w:fill="C6EFCE"/>
            <w:noWrap/>
            <w:vAlign w:val="center"/>
          </w:tcPr>
          <w:p w14:paraId="46967E66"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167BF5DC" w14:textId="3D5C09AB" w:rsidR="00A00259" w:rsidRDefault="00371282">
            <w:pPr>
              <w:pStyle w:val="P68B1DB1-Normal11"/>
              <w:keepNext/>
              <w:spacing w:before="40" w:after="0" w:line="240" w:lineRule="auto"/>
              <w:jc w:val="both"/>
              <w:rPr>
                <w:rFonts w:eastAsia="Times New Roman" w:cs="Times New Roman"/>
                <w:noProof/>
              </w:rPr>
            </w:pPr>
            <w:r>
              <w:rPr>
                <w:noProof/>
              </w:rPr>
              <w:t>Centres de référence pour les soins à domicile</w:t>
            </w:r>
          </w:p>
        </w:tc>
      </w:tr>
      <w:tr w:rsidR="00A00259" w14:paraId="3325B155"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398008C3" w14:textId="77777777" w:rsidR="00A00259" w:rsidRDefault="00371282">
            <w:pPr>
              <w:pStyle w:val="P68B1DB1-Normal55"/>
              <w:keepNext/>
              <w:spacing w:before="40" w:after="0" w:line="240" w:lineRule="auto"/>
              <w:jc w:val="both"/>
              <w:rPr>
                <w:noProof/>
              </w:rPr>
            </w:pPr>
            <w:r>
              <w:rPr>
                <w:noProof/>
              </w:rPr>
              <w:t>170a</w:t>
            </w:r>
          </w:p>
        </w:tc>
        <w:tc>
          <w:tcPr>
            <w:tcW w:w="4677" w:type="dxa"/>
            <w:tcBorders>
              <w:top w:val="nil"/>
              <w:left w:val="nil"/>
              <w:bottom w:val="single" w:sz="4" w:space="0" w:color="auto"/>
              <w:right w:val="single" w:sz="4" w:space="0" w:color="auto"/>
            </w:tcBorders>
            <w:shd w:val="clear" w:color="auto" w:fill="C6EFCE"/>
            <w:noWrap/>
            <w:vAlign w:val="center"/>
          </w:tcPr>
          <w:p w14:paraId="7FDCE326" w14:textId="77777777" w:rsidR="00A00259" w:rsidRDefault="00371282">
            <w:pPr>
              <w:pStyle w:val="P68B1DB1-Normal55"/>
              <w:keepNext/>
              <w:spacing w:before="40" w:after="0" w:line="240" w:lineRule="auto"/>
              <w:jc w:val="both"/>
              <w:rPr>
                <w:noProof/>
              </w:rPr>
            </w:pPr>
            <w:r>
              <w:rPr>
                <w:noProof/>
              </w:rPr>
              <w:t>10 - 3.3. Améliorer la résilience, l'accessibilité et la durabilité des soins de santé - 16795_Infrastructures de santé</w:t>
            </w:r>
          </w:p>
        </w:tc>
        <w:tc>
          <w:tcPr>
            <w:tcW w:w="1380" w:type="dxa"/>
            <w:tcBorders>
              <w:top w:val="nil"/>
              <w:left w:val="nil"/>
              <w:bottom w:val="single" w:sz="4" w:space="0" w:color="auto"/>
              <w:right w:val="single" w:sz="4" w:space="0" w:color="auto"/>
            </w:tcBorders>
            <w:shd w:val="clear" w:color="auto" w:fill="C6EFCE"/>
            <w:noWrap/>
            <w:vAlign w:val="center"/>
          </w:tcPr>
          <w:p w14:paraId="58031F7D" w14:textId="77777777" w:rsidR="00A00259" w:rsidRDefault="00371282">
            <w:pPr>
              <w:pStyle w:val="P68B1DB1-Normal55"/>
              <w:keepNext/>
              <w:spacing w:before="40" w:after="0" w:line="240" w:lineRule="auto"/>
              <w:jc w:val="both"/>
              <w:rPr>
                <w:noProof/>
              </w:rPr>
            </w:pPr>
            <w:r>
              <w:rPr>
                <w:noProof/>
              </w:rPr>
              <w:t>Objectif</w:t>
            </w:r>
          </w:p>
        </w:tc>
        <w:tc>
          <w:tcPr>
            <w:tcW w:w="2430" w:type="dxa"/>
            <w:tcBorders>
              <w:top w:val="nil"/>
              <w:left w:val="nil"/>
              <w:bottom w:val="single" w:sz="4" w:space="0" w:color="auto"/>
              <w:right w:val="single" w:sz="4" w:space="0" w:color="auto"/>
            </w:tcBorders>
            <w:shd w:val="clear" w:color="auto" w:fill="C6EFCE"/>
            <w:noWrap/>
            <w:vAlign w:val="center"/>
          </w:tcPr>
          <w:p w14:paraId="0ADBF3D4" w14:textId="77777777" w:rsidR="00A00259" w:rsidRDefault="00371282">
            <w:pPr>
              <w:pStyle w:val="P68B1DB1-Normal55"/>
              <w:keepNext/>
              <w:spacing w:before="40" w:after="0" w:line="240" w:lineRule="auto"/>
              <w:jc w:val="both"/>
              <w:rPr>
                <w:noProof/>
              </w:rPr>
            </w:pPr>
            <w:r>
              <w:rPr>
                <w:noProof/>
              </w:rPr>
              <w:t>Mise à niveau de l’infrastructure du NHS – étape 2</w:t>
            </w:r>
          </w:p>
        </w:tc>
      </w:tr>
      <w:tr w:rsidR="00A00259" w14:paraId="22135F57"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4810CEE3" w14:textId="77777777" w:rsidR="00A00259" w:rsidRDefault="00371282">
            <w:pPr>
              <w:pStyle w:val="P68B1DB1-Normal55"/>
              <w:keepNext/>
              <w:spacing w:before="40" w:after="0" w:line="240" w:lineRule="auto"/>
              <w:jc w:val="both"/>
              <w:rPr>
                <w:noProof/>
              </w:rPr>
            </w:pPr>
            <w:r>
              <w:rPr>
                <w:noProof/>
              </w:rPr>
              <w:t>170b</w:t>
            </w:r>
          </w:p>
        </w:tc>
        <w:tc>
          <w:tcPr>
            <w:tcW w:w="4677" w:type="dxa"/>
            <w:tcBorders>
              <w:top w:val="nil"/>
              <w:left w:val="nil"/>
              <w:bottom w:val="single" w:sz="4" w:space="0" w:color="auto"/>
              <w:right w:val="single" w:sz="4" w:space="0" w:color="auto"/>
            </w:tcBorders>
            <w:shd w:val="clear" w:color="auto" w:fill="C6EFCE"/>
            <w:noWrap/>
            <w:vAlign w:val="center"/>
          </w:tcPr>
          <w:p w14:paraId="47DDBF78" w14:textId="77777777" w:rsidR="00A00259" w:rsidRDefault="00371282">
            <w:pPr>
              <w:pStyle w:val="P68B1DB1-Normal55"/>
              <w:keepNext/>
              <w:spacing w:before="40" w:after="0" w:line="240" w:lineRule="auto"/>
              <w:jc w:val="both"/>
              <w:rPr>
                <w:noProof/>
              </w:rPr>
            </w:pPr>
            <w:r>
              <w:rPr>
                <w:noProof/>
              </w:rPr>
              <w:t>10 - 3.3. Améliorer la résilience, l'accessibilité et la durabilité des soins de santé - 16795_Infrastructures de santé</w:t>
            </w:r>
          </w:p>
        </w:tc>
        <w:tc>
          <w:tcPr>
            <w:tcW w:w="1380" w:type="dxa"/>
            <w:tcBorders>
              <w:top w:val="nil"/>
              <w:left w:val="nil"/>
              <w:bottom w:val="single" w:sz="4" w:space="0" w:color="auto"/>
              <w:right w:val="single" w:sz="4" w:space="0" w:color="auto"/>
            </w:tcBorders>
            <w:shd w:val="clear" w:color="auto" w:fill="C6EFCE"/>
            <w:noWrap/>
            <w:vAlign w:val="center"/>
          </w:tcPr>
          <w:p w14:paraId="210732BE" w14:textId="77777777" w:rsidR="00A00259" w:rsidRDefault="00371282">
            <w:pPr>
              <w:pStyle w:val="P68B1DB1-Normal55"/>
              <w:keepNext/>
              <w:spacing w:before="40" w:after="0" w:line="240" w:lineRule="auto"/>
              <w:jc w:val="both"/>
              <w:rPr>
                <w:noProof/>
              </w:rPr>
            </w:pPr>
            <w:r>
              <w:rPr>
                <w:noProof/>
              </w:rPr>
              <w:t>Objectif</w:t>
            </w:r>
          </w:p>
        </w:tc>
        <w:tc>
          <w:tcPr>
            <w:tcW w:w="2430" w:type="dxa"/>
            <w:tcBorders>
              <w:top w:val="nil"/>
              <w:left w:val="nil"/>
              <w:bottom w:val="single" w:sz="4" w:space="0" w:color="auto"/>
              <w:right w:val="single" w:sz="4" w:space="0" w:color="auto"/>
            </w:tcBorders>
            <w:shd w:val="clear" w:color="auto" w:fill="C6EFCE"/>
            <w:noWrap/>
            <w:vAlign w:val="center"/>
          </w:tcPr>
          <w:p w14:paraId="2C3255D4" w14:textId="77777777" w:rsidR="00A00259" w:rsidRDefault="00371282">
            <w:pPr>
              <w:pStyle w:val="P68B1DB1-Normal55"/>
              <w:keepNext/>
              <w:spacing w:before="40" w:after="0" w:line="240" w:lineRule="auto"/>
              <w:jc w:val="both"/>
              <w:rPr>
                <w:noProof/>
              </w:rPr>
            </w:pPr>
            <w:r>
              <w:rPr>
                <w:noProof/>
              </w:rPr>
              <w:t>Mise à niveau de l’infrastructure du NHS – étape 3</w:t>
            </w:r>
          </w:p>
        </w:tc>
      </w:tr>
      <w:tr w:rsidR="00A00259" w14:paraId="7FCAB95A"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5C3D3E5B" w14:textId="77777777" w:rsidR="00A00259" w:rsidRDefault="00371282">
            <w:pPr>
              <w:pStyle w:val="P68B1DB1-Normal55"/>
              <w:keepNext/>
              <w:spacing w:before="40" w:after="0" w:line="240" w:lineRule="auto"/>
              <w:jc w:val="both"/>
              <w:rPr>
                <w:rFonts w:cs="Times New Roman"/>
                <w:noProof/>
                <w:szCs w:val="18"/>
              </w:rPr>
            </w:pPr>
            <w:r>
              <w:rPr>
                <w:noProof/>
              </w:rPr>
              <w:t>184 bis</w:t>
            </w:r>
          </w:p>
        </w:tc>
        <w:tc>
          <w:tcPr>
            <w:tcW w:w="4677" w:type="dxa"/>
            <w:tcBorders>
              <w:top w:val="nil"/>
              <w:left w:val="nil"/>
              <w:bottom w:val="single" w:sz="4" w:space="0" w:color="auto"/>
              <w:right w:val="single" w:sz="4" w:space="0" w:color="auto"/>
            </w:tcBorders>
            <w:shd w:val="clear" w:color="auto" w:fill="C6EFCE"/>
            <w:noWrap/>
          </w:tcPr>
          <w:p w14:paraId="348E1A47" w14:textId="77777777" w:rsidR="00A00259" w:rsidRDefault="00371282">
            <w:pPr>
              <w:pStyle w:val="P68B1DB1-Normal55"/>
              <w:keepNext/>
              <w:spacing w:before="40" w:after="0" w:line="240" w:lineRule="auto"/>
              <w:jc w:val="both"/>
              <w:rPr>
                <w:rFonts w:cs="Times New Roman"/>
                <w:noProof/>
                <w:szCs w:val="18"/>
              </w:rPr>
            </w:pPr>
            <w:r>
              <w:rPr>
                <w:noProof/>
              </w:rPr>
              <w:t>11 - 3.4. Accroître l'accès à des politiques sociales efficaces et inclusives - 16685_Sensibilisation à la diversité</w:t>
            </w:r>
          </w:p>
        </w:tc>
        <w:tc>
          <w:tcPr>
            <w:tcW w:w="1380" w:type="dxa"/>
            <w:tcBorders>
              <w:top w:val="nil"/>
              <w:left w:val="nil"/>
              <w:bottom w:val="single" w:sz="4" w:space="0" w:color="auto"/>
              <w:right w:val="single" w:sz="4" w:space="0" w:color="auto"/>
            </w:tcBorders>
            <w:shd w:val="clear" w:color="auto" w:fill="C6EFCE"/>
            <w:noWrap/>
          </w:tcPr>
          <w:p w14:paraId="4A92DAE0" w14:textId="77777777" w:rsidR="00A00259" w:rsidRDefault="00371282">
            <w:pPr>
              <w:pStyle w:val="P68B1DB1-Normal55"/>
              <w:keepNext/>
              <w:spacing w:before="40" w:after="0" w:line="240" w:lineRule="auto"/>
              <w:jc w:val="both"/>
              <w:rPr>
                <w:rFonts w:cs="Times New Roman"/>
                <w:noProof/>
                <w:szCs w:val="18"/>
              </w:rPr>
            </w:pPr>
            <w:r>
              <w:rPr>
                <w:noProof/>
              </w:rPr>
              <w:t>Étape</w:t>
            </w:r>
          </w:p>
        </w:tc>
        <w:tc>
          <w:tcPr>
            <w:tcW w:w="2430" w:type="dxa"/>
            <w:tcBorders>
              <w:top w:val="nil"/>
              <w:left w:val="nil"/>
              <w:bottom w:val="single" w:sz="4" w:space="0" w:color="auto"/>
              <w:right w:val="single" w:sz="4" w:space="0" w:color="auto"/>
            </w:tcBorders>
            <w:shd w:val="clear" w:color="auto" w:fill="C6EFCE"/>
            <w:noWrap/>
          </w:tcPr>
          <w:p w14:paraId="7EE3AF58" w14:textId="77777777" w:rsidR="00A00259" w:rsidRDefault="00371282">
            <w:pPr>
              <w:pStyle w:val="P68B1DB1-Normal55"/>
              <w:keepNext/>
              <w:spacing w:before="40" w:after="0" w:line="240" w:lineRule="auto"/>
              <w:jc w:val="both"/>
              <w:rPr>
                <w:rFonts w:cs="Times New Roman"/>
                <w:noProof/>
                <w:szCs w:val="18"/>
              </w:rPr>
            </w:pPr>
            <w:r>
              <w:rPr>
                <w:noProof/>
              </w:rPr>
              <w:t>Acte juridique précisant le rôle de l’Observatoire de l’égalité et acte juridique prévoyant le lancement d’un projet pilote pour le système d’évaluation et d’attribution pour les entreprises/organisations promouvant la diversité et l’inclusion</w:t>
            </w:r>
          </w:p>
        </w:tc>
      </w:tr>
      <w:tr w:rsidR="00A00259" w14:paraId="5E470845"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1F35B19A" w14:textId="77777777" w:rsidR="00A00259" w:rsidRDefault="00371282">
            <w:pPr>
              <w:pStyle w:val="P68B1DB1-Normal55"/>
              <w:keepNext/>
              <w:spacing w:before="40" w:after="0" w:line="240" w:lineRule="auto"/>
              <w:jc w:val="both"/>
              <w:rPr>
                <w:noProof/>
              </w:rPr>
            </w:pPr>
            <w:r>
              <w:rPr>
                <w:noProof/>
              </w:rPr>
              <w:t>185</w:t>
            </w:r>
          </w:p>
        </w:tc>
        <w:tc>
          <w:tcPr>
            <w:tcW w:w="4677" w:type="dxa"/>
            <w:tcBorders>
              <w:top w:val="nil"/>
              <w:left w:val="nil"/>
              <w:bottom w:val="single" w:sz="4" w:space="0" w:color="auto"/>
              <w:right w:val="single" w:sz="4" w:space="0" w:color="auto"/>
            </w:tcBorders>
            <w:shd w:val="clear" w:color="auto" w:fill="C6EFCE"/>
            <w:noWrap/>
            <w:vAlign w:val="center"/>
          </w:tcPr>
          <w:p w14:paraId="69EB16D1" w14:textId="77777777" w:rsidR="00A00259" w:rsidRDefault="00371282">
            <w:pPr>
              <w:pStyle w:val="P68B1DB1-Normal55"/>
              <w:keepNext/>
              <w:spacing w:before="40" w:after="0" w:line="240" w:lineRule="auto"/>
              <w:jc w:val="both"/>
              <w:rPr>
                <w:noProof/>
              </w:rPr>
            </w:pPr>
            <w:r>
              <w:rPr>
                <w:noProof/>
              </w:rPr>
              <w:t xml:space="preserve">11 - 3.4. Améliorer l'accès à des politiques sociales efficaces et inclusives - 16763_Transformation numérique du système d'immigration et d'asile </w:t>
            </w:r>
          </w:p>
        </w:tc>
        <w:tc>
          <w:tcPr>
            <w:tcW w:w="1380" w:type="dxa"/>
            <w:tcBorders>
              <w:top w:val="nil"/>
              <w:left w:val="nil"/>
              <w:bottom w:val="single" w:sz="4" w:space="0" w:color="auto"/>
              <w:right w:val="single" w:sz="4" w:space="0" w:color="auto"/>
            </w:tcBorders>
            <w:shd w:val="clear" w:color="auto" w:fill="C6EFCE"/>
            <w:noWrap/>
            <w:vAlign w:val="center"/>
          </w:tcPr>
          <w:p w14:paraId="7AD740C4" w14:textId="77777777" w:rsidR="00A00259" w:rsidRDefault="00371282">
            <w:pPr>
              <w:pStyle w:val="P68B1DB1-Normal55"/>
              <w:keepNext/>
              <w:spacing w:before="40" w:after="0" w:line="240" w:lineRule="auto"/>
              <w:jc w:val="both"/>
              <w:rPr>
                <w:noProof/>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2EDC8E2C" w14:textId="77777777" w:rsidR="00A00259" w:rsidRDefault="00371282">
            <w:pPr>
              <w:pStyle w:val="P68B1DB1-Normal55"/>
              <w:keepNext/>
              <w:spacing w:before="40" w:after="0" w:line="240" w:lineRule="auto"/>
              <w:jc w:val="both"/>
              <w:rPr>
                <w:noProof/>
              </w:rPr>
            </w:pPr>
            <w:r>
              <w:rPr>
                <w:noProof/>
              </w:rPr>
              <w:t>Numérisation du régime d’asile migratoire</w:t>
            </w:r>
          </w:p>
        </w:tc>
      </w:tr>
      <w:tr w:rsidR="00A00259" w14:paraId="65ACB8C8"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66153A8C" w14:textId="77777777" w:rsidR="00A00259" w:rsidRDefault="00371282">
            <w:pPr>
              <w:pStyle w:val="P68B1DB1-Normal55"/>
              <w:keepNext/>
              <w:spacing w:before="40" w:after="0" w:line="240" w:lineRule="auto"/>
              <w:jc w:val="both"/>
              <w:rPr>
                <w:rFonts w:cs="Times New Roman"/>
                <w:noProof/>
                <w:szCs w:val="18"/>
              </w:rPr>
            </w:pPr>
            <w:r>
              <w:rPr>
                <w:noProof/>
              </w:rPr>
              <w:t>186</w:t>
            </w:r>
          </w:p>
        </w:tc>
        <w:tc>
          <w:tcPr>
            <w:tcW w:w="4677" w:type="dxa"/>
            <w:tcBorders>
              <w:top w:val="nil"/>
              <w:left w:val="nil"/>
              <w:bottom w:val="single" w:sz="4" w:space="0" w:color="auto"/>
              <w:right w:val="single" w:sz="4" w:space="0" w:color="auto"/>
            </w:tcBorders>
            <w:shd w:val="clear" w:color="auto" w:fill="C6EFCE"/>
            <w:noWrap/>
            <w:vAlign w:val="center"/>
          </w:tcPr>
          <w:p w14:paraId="5773F3E2" w14:textId="77777777" w:rsidR="00A00259" w:rsidRDefault="00371282">
            <w:pPr>
              <w:pStyle w:val="P68B1DB1-Normal55"/>
              <w:keepNext/>
              <w:spacing w:before="40" w:after="0" w:line="240" w:lineRule="auto"/>
              <w:jc w:val="both"/>
              <w:rPr>
                <w:rFonts w:cs="Times New Roman"/>
                <w:noProof/>
                <w:szCs w:val="18"/>
              </w:rPr>
            </w:pPr>
            <w:r>
              <w:rPr>
                <w:noProof/>
              </w:rPr>
              <w:t>11 - 3.4. Accroître l'accès à des politiques sociales efficaces et inclusives - 16922_Intégration sociale</w:t>
            </w:r>
          </w:p>
        </w:tc>
        <w:tc>
          <w:tcPr>
            <w:tcW w:w="1380" w:type="dxa"/>
            <w:tcBorders>
              <w:top w:val="nil"/>
              <w:left w:val="nil"/>
              <w:bottom w:val="single" w:sz="4" w:space="0" w:color="auto"/>
              <w:right w:val="single" w:sz="4" w:space="0" w:color="auto"/>
            </w:tcBorders>
            <w:shd w:val="clear" w:color="auto" w:fill="C6EFCE"/>
            <w:noWrap/>
            <w:vAlign w:val="center"/>
          </w:tcPr>
          <w:p w14:paraId="16601BF1" w14:textId="77777777" w:rsidR="00A00259" w:rsidRDefault="00371282">
            <w:pPr>
              <w:pStyle w:val="P68B1DB1-Normal55"/>
              <w:keepNext/>
              <w:spacing w:before="40" w:after="0" w:line="240" w:lineRule="auto"/>
              <w:jc w:val="both"/>
              <w:rPr>
                <w:rFonts w:cs="Times New Roman"/>
                <w:noProof/>
                <w:szCs w:val="18"/>
              </w:rPr>
            </w:pPr>
            <w:r>
              <w:rPr>
                <w:noProof/>
              </w:rPr>
              <w:t>Objectif</w:t>
            </w:r>
          </w:p>
        </w:tc>
        <w:tc>
          <w:tcPr>
            <w:tcW w:w="2430" w:type="dxa"/>
            <w:tcBorders>
              <w:top w:val="nil"/>
              <w:left w:val="nil"/>
              <w:bottom w:val="single" w:sz="4" w:space="0" w:color="auto"/>
              <w:right w:val="single" w:sz="4" w:space="0" w:color="auto"/>
            </w:tcBorders>
            <w:shd w:val="clear" w:color="auto" w:fill="C6EFCE"/>
            <w:noWrap/>
            <w:vAlign w:val="center"/>
          </w:tcPr>
          <w:p w14:paraId="001CA32E" w14:textId="77777777" w:rsidR="00A00259" w:rsidRDefault="00371282">
            <w:pPr>
              <w:pStyle w:val="P68B1DB1-Normal55"/>
              <w:keepNext/>
              <w:spacing w:before="40" w:after="0" w:line="240" w:lineRule="auto"/>
              <w:jc w:val="both"/>
              <w:rPr>
                <w:rFonts w:cs="Times New Roman"/>
                <w:noProof/>
                <w:szCs w:val="18"/>
              </w:rPr>
            </w:pPr>
            <w:r>
              <w:rPr>
                <w:noProof/>
              </w:rPr>
              <w:t xml:space="preserve">Achèvement de la rénovation d'appartements de logements sociaux </w:t>
            </w:r>
          </w:p>
        </w:tc>
      </w:tr>
      <w:tr w:rsidR="00A00259" w14:paraId="7375BEC2"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2E39BCC8" w14:textId="77777777" w:rsidR="00A00259" w:rsidRDefault="00371282">
            <w:pPr>
              <w:pStyle w:val="P68B1DB1-Normal55"/>
              <w:keepNext/>
              <w:spacing w:before="40" w:after="0" w:line="240" w:lineRule="auto"/>
              <w:jc w:val="both"/>
              <w:rPr>
                <w:noProof/>
              </w:rPr>
            </w:pPr>
            <w:r>
              <w:rPr>
                <w:noProof/>
              </w:rPr>
              <w:t>208</w:t>
            </w:r>
          </w:p>
        </w:tc>
        <w:tc>
          <w:tcPr>
            <w:tcW w:w="4677" w:type="dxa"/>
            <w:tcBorders>
              <w:top w:val="nil"/>
              <w:left w:val="nil"/>
              <w:bottom w:val="single" w:sz="4" w:space="0" w:color="auto"/>
              <w:right w:val="single" w:sz="4" w:space="0" w:color="auto"/>
            </w:tcBorders>
            <w:shd w:val="clear" w:color="auto" w:fill="C6EFCE"/>
            <w:noWrap/>
            <w:vAlign w:val="center"/>
          </w:tcPr>
          <w:p w14:paraId="780C0AA3" w14:textId="77777777" w:rsidR="00A00259" w:rsidRDefault="00371282">
            <w:pPr>
              <w:pStyle w:val="P68B1DB1-Normal55"/>
              <w:keepNext/>
              <w:spacing w:before="40" w:after="0" w:line="240" w:lineRule="auto"/>
              <w:jc w:val="both"/>
              <w:rPr>
                <w:noProof/>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- 16972_Reforming Public Administration</w:t>
            </w:r>
          </w:p>
        </w:tc>
        <w:tc>
          <w:tcPr>
            <w:tcW w:w="1380" w:type="dxa"/>
            <w:tcBorders>
              <w:top w:val="nil"/>
              <w:left w:val="nil"/>
              <w:bottom w:val="single" w:sz="4" w:space="0" w:color="auto"/>
              <w:right w:val="single" w:sz="4" w:space="0" w:color="auto"/>
            </w:tcBorders>
            <w:shd w:val="clear" w:color="auto" w:fill="C6EFCE"/>
            <w:noWrap/>
            <w:vAlign w:val="center"/>
          </w:tcPr>
          <w:p w14:paraId="01010216" w14:textId="77777777" w:rsidR="00A00259" w:rsidRDefault="00371282">
            <w:pPr>
              <w:pStyle w:val="P68B1DB1-Normal55"/>
              <w:keepNext/>
              <w:spacing w:before="40" w:after="0" w:line="240" w:lineRule="auto"/>
              <w:jc w:val="both"/>
              <w:rPr>
                <w:noProof/>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1EB9A4A4" w14:textId="2E76623B" w:rsidR="00A00259" w:rsidRDefault="00371282">
            <w:pPr>
              <w:pStyle w:val="P68B1DB1-Normal55"/>
              <w:keepNext/>
              <w:spacing w:before="40" w:after="0" w:line="240" w:lineRule="auto"/>
              <w:jc w:val="both"/>
              <w:rPr>
                <w:noProof/>
              </w:rPr>
            </w:pPr>
            <w:r>
              <w:rPr>
                <w:noProof/>
              </w:rPr>
              <w:t>Formations pour les employés du secteur public,</w:t>
            </w:r>
          </w:p>
          <w:p w14:paraId="52EDE638" w14:textId="77777777" w:rsidR="00A00259" w:rsidRDefault="00371282">
            <w:pPr>
              <w:pStyle w:val="P68B1DB1-Normal55"/>
              <w:keepNext/>
              <w:spacing w:before="40" w:after="0" w:line="240" w:lineRule="auto"/>
              <w:jc w:val="both"/>
              <w:rPr>
                <w:noProof/>
              </w:rPr>
            </w:pPr>
            <w:r>
              <w:rPr>
                <w:noProof/>
              </w:rPr>
              <w:t>Entrée en vigueur des actes juridiques,</w:t>
            </w:r>
          </w:p>
          <w:p w14:paraId="0BA5D1FE" w14:textId="77777777" w:rsidR="00A00259" w:rsidRDefault="00371282">
            <w:pPr>
              <w:pStyle w:val="P68B1DB1-Normal55"/>
              <w:keepNext/>
              <w:spacing w:before="40" w:after="0" w:line="240" w:lineRule="auto"/>
              <w:jc w:val="both"/>
              <w:rPr>
                <w:noProof/>
              </w:rPr>
            </w:pPr>
            <w:r>
              <w:rPr>
                <w:noProof/>
              </w:rPr>
              <w:t>Mise en service des systèmes d'information </w:t>
            </w:r>
          </w:p>
        </w:tc>
      </w:tr>
      <w:tr w:rsidR="00A00259" w14:paraId="779CC675"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07240F3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213</w:t>
            </w:r>
          </w:p>
        </w:tc>
        <w:tc>
          <w:tcPr>
            <w:tcW w:w="4677" w:type="dxa"/>
            <w:tcBorders>
              <w:top w:val="nil"/>
              <w:left w:val="nil"/>
              <w:bottom w:val="single" w:sz="4" w:space="0" w:color="auto"/>
              <w:right w:val="single" w:sz="4" w:space="0" w:color="auto"/>
            </w:tcBorders>
            <w:shd w:val="clear" w:color="auto" w:fill="C6EFCE"/>
            <w:noWrap/>
            <w:vAlign w:val="center"/>
          </w:tcPr>
          <w:p w14:paraId="0D696D4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- 16703_Lutte contre le commerce illégal et protection de la propriété intellectuelle</w:t>
            </w:r>
          </w:p>
        </w:tc>
        <w:tc>
          <w:tcPr>
            <w:tcW w:w="1380" w:type="dxa"/>
            <w:tcBorders>
              <w:top w:val="nil"/>
              <w:left w:val="nil"/>
              <w:bottom w:val="single" w:sz="4" w:space="0" w:color="auto"/>
              <w:right w:val="single" w:sz="4" w:space="0" w:color="auto"/>
            </w:tcBorders>
            <w:shd w:val="clear" w:color="auto" w:fill="C6EFCE"/>
            <w:noWrap/>
            <w:vAlign w:val="center"/>
          </w:tcPr>
          <w:p w14:paraId="20912524"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7B4A9756" w14:textId="77777777" w:rsidR="00A00259" w:rsidRDefault="00371282">
            <w:pPr>
              <w:pStyle w:val="P68B1DB1-Normal55"/>
              <w:keepNext/>
              <w:spacing w:before="40" w:after="0" w:line="240" w:lineRule="auto"/>
              <w:jc w:val="both"/>
              <w:rPr>
                <w:rFonts w:eastAsia="Times New Roman" w:cs="Times New Roman"/>
                <w:noProof/>
                <w:szCs w:val="18"/>
              </w:rPr>
            </w:pPr>
            <w:r>
              <w:rPr>
                <w:noProof/>
              </w:rPr>
              <w:t>Création d'un système d'information, mise en place de postes de contrôle et formation à la lutte contre le commerce illicite</w:t>
            </w:r>
          </w:p>
        </w:tc>
      </w:tr>
      <w:tr w:rsidR="00A00259" w14:paraId="6C1BF279"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54767F6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217</w:t>
            </w:r>
          </w:p>
        </w:tc>
        <w:tc>
          <w:tcPr>
            <w:tcW w:w="4677" w:type="dxa"/>
            <w:tcBorders>
              <w:top w:val="nil"/>
              <w:left w:val="nil"/>
              <w:bottom w:val="single" w:sz="4" w:space="0" w:color="auto"/>
              <w:right w:val="single" w:sz="4" w:space="0" w:color="auto"/>
            </w:tcBorders>
            <w:shd w:val="clear" w:color="auto" w:fill="C6EFCE"/>
            <w:noWrap/>
            <w:vAlign w:val="center"/>
          </w:tcPr>
          <w:p w14:paraId="6102407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- 16940_Moderniser le Fonds hellénique de dépôt des envois et de prêts </w:t>
            </w:r>
          </w:p>
        </w:tc>
        <w:tc>
          <w:tcPr>
            <w:tcW w:w="1380" w:type="dxa"/>
            <w:tcBorders>
              <w:top w:val="nil"/>
              <w:left w:val="nil"/>
              <w:bottom w:val="single" w:sz="4" w:space="0" w:color="auto"/>
              <w:right w:val="single" w:sz="4" w:space="0" w:color="auto"/>
            </w:tcBorders>
            <w:shd w:val="clear" w:color="auto" w:fill="C6EFCE"/>
            <w:noWrap/>
            <w:vAlign w:val="center"/>
          </w:tcPr>
          <w:p w14:paraId="2E713D2D"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4944B68C" w14:textId="77777777" w:rsidR="00A00259" w:rsidRDefault="00371282">
            <w:pPr>
              <w:pStyle w:val="P68B1DB1-Normal55"/>
              <w:keepNext/>
              <w:spacing w:before="40" w:after="0" w:line="240" w:lineRule="auto"/>
              <w:jc w:val="both"/>
              <w:rPr>
                <w:rFonts w:eastAsia="Times New Roman" w:cs="Times New Roman"/>
                <w:noProof/>
                <w:szCs w:val="18"/>
              </w:rPr>
            </w:pPr>
            <w:r>
              <w:rPr>
                <w:noProof/>
              </w:rPr>
              <w:t>Création d'un système de numérisation des archives et de gestion des documents, et d'un système d'information intégré pour le Fonds hellénique de dépôt et de prêt d'envois</w:t>
            </w:r>
          </w:p>
        </w:tc>
      </w:tr>
      <w:tr w:rsidR="00A00259" w14:paraId="29E3B848"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21DD82AA" w14:textId="2A4743B6" w:rsidR="00A00259" w:rsidRDefault="00371282">
            <w:pPr>
              <w:pStyle w:val="P68B1DB1-Normal55"/>
              <w:keepNext/>
              <w:spacing w:before="40" w:after="0" w:line="240" w:lineRule="auto"/>
              <w:jc w:val="both"/>
              <w:rPr>
                <w:noProof/>
              </w:rPr>
            </w:pPr>
            <w:r>
              <w:rPr>
                <w:noProof/>
              </w:rPr>
              <w:t>219</w:t>
            </w:r>
          </w:p>
        </w:tc>
        <w:tc>
          <w:tcPr>
            <w:tcW w:w="4677" w:type="dxa"/>
            <w:tcBorders>
              <w:top w:val="nil"/>
              <w:left w:val="nil"/>
              <w:bottom w:val="single" w:sz="4" w:space="0" w:color="auto"/>
              <w:right w:val="single" w:sz="4" w:space="0" w:color="auto"/>
            </w:tcBorders>
            <w:shd w:val="clear" w:color="auto" w:fill="C6EFCE"/>
            <w:noWrap/>
            <w:vAlign w:val="center"/>
          </w:tcPr>
          <w:p w14:paraId="49EA7A91" w14:textId="0AFD6979" w:rsidR="00A00259" w:rsidRDefault="00371282">
            <w:pPr>
              <w:pStyle w:val="P68B1DB1-Normal55"/>
              <w:keepNext/>
              <w:spacing w:before="40" w:after="0" w:line="240" w:lineRule="auto"/>
              <w:jc w:val="both"/>
              <w:rPr>
                <w:noProof/>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- 16974_Accounting Reform</w:t>
            </w:r>
          </w:p>
        </w:tc>
        <w:tc>
          <w:tcPr>
            <w:tcW w:w="1380" w:type="dxa"/>
            <w:tcBorders>
              <w:top w:val="nil"/>
              <w:left w:val="nil"/>
              <w:bottom w:val="single" w:sz="4" w:space="0" w:color="auto"/>
              <w:right w:val="single" w:sz="4" w:space="0" w:color="auto"/>
            </w:tcBorders>
            <w:shd w:val="clear" w:color="auto" w:fill="C6EFCE"/>
            <w:noWrap/>
            <w:vAlign w:val="center"/>
          </w:tcPr>
          <w:p w14:paraId="436CD91A" w14:textId="36C3FDF5" w:rsidR="00A00259" w:rsidRDefault="00371282">
            <w:pPr>
              <w:pStyle w:val="P68B1DB1-Normal55"/>
              <w:keepNext/>
              <w:spacing w:before="40" w:after="0" w:line="240" w:lineRule="auto"/>
              <w:jc w:val="both"/>
              <w:rPr>
                <w:noProof/>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41D19EC6" w14:textId="17F25FEC" w:rsidR="00A00259" w:rsidRDefault="00371282">
            <w:pPr>
              <w:pStyle w:val="P68B1DB1-Normal55"/>
              <w:keepNext/>
              <w:spacing w:before="40" w:after="0" w:line="240" w:lineRule="auto"/>
              <w:jc w:val="both"/>
              <w:rPr>
                <w:noProof/>
              </w:rPr>
            </w:pPr>
            <w:r>
              <w:rPr>
                <w:noProof/>
              </w:rPr>
              <w:t xml:space="preserve">Réforme comptable: États financiers consolidés des administrations publiques </w:t>
            </w:r>
          </w:p>
        </w:tc>
      </w:tr>
      <w:tr w:rsidR="00A00259" w14:paraId="4CF1F331"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47E55086" w14:textId="44B9D4F8" w:rsidR="00A00259" w:rsidRDefault="00371282">
            <w:pPr>
              <w:pStyle w:val="P68B1DB1-Normal55"/>
              <w:keepNext/>
              <w:spacing w:before="40" w:after="0" w:line="240" w:lineRule="auto"/>
              <w:jc w:val="both"/>
              <w:rPr>
                <w:noProof/>
              </w:rPr>
            </w:pPr>
            <w:r>
              <w:rPr>
                <w:noProof/>
              </w:rPr>
              <w:t>221</w:t>
            </w:r>
          </w:p>
        </w:tc>
        <w:tc>
          <w:tcPr>
            <w:tcW w:w="4677" w:type="dxa"/>
            <w:tcBorders>
              <w:top w:val="nil"/>
              <w:left w:val="nil"/>
              <w:bottom w:val="single" w:sz="4" w:space="0" w:color="auto"/>
              <w:right w:val="single" w:sz="4" w:space="0" w:color="auto"/>
            </w:tcBorders>
            <w:shd w:val="clear" w:color="auto" w:fill="C6EFCE"/>
            <w:noWrap/>
            <w:vAlign w:val="center"/>
          </w:tcPr>
          <w:p w14:paraId="434EF993" w14:textId="7F93ECA7" w:rsidR="00A00259" w:rsidRDefault="00371282">
            <w:pPr>
              <w:pStyle w:val="P68B1DB1-Normal55"/>
              <w:keepNext/>
              <w:spacing w:before="40" w:after="0" w:line="240" w:lineRule="auto"/>
              <w:jc w:val="both"/>
              <w:rPr>
                <w:noProof/>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- 16711_Professionnalisation du domaine des marchés publics</w:t>
            </w:r>
          </w:p>
        </w:tc>
        <w:tc>
          <w:tcPr>
            <w:tcW w:w="1380" w:type="dxa"/>
            <w:tcBorders>
              <w:top w:val="nil"/>
              <w:left w:val="nil"/>
              <w:bottom w:val="single" w:sz="4" w:space="0" w:color="auto"/>
              <w:right w:val="single" w:sz="4" w:space="0" w:color="auto"/>
            </w:tcBorders>
            <w:shd w:val="clear" w:color="auto" w:fill="C6EFCE"/>
            <w:noWrap/>
            <w:vAlign w:val="center"/>
          </w:tcPr>
          <w:p w14:paraId="47C94E86" w14:textId="5DB8D22C" w:rsidR="00A00259" w:rsidRDefault="00371282">
            <w:pPr>
              <w:pStyle w:val="P68B1DB1-Normal55"/>
              <w:keepNext/>
              <w:spacing w:before="40" w:after="0" w:line="240" w:lineRule="auto"/>
              <w:jc w:val="both"/>
              <w:rPr>
                <w:noProof/>
              </w:rPr>
            </w:pPr>
            <w:r>
              <w:rPr>
                <w:noProof/>
              </w:rPr>
              <w:t>Objectif</w:t>
            </w:r>
          </w:p>
        </w:tc>
        <w:tc>
          <w:tcPr>
            <w:tcW w:w="2430" w:type="dxa"/>
            <w:tcBorders>
              <w:top w:val="nil"/>
              <w:left w:val="nil"/>
              <w:bottom w:val="single" w:sz="4" w:space="0" w:color="auto"/>
              <w:right w:val="single" w:sz="4" w:space="0" w:color="auto"/>
            </w:tcBorders>
            <w:shd w:val="clear" w:color="auto" w:fill="C6EFCE"/>
            <w:noWrap/>
            <w:vAlign w:val="center"/>
          </w:tcPr>
          <w:p w14:paraId="10D64785" w14:textId="121ABE09" w:rsidR="00A00259" w:rsidRDefault="00371282">
            <w:pPr>
              <w:pStyle w:val="P68B1DB1-Normal36"/>
              <w:keepNext/>
              <w:spacing w:before="40" w:after="0" w:line="240" w:lineRule="auto"/>
              <w:jc w:val="both"/>
              <w:rPr>
                <w:rFonts w:ascii="Times New Roman" w:hAnsi="Times New Roman"/>
                <w:noProof/>
              </w:rPr>
            </w:pPr>
            <w:r>
              <w:rPr>
                <w:rFonts w:ascii="Times New Roman" w:hAnsi="Times New Roman"/>
                <w:noProof/>
              </w:rPr>
              <w:t xml:space="preserve">Achèvement du programme de formation </w:t>
            </w:r>
            <w:r>
              <w:rPr>
                <w:rFonts w:ascii="Times New Roman" w:hAnsi="Times New Roman" w:cs="Times New Roman"/>
                <w:noProof/>
                <w:szCs w:val="18"/>
              </w:rPr>
              <w:t>intitulé: «Certification des professionnels des marchés publics»</w:t>
            </w:r>
          </w:p>
        </w:tc>
      </w:tr>
      <w:tr w:rsidR="00A00259" w14:paraId="70C472D8"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tbl>
            <w:tblPr>
              <w:tblW w:w="0" w:type="dxa"/>
              <w:tblCellMar>
                <w:left w:w="0" w:type="dxa"/>
                <w:right w:w="0" w:type="dxa"/>
              </w:tblCellMar>
              <w:tblLook w:val="04A0" w:firstRow="1" w:lastRow="0" w:firstColumn="1" w:lastColumn="0" w:noHBand="0" w:noVBand="1"/>
            </w:tblPr>
            <w:tblGrid>
              <w:gridCol w:w="570"/>
              <w:gridCol w:w="5580"/>
              <w:gridCol w:w="1665"/>
              <w:gridCol w:w="2280"/>
            </w:tblGrid>
            <w:tr w:rsidR="00A00259" w14:paraId="141203A0" w14:textId="77777777">
              <w:trPr>
                <w:trHeight w:val="300"/>
              </w:trPr>
              <w:tc>
                <w:tcPr>
                  <w:tcW w:w="570" w:type="dxa"/>
                  <w:shd w:val="clear" w:color="auto" w:fill="C6EFCE"/>
                  <w:vAlign w:val="center"/>
                  <w:hideMark/>
                </w:tcPr>
                <w:p w14:paraId="3A71D7A0" w14:textId="77777777" w:rsidR="00A00259" w:rsidRDefault="00371282">
                  <w:pPr>
                    <w:pStyle w:val="P68B1DB1-Normal11"/>
                    <w:keepNext/>
                    <w:spacing w:before="40" w:after="0" w:line="240" w:lineRule="auto"/>
                    <w:jc w:val="both"/>
                    <w:rPr>
                      <w:noProof/>
                    </w:rPr>
                  </w:pPr>
                  <w:r>
                    <w:rPr>
                      <w:noProof/>
                    </w:rPr>
                    <w:t>238 </w:t>
                  </w:r>
                </w:p>
              </w:tc>
              <w:tc>
                <w:tcPr>
                  <w:tcW w:w="5580" w:type="dxa"/>
                  <w:shd w:val="clear" w:color="auto" w:fill="C6EFCE"/>
                  <w:vAlign w:val="center"/>
                  <w:hideMark/>
                </w:tcPr>
                <w:p w14:paraId="3C69D93C" w14:textId="1B352566" w:rsidR="00A00259" w:rsidRDefault="00A00259">
                  <w:pPr>
                    <w:keepNext/>
                    <w:spacing w:before="40" w:after="0" w:line="240" w:lineRule="auto"/>
                    <w:jc w:val="both"/>
                    <w:rPr>
                      <w:rFonts w:ascii="Times New Roman" w:hAnsi="Times New Roman"/>
                      <w:noProof/>
                      <w:sz w:val="18"/>
                      <w:szCs w:val="18"/>
                    </w:rPr>
                  </w:pPr>
                </w:p>
              </w:tc>
              <w:tc>
                <w:tcPr>
                  <w:tcW w:w="1665" w:type="dxa"/>
                  <w:shd w:val="clear" w:color="auto" w:fill="C6EFCE"/>
                  <w:vAlign w:val="center"/>
                  <w:hideMark/>
                </w:tcPr>
                <w:p w14:paraId="43BFB0E8" w14:textId="77777777" w:rsidR="00A00259" w:rsidRDefault="00371282">
                  <w:pPr>
                    <w:pStyle w:val="P68B1DB1-Normal11"/>
                    <w:keepNext/>
                    <w:spacing w:before="40" w:after="0" w:line="240" w:lineRule="auto"/>
                    <w:jc w:val="both"/>
                    <w:rPr>
                      <w:noProof/>
                    </w:rPr>
                  </w:pPr>
                  <w:r>
                    <w:rPr>
                      <w:noProof/>
                    </w:rPr>
                    <w:t>Étape </w:t>
                  </w:r>
                </w:p>
              </w:tc>
              <w:tc>
                <w:tcPr>
                  <w:tcW w:w="2280" w:type="dxa"/>
                  <w:shd w:val="clear" w:color="auto" w:fill="C6EFCE"/>
                  <w:vAlign w:val="center"/>
                  <w:hideMark/>
                </w:tcPr>
                <w:p w14:paraId="2BF29384" w14:textId="77777777" w:rsidR="00A00259" w:rsidRDefault="00371282">
                  <w:pPr>
                    <w:pStyle w:val="P68B1DB1-Normal11"/>
                    <w:keepNext/>
                    <w:spacing w:before="40" w:after="0" w:line="240" w:lineRule="auto"/>
                    <w:jc w:val="both"/>
                    <w:rPr>
                      <w:noProof/>
                    </w:rPr>
                  </w:pPr>
                  <w:r>
                    <w:rPr>
                      <w:noProof/>
                    </w:rPr>
                    <w:t> Formation sur la médiation et le système numérique unifié pour les centres de médiation </w:t>
                  </w:r>
                </w:p>
              </w:tc>
            </w:tr>
          </w:tbl>
          <w:p w14:paraId="0BB9C211" w14:textId="77777777" w:rsidR="00A00259" w:rsidRDefault="00A00259">
            <w:pPr>
              <w:keepNext/>
              <w:spacing w:before="40" w:after="0" w:line="240" w:lineRule="auto"/>
              <w:jc w:val="both"/>
              <w:rPr>
                <w:rFonts w:ascii="Times New Roman" w:hAnsi="Times New Roman"/>
                <w:noProof/>
                <w:sz w:val="18"/>
                <w:szCs w:val="18"/>
              </w:rPr>
            </w:pPr>
          </w:p>
        </w:tc>
        <w:tc>
          <w:tcPr>
            <w:tcW w:w="4677" w:type="dxa"/>
            <w:tcBorders>
              <w:top w:val="nil"/>
              <w:left w:val="nil"/>
              <w:bottom w:val="single" w:sz="4" w:space="0" w:color="auto"/>
              <w:right w:val="single" w:sz="4" w:space="0" w:color="auto"/>
            </w:tcBorders>
            <w:shd w:val="clear" w:color="auto" w:fill="C6EFCE"/>
            <w:noWrap/>
            <w:vAlign w:val="center"/>
          </w:tcPr>
          <w:p w14:paraId="7056B1B5" w14:textId="60E877CB" w:rsidR="00A00259" w:rsidRDefault="00371282">
            <w:pPr>
              <w:pStyle w:val="P68B1DB1-Normal11"/>
              <w:keepNext/>
              <w:spacing w:before="40" w:after="0" w:line="240" w:lineRule="auto"/>
              <w:jc w:val="both"/>
              <w:rPr>
                <w:noProof/>
              </w:rPr>
            </w:pPr>
            <w:r>
              <w:rPr>
                <w:noProof/>
              </w:rPr>
              <w:t>14 - 4.3. Améliorer l’efficacité du système judiciaire – 16575 Accélérer l’administration de la justice </w:t>
            </w:r>
          </w:p>
        </w:tc>
        <w:tc>
          <w:tcPr>
            <w:tcW w:w="1380" w:type="dxa"/>
            <w:tcBorders>
              <w:top w:val="nil"/>
              <w:left w:val="nil"/>
              <w:bottom w:val="single" w:sz="4" w:space="0" w:color="auto"/>
              <w:right w:val="single" w:sz="4" w:space="0" w:color="auto"/>
            </w:tcBorders>
            <w:shd w:val="clear" w:color="auto" w:fill="C6EFCE"/>
            <w:noWrap/>
            <w:vAlign w:val="center"/>
          </w:tcPr>
          <w:p w14:paraId="48EC5B0C" w14:textId="7B3992E9" w:rsidR="00A00259" w:rsidRDefault="00371282">
            <w:pPr>
              <w:pStyle w:val="P68B1DB1-Normal11"/>
              <w:keepNext/>
              <w:spacing w:before="40" w:after="0" w:line="240" w:lineRule="auto"/>
              <w:jc w:val="both"/>
              <w:rPr>
                <w:noProof/>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2E6DC396" w14:textId="37282AC6" w:rsidR="00A00259" w:rsidRDefault="00371282">
            <w:pPr>
              <w:pStyle w:val="P68B1DB1-Normal11"/>
              <w:keepNext/>
              <w:spacing w:before="40" w:after="0" w:line="240" w:lineRule="auto"/>
              <w:jc w:val="both"/>
              <w:rPr>
                <w:noProof/>
              </w:rPr>
            </w:pPr>
            <w:r>
              <w:rPr>
                <w:noProof/>
              </w:rPr>
              <w:t>Formation sur la médiation et le système numérique unifié pour les centres de médiation</w:t>
            </w:r>
          </w:p>
        </w:tc>
      </w:tr>
      <w:tr w:rsidR="00A00259" w14:paraId="6B53EAE1"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01A3A713" w14:textId="77777777" w:rsidR="00A00259" w:rsidRDefault="00371282">
            <w:pPr>
              <w:pStyle w:val="P68B1DB1-Normal11"/>
              <w:keepNext/>
              <w:spacing w:before="40" w:after="0" w:line="240" w:lineRule="auto"/>
              <w:jc w:val="both"/>
              <w:rPr>
                <w:rFonts w:eastAsia="Times New Roman" w:cs="Times New Roman"/>
                <w:noProof/>
              </w:rPr>
            </w:pPr>
            <w:r>
              <w:rPr>
                <w:noProof/>
              </w:rPr>
              <w:t>252</w:t>
            </w:r>
          </w:p>
        </w:tc>
        <w:tc>
          <w:tcPr>
            <w:tcW w:w="4677" w:type="dxa"/>
            <w:tcBorders>
              <w:top w:val="nil"/>
              <w:left w:val="nil"/>
              <w:bottom w:val="single" w:sz="4" w:space="0" w:color="auto"/>
              <w:right w:val="single" w:sz="4" w:space="0" w:color="auto"/>
            </w:tcBorders>
            <w:shd w:val="clear" w:color="auto" w:fill="C6EFCE"/>
            <w:noWrap/>
            <w:vAlign w:val="center"/>
          </w:tcPr>
          <w:p w14:paraId="622EDC07" w14:textId="77777777" w:rsidR="00A00259" w:rsidRDefault="00371282">
            <w:pPr>
              <w:pStyle w:val="P68B1DB1-Normal11"/>
              <w:keepNext/>
              <w:spacing w:before="40" w:after="0" w:line="240" w:lineRule="auto"/>
              <w:jc w:val="both"/>
              <w:rPr>
                <w:rFonts w:eastAsia="Times New Roman" w:cs="Times New Roman"/>
                <w:noProof/>
              </w:rPr>
            </w:pPr>
            <w:r>
              <w:rPr>
                <w:noProof/>
              </w:rPr>
              <w:t>16 - 4.5. Promouvoir la recherche et l'innovation - 16971_Recherche - Créer - Innover</w:t>
            </w:r>
          </w:p>
        </w:tc>
        <w:tc>
          <w:tcPr>
            <w:tcW w:w="1380" w:type="dxa"/>
            <w:tcBorders>
              <w:top w:val="nil"/>
              <w:left w:val="nil"/>
              <w:bottom w:val="single" w:sz="4" w:space="0" w:color="auto"/>
              <w:right w:val="single" w:sz="4" w:space="0" w:color="auto"/>
            </w:tcBorders>
            <w:shd w:val="clear" w:color="auto" w:fill="C6EFCE"/>
            <w:noWrap/>
            <w:vAlign w:val="center"/>
          </w:tcPr>
          <w:p w14:paraId="16BE4058" w14:textId="77777777" w:rsidR="00A00259" w:rsidRDefault="00371282">
            <w:pPr>
              <w:pStyle w:val="P68B1DB1-Normal11"/>
              <w:keepNext/>
              <w:spacing w:before="40" w:after="0" w:line="240" w:lineRule="auto"/>
              <w:jc w:val="both"/>
              <w:rPr>
                <w:rFonts w:eastAsia="Times New Roman" w:cs="Times New Roman"/>
                <w:noProof/>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7EE4651B" w14:textId="23A0EF7E" w:rsidR="00A00259" w:rsidRDefault="00371282">
            <w:pPr>
              <w:pStyle w:val="P68B1DB1-Normal11"/>
              <w:keepNext/>
              <w:spacing w:before="40" w:after="0" w:line="240" w:lineRule="auto"/>
              <w:jc w:val="both"/>
              <w:rPr>
                <w:rFonts w:eastAsia="Times New Roman" w:cs="Times New Roman"/>
                <w:noProof/>
              </w:rPr>
            </w:pPr>
            <w:r>
              <w:rPr>
                <w:noProof/>
              </w:rPr>
              <w:t>Réalisation de la recherche - Créer - Innover des projets</w:t>
            </w:r>
          </w:p>
        </w:tc>
      </w:tr>
      <w:tr w:rsidR="00A00259" w14:paraId="27051A4A"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51CE9C75" w14:textId="204798A7" w:rsidR="00A00259" w:rsidRDefault="00371282">
            <w:pPr>
              <w:pStyle w:val="P68B1DB1-Normal55"/>
              <w:keepNext/>
              <w:spacing w:before="40" w:after="0" w:line="240" w:lineRule="auto"/>
              <w:jc w:val="both"/>
              <w:rPr>
                <w:noProof/>
                <w:szCs w:val="18"/>
              </w:rPr>
            </w:pPr>
            <w:r>
              <w:rPr>
                <w:noProof/>
              </w:rPr>
              <w:t>276</w:t>
            </w:r>
          </w:p>
        </w:tc>
        <w:tc>
          <w:tcPr>
            <w:tcW w:w="4677" w:type="dxa"/>
            <w:tcBorders>
              <w:top w:val="nil"/>
              <w:left w:val="nil"/>
              <w:bottom w:val="single" w:sz="4" w:space="0" w:color="auto"/>
              <w:right w:val="single" w:sz="4" w:space="0" w:color="auto"/>
            </w:tcBorders>
            <w:shd w:val="clear" w:color="auto" w:fill="C6EFCE"/>
            <w:noWrap/>
            <w:vAlign w:val="center"/>
          </w:tcPr>
          <w:p w14:paraId="7E5510F6" w14:textId="75B7F9EF" w:rsidR="00A00259" w:rsidRDefault="00371282">
            <w:pPr>
              <w:pStyle w:val="P68B1DB1-Normal55"/>
              <w:keepNext/>
              <w:spacing w:before="40" w:after="0" w:line="240" w:lineRule="auto"/>
              <w:jc w:val="both"/>
              <w:rPr>
                <w:noProof/>
                <w:szCs w:val="18"/>
              </w:rPr>
            </w:pPr>
            <w:r>
              <w:rPr>
                <w:noProof/>
              </w:rPr>
              <w:t>17 - 4.6. Moderniser et améliorer la résilience des secteurs économiques clés - 16937_Système intégré de gestion du programme numérique pour l'administration des travaux techniques et des actifs structurels du ministère des infrastructures et des transports</w:t>
            </w:r>
          </w:p>
        </w:tc>
        <w:tc>
          <w:tcPr>
            <w:tcW w:w="1380" w:type="dxa"/>
            <w:tcBorders>
              <w:top w:val="nil"/>
              <w:left w:val="nil"/>
              <w:bottom w:val="single" w:sz="4" w:space="0" w:color="auto"/>
              <w:right w:val="single" w:sz="4" w:space="0" w:color="auto"/>
            </w:tcBorders>
            <w:shd w:val="clear" w:color="auto" w:fill="C6EFCE"/>
            <w:noWrap/>
            <w:vAlign w:val="center"/>
          </w:tcPr>
          <w:p w14:paraId="2078B31E" w14:textId="2DFC39AA" w:rsidR="00A00259" w:rsidRDefault="00371282">
            <w:pPr>
              <w:pStyle w:val="P68B1DB1-Normal55"/>
              <w:keepNext/>
              <w:spacing w:before="40" w:after="0" w:line="240" w:lineRule="auto"/>
              <w:jc w:val="both"/>
              <w:rPr>
                <w:noProof/>
                <w:szCs w:val="18"/>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517C4237" w14:textId="6DDFD890" w:rsidR="00A00259" w:rsidRDefault="00371282">
            <w:pPr>
              <w:pStyle w:val="P68B1DB1-Normal11"/>
              <w:keepNext/>
              <w:spacing w:before="40" w:after="0" w:line="240" w:lineRule="auto"/>
              <w:jc w:val="both"/>
              <w:rPr>
                <w:noProof/>
              </w:rPr>
            </w:pPr>
            <w:r>
              <w:rPr>
                <w:noProof/>
              </w:rPr>
              <w:t>Système d'information sur la gestion du portefeuille (SIGP)</w:t>
            </w:r>
          </w:p>
        </w:tc>
      </w:tr>
      <w:tr w:rsidR="00A00259" w14:paraId="0C3AA035"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0731EF17" w14:textId="77777777" w:rsidR="00A00259" w:rsidRDefault="00371282">
            <w:pPr>
              <w:pStyle w:val="P68B1DB1-Normal55"/>
              <w:keepNext/>
              <w:spacing w:before="40" w:after="0" w:line="240" w:lineRule="auto"/>
              <w:jc w:val="both"/>
              <w:rPr>
                <w:rFonts w:cs="Times New Roman"/>
                <w:noProof/>
                <w:szCs w:val="18"/>
              </w:rPr>
            </w:pPr>
            <w:r>
              <w:rPr>
                <w:noProof/>
              </w:rPr>
              <w:t>268b</w:t>
            </w:r>
          </w:p>
        </w:tc>
        <w:tc>
          <w:tcPr>
            <w:tcW w:w="4677" w:type="dxa"/>
            <w:tcBorders>
              <w:top w:val="nil"/>
              <w:left w:val="nil"/>
              <w:bottom w:val="single" w:sz="4" w:space="0" w:color="auto"/>
              <w:right w:val="single" w:sz="4" w:space="0" w:color="auto"/>
            </w:tcBorders>
            <w:shd w:val="clear" w:color="auto" w:fill="C6EFCE"/>
            <w:noWrap/>
            <w:vAlign w:val="center"/>
          </w:tcPr>
          <w:p w14:paraId="21AE04D2" w14:textId="77777777" w:rsidR="00A00259" w:rsidRDefault="00371282">
            <w:pPr>
              <w:pStyle w:val="P68B1DB1-Normal55"/>
              <w:keepNext/>
              <w:spacing w:before="40" w:after="0" w:line="240" w:lineRule="auto"/>
              <w:jc w:val="both"/>
              <w:rPr>
                <w:rFonts w:cs="Times New Roman"/>
                <w:noProof/>
                <w:szCs w:val="18"/>
              </w:rPr>
            </w:pPr>
            <w:r>
              <w:rPr>
                <w:noProof/>
              </w:rPr>
              <w:t>17 - 4.6. Moderniser et améliorer la résilience des secteurs économiques clés - 16982_Réforme organisationnelle dans le secteur ferroviaire</w:t>
            </w:r>
          </w:p>
        </w:tc>
        <w:tc>
          <w:tcPr>
            <w:tcW w:w="1380" w:type="dxa"/>
            <w:tcBorders>
              <w:top w:val="nil"/>
              <w:left w:val="nil"/>
              <w:bottom w:val="single" w:sz="4" w:space="0" w:color="auto"/>
              <w:right w:val="single" w:sz="4" w:space="0" w:color="auto"/>
            </w:tcBorders>
            <w:shd w:val="clear" w:color="auto" w:fill="C6EFCE"/>
            <w:noWrap/>
            <w:vAlign w:val="center"/>
          </w:tcPr>
          <w:p w14:paraId="2BFBC05C" w14:textId="77777777" w:rsidR="00A00259" w:rsidRDefault="00371282">
            <w:pPr>
              <w:pStyle w:val="P68B1DB1-Normal55"/>
              <w:keepNext/>
              <w:spacing w:before="40" w:after="0" w:line="240" w:lineRule="auto"/>
              <w:jc w:val="both"/>
              <w:rPr>
                <w:rFonts w:cs="Times New Roman"/>
                <w:noProof/>
                <w:szCs w:val="18"/>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740F5B9E" w14:textId="77777777" w:rsidR="00A00259" w:rsidRDefault="00371282">
            <w:pPr>
              <w:pStyle w:val="P68B1DB1-Normal11"/>
              <w:keepNext/>
              <w:spacing w:before="40" w:after="0" w:line="240" w:lineRule="auto"/>
              <w:jc w:val="both"/>
              <w:rPr>
                <w:rFonts w:cs="Times New Roman"/>
                <w:noProof/>
              </w:rPr>
            </w:pPr>
            <w:r>
              <w:rPr>
                <w:noProof/>
              </w:rPr>
              <w:t>Programme d'investissement pluriannuel, nouvel accord contractuel et responsable technique</w:t>
            </w:r>
          </w:p>
        </w:tc>
      </w:tr>
      <w:tr w:rsidR="00A00259" w14:paraId="6D849A08"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4020C2A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294</w:t>
            </w:r>
          </w:p>
        </w:tc>
        <w:tc>
          <w:tcPr>
            <w:tcW w:w="4677" w:type="dxa"/>
            <w:tcBorders>
              <w:top w:val="nil"/>
              <w:left w:val="nil"/>
              <w:bottom w:val="single" w:sz="4" w:space="0" w:color="auto"/>
              <w:right w:val="single" w:sz="4" w:space="0" w:color="auto"/>
            </w:tcBorders>
            <w:shd w:val="clear" w:color="auto" w:fill="C6EFCE"/>
            <w:noWrap/>
            <w:vAlign w:val="center"/>
          </w:tcPr>
          <w:p w14:paraId="43D78F3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- 16944_Master plan pour le renouvellement de la flotte grecque de transport de passagers</w:t>
            </w:r>
          </w:p>
        </w:tc>
        <w:tc>
          <w:tcPr>
            <w:tcW w:w="1380" w:type="dxa"/>
            <w:tcBorders>
              <w:top w:val="nil"/>
              <w:left w:val="nil"/>
              <w:bottom w:val="single" w:sz="4" w:space="0" w:color="auto"/>
              <w:right w:val="single" w:sz="4" w:space="0" w:color="auto"/>
            </w:tcBorders>
            <w:shd w:val="clear" w:color="auto" w:fill="C6EFCE"/>
            <w:noWrap/>
            <w:vAlign w:val="center"/>
          </w:tcPr>
          <w:p w14:paraId="3F9E7DC3"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3E4B6593" w14:textId="77777777" w:rsidR="00A00259" w:rsidRDefault="00371282">
            <w:pPr>
              <w:pStyle w:val="P68B1DB1-Normal11"/>
              <w:keepNext/>
              <w:spacing w:before="40" w:after="0" w:line="240" w:lineRule="auto"/>
              <w:jc w:val="both"/>
              <w:rPr>
                <w:rFonts w:eastAsia="Times New Roman" w:cs="Times New Roman"/>
                <w:noProof/>
              </w:rPr>
            </w:pPr>
            <w:r>
              <w:rPr>
                <w:noProof/>
              </w:rPr>
              <w:t>Plan directeur pour le renouvellement de la flotte grecque de transport de passagers</w:t>
            </w:r>
          </w:p>
        </w:tc>
      </w:tr>
      <w:tr w:rsidR="00A00259" w14:paraId="1A85D99F"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08CC1121" w14:textId="5F80C0CA" w:rsidR="00A00259" w:rsidRDefault="00371282">
            <w:pPr>
              <w:pStyle w:val="P68B1DB1-Normal55"/>
              <w:keepNext/>
              <w:spacing w:before="40" w:after="0" w:line="240" w:lineRule="auto"/>
              <w:jc w:val="both"/>
              <w:rPr>
                <w:noProof/>
              </w:rPr>
            </w:pPr>
            <w:r>
              <w:rPr>
                <w:noProof/>
              </w:rPr>
              <w:t>296</w:t>
            </w:r>
          </w:p>
        </w:tc>
        <w:tc>
          <w:tcPr>
            <w:tcW w:w="4677" w:type="dxa"/>
            <w:tcBorders>
              <w:top w:val="nil"/>
              <w:left w:val="nil"/>
              <w:bottom w:val="single" w:sz="4" w:space="0" w:color="auto"/>
              <w:right w:val="single" w:sz="4" w:space="0" w:color="auto"/>
            </w:tcBorders>
            <w:shd w:val="clear" w:color="auto" w:fill="C6EFCE"/>
            <w:noWrap/>
            <w:vAlign w:val="center"/>
          </w:tcPr>
          <w:p w14:paraId="17B9CA3A" w14:textId="4F5323B5" w:rsidR="00A00259" w:rsidRDefault="00371282">
            <w:pPr>
              <w:pStyle w:val="P68B1DB1-Normal55"/>
              <w:keepNext/>
              <w:spacing w:before="40" w:after="0" w:line="240" w:lineRule="auto"/>
              <w:jc w:val="both"/>
              <w:rPr>
                <w:noProof/>
              </w:rPr>
            </w:pPr>
            <w:r>
              <w:rPr>
                <w:noProof/>
              </w:rPr>
              <w:t>17 - 4.6. Moderniser et améliorer la résilience des secteurs économiques clés -_16921_Reskilling and Upskilling in Tourism</w:t>
            </w:r>
          </w:p>
        </w:tc>
        <w:tc>
          <w:tcPr>
            <w:tcW w:w="1380" w:type="dxa"/>
            <w:tcBorders>
              <w:top w:val="nil"/>
              <w:left w:val="nil"/>
              <w:bottom w:val="single" w:sz="4" w:space="0" w:color="auto"/>
              <w:right w:val="single" w:sz="4" w:space="0" w:color="auto"/>
            </w:tcBorders>
            <w:shd w:val="clear" w:color="auto" w:fill="C6EFCE"/>
            <w:noWrap/>
            <w:vAlign w:val="center"/>
          </w:tcPr>
          <w:p w14:paraId="4D8FBF21" w14:textId="2BF0CB35" w:rsidR="00A00259" w:rsidRDefault="00371282">
            <w:pPr>
              <w:pStyle w:val="P68B1DB1-Normal55"/>
              <w:keepNext/>
              <w:spacing w:before="40" w:after="0" w:line="240" w:lineRule="auto"/>
              <w:jc w:val="both"/>
              <w:rPr>
                <w:noProof/>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1EA42756" w14:textId="4FB06C92" w:rsidR="00A00259" w:rsidRDefault="00371282">
            <w:pPr>
              <w:pStyle w:val="P68B1DB1-Normal55"/>
              <w:keepNext/>
              <w:spacing w:before="40" w:after="0" w:line="240" w:lineRule="auto"/>
              <w:jc w:val="both"/>
              <w:rPr>
                <w:noProof/>
                <w:szCs w:val="18"/>
              </w:rPr>
            </w:pPr>
            <w:r>
              <w:rPr>
                <w:noProof/>
              </w:rPr>
              <w:t xml:space="preserve">Requalification et perfectionnement professionnel dans le secteur du tourisme </w:t>
            </w:r>
          </w:p>
        </w:tc>
      </w:tr>
      <w:tr w:rsidR="00A00259" w14:paraId="30C4AF14"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131618C0" w14:textId="77777777" w:rsidR="00A00259" w:rsidRDefault="00371282">
            <w:pPr>
              <w:pStyle w:val="P68B1DB1-Normal55"/>
              <w:keepNext/>
              <w:spacing w:before="40" w:after="0" w:line="240" w:lineRule="auto"/>
              <w:jc w:val="both"/>
              <w:rPr>
                <w:rFonts w:cs="Times New Roman"/>
                <w:noProof/>
                <w:szCs w:val="18"/>
              </w:rPr>
            </w:pPr>
            <w:r>
              <w:rPr>
                <w:noProof/>
              </w:rPr>
              <w:t>332</w:t>
            </w:r>
          </w:p>
        </w:tc>
        <w:tc>
          <w:tcPr>
            <w:tcW w:w="4677" w:type="dxa"/>
            <w:tcBorders>
              <w:top w:val="nil"/>
              <w:left w:val="nil"/>
              <w:bottom w:val="single" w:sz="4" w:space="0" w:color="auto"/>
              <w:right w:val="single" w:sz="4" w:space="0" w:color="auto"/>
            </w:tcBorders>
            <w:shd w:val="clear" w:color="auto" w:fill="C6EFCE"/>
            <w:noWrap/>
          </w:tcPr>
          <w:p w14:paraId="51C02A55" w14:textId="1A6F4C55" w:rsidR="00A00259" w:rsidRDefault="00371282">
            <w:pPr>
              <w:pStyle w:val="P68B1DB1-Normal55"/>
              <w:keepNext/>
              <w:spacing w:before="40" w:after="0" w:line="240" w:lineRule="auto"/>
              <w:jc w:val="both"/>
              <w:rPr>
                <w:rFonts w:cs="Times New Roman"/>
                <w:noProof/>
                <w:szCs w:val="18"/>
              </w:rPr>
            </w:pPr>
            <w:r>
              <w:rPr>
                <w:noProof/>
              </w:rPr>
              <w:t>4 - 1.4. «Utilisation durable des ressources, résilience au changement climatique et protection de l’environnement» – 16983_Inspection primaire de la résistance sismique des bâtiments ou des installations sportives</w:t>
            </w:r>
          </w:p>
        </w:tc>
        <w:tc>
          <w:tcPr>
            <w:tcW w:w="1380" w:type="dxa"/>
            <w:tcBorders>
              <w:top w:val="nil"/>
              <w:left w:val="nil"/>
              <w:bottom w:val="single" w:sz="4" w:space="0" w:color="auto"/>
              <w:right w:val="single" w:sz="4" w:space="0" w:color="auto"/>
            </w:tcBorders>
            <w:shd w:val="clear" w:color="auto" w:fill="C6EFCE"/>
            <w:noWrap/>
          </w:tcPr>
          <w:p w14:paraId="5424DBA4" w14:textId="77777777" w:rsidR="00A00259" w:rsidRDefault="00371282">
            <w:pPr>
              <w:pStyle w:val="P68B1DB1-Normal55"/>
              <w:keepNext/>
              <w:spacing w:before="40" w:after="0" w:line="240" w:lineRule="auto"/>
              <w:jc w:val="both"/>
              <w:rPr>
                <w:rFonts w:cs="Times New Roman"/>
                <w:noProof/>
                <w:szCs w:val="18"/>
              </w:rPr>
            </w:pPr>
            <w:r>
              <w:rPr>
                <w:noProof/>
              </w:rPr>
              <w:t>Étape</w:t>
            </w:r>
          </w:p>
        </w:tc>
        <w:tc>
          <w:tcPr>
            <w:tcW w:w="2430" w:type="dxa"/>
            <w:tcBorders>
              <w:top w:val="nil"/>
              <w:left w:val="nil"/>
              <w:bottom w:val="single" w:sz="4" w:space="0" w:color="auto"/>
              <w:right w:val="single" w:sz="4" w:space="0" w:color="auto"/>
            </w:tcBorders>
            <w:shd w:val="clear" w:color="auto" w:fill="C6EFCE"/>
            <w:noWrap/>
          </w:tcPr>
          <w:p w14:paraId="250AF779" w14:textId="039FFD31" w:rsidR="00A00259" w:rsidRDefault="00371282">
            <w:pPr>
              <w:pStyle w:val="P68B1DB1-Normal55"/>
              <w:keepNext/>
              <w:spacing w:before="40" w:after="0" w:line="240" w:lineRule="auto"/>
              <w:jc w:val="both"/>
              <w:rPr>
                <w:rFonts w:cs="Times New Roman"/>
                <w:noProof/>
                <w:szCs w:val="18"/>
              </w:rPr>
            </w:pPr>
            <w:r>
              <w:rPr>
                <w:noProof/>
              </w:rPr>
              <w:t>Achèvement des inspections sismiques primaires</w:t>
            </w:r>
          </w:p>
        </w:tc>
      </w:tr>
      <w:tr w:rsidR="00A00259" w14:paraId="633A1480"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047D6F1B" w14:textId="77777777" w:rsidR="00A00259" w:rsidRDefault="00371282">
            <w:pPr>
              <w:pStyle w:val="P68B1DB1-Normal55"/>
              <w:keepNext/>
              <w:spacing w:before="40" w:after="0" w:line="259" w:lineRule="auto"/>
              <w:jc w:val="both"/>
              <w:rPr>
                <w:rFonts w:cs="Times New Roman"/>
                <w:noProof/>
              </w:rPr>
            </w:pPr>
            <w:r>
              <w:rPr>
                <w:noProof/>
              </w:rPr>
              <w:t>336</w:t>
            </w:r>
          </w:p>
        </w:tc>
        <w:tc>
          <w:tcPr>
            <w:tcW w:w="4677" w:type="dxa"/>
            <w:tcBorders>
              <w:top w:val="nil"/>
              <w:left w:val="nil"/>
              <w:bottom w:val="single" w:sz="4" w:space="0" w:color="auto"/>
              <w:right w:val="single" w:sz="4" w:space="0" w:color="auto"/>
            </w:tcBorders>
            <w:shd w:val="clear" w:color="auto" w:fill="C6EFCE"/>
            <w:noWrap/>
          </w:tcPr>
          <w:p w14:paraId="5B1C144E" w14:textId="77777777" w:rsidR="00A00259" w:rsidRDefault="00371282">
            <w:pPr>
              <w:pStyle w:val="P68B1DB1-Normal55"/>
              <w:keepNext/>
              <w:spacing w:before="40" w:after="0" w:line="259" w:lineRule="auto"/>
              <w:jc w:val="both"/>
              <w:rPr>
                <w:rFonts w:cs="Times New Roman"/>
                <w:noProof/>
              </w:rPr>
            </w:pPr>
            <w:r>
              <w:rPr>
                <w:noProof/>
              </w:rPr>
              <w:t>10 - 3.3. Améliorer la résilience, l'accessibilité et la durabilité des soins de santé - 16984_Réforme des médecins personnels</w:t>
            </w:r>
          </w:p>
        </w:tc>
        <w:tc>
          <w:tcPr>
            <w:tcW w:w="1380" w:type="dxa"/>
            <w:tcBorders>
              <w:top w:val="nil"/>
              <w:left w:val="nil"/>
              <w:bottom w:val="single" w:sz="4" w:space="0" w:color="auto"/>
              <w:right w:val="single" w:sz="4" w:space="0" w:color="auto"/>
            </w:tcBorders>
            <w:shd w:val="clear" w:color="auto" w:fill="C6EFCE"/>
            <w:noWrap/>
          </w:tcPr>
          <w:p w14:paraId="5F43E8B3" w14:textId="77777777" w:rsidR="00A00259" w:rsidRDefault="00371282">
            <w:pPr>
              <w:pStyle w:val="P68B1DB1-Normal55"/>
              <w:keepNext/>
              <w:spacing w:before="40" w:after="0" w:line="259" w:lineRule="auto"/>
              <w:jc w:val="both"/>
              <w:rPr>
                <w:rFonts w:cs="Times New Roman"/>
                <w:noProof/>
              </w:rPr>
            </w:pPr>
            <w:r>
              <w:rPr>
                <w:noProof/>
              </w:rPr>
              <w:t>Étape</w:t>
            </w:r>
          </w:p>
        </w:tc>
        <w:tc>
          <w:tcPr>
            <w:tcW w:w="2430" w:type="dxa"/>
            <w:tcBorders>
              <w:top w:val="nil"/>
              <w:left w:val="nil"/>
              <w:bottom w:val="single" w:sz="4" w:space="0" w:color="auto"/>
              <w:right w:val="single" w:sz="4" w:space="0" w:color="auto"/>
            </w:tcBorders>
            <w:shd w:val="clear" w:color="auto" w:fill="C6EFCE"/>
            <w:noWrap/>
          </w:tcPr>
          <w:p w14:paraId="4B42F83D" w14:textId="77777777" w:rsidR="00A00259" w:rsidRDefault="00371282">
            <w:pPr>
              <w:pStyle w:val="P68B1DB1-Normal55"/>
              <w:keepNext/>
              <w:spacing w:before="40" w:after="0" w:line="259" w:lineRule="auto"/>
              <w:jc w:val="both"/>
              <w:rPr>
                <w:rFonts w:cs="Times New Roman"/>
                <w:noProof/>
              </w:rPr>
            </w:pPr>
            <w:r>
              <w:rPr>
                <w:noProof/>
              </w:rPr>
              <w:t xml:space="preserve">Réforme du médecin personnel – enregistrement </w:t>
            </w:r>
          </w:p>
        </w:tc>
      </w:tr>
      <w:tr w:rsidR="00A00259" w14:paraId="2E4D18E1"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46315242" w14:textId="77777777" w:rsidR="00A00259" w:rsidRDefault="00371282">
            <w:pPr>
              <w:pStyle w:val="P68B1DB1-Normal55"/>
              <w:keepNext/>
              <w:spacing w:before="40" w:after="0" w:line="259" w:lineRule="auto"/>
              <w:jc w:val="both"/>
              <w:rPr>
                <w:rFonts w:cs="Times New Roman"/>
                <w:noProof/>
              </w:rPr>
            </w:pPr>
            <w:r>
              <w:rPr>
                <w:noProof/>
              </w:rPr>
              <w:t>344</w:t>
            </w:r>
          </w:p>
        </w:tc>
        <w:tc>
          <w:tcPr>
            <w:tcW w:w="4677" w:type="dxa"/>
            <w:tcBorders>
              <w:top w:val="nil"/>
              <w:left w:val="nil"/>
              <w:bottom w:val="single" w:sz="4" w:space="0" w:color="auto"/>
              <w:right w:val="single" w:sz="4" w:space="0" w:color="auto"/>
            </w:tcBorders>
            <w:shd w:val="clear" w:color="auto" w:fill="C6EFCE"/>
            <w:noWrap/>
          </w:tcPr>
          <w:p w14:paraId="6D2D8D0F" w14:textId="77777777" w:rsidR="00A00259" w:rsidRDefault="00371282">
            <w:pPr>
              <w:pStyle w:val="P68B1DB1-Normal55"/>
              <w:keepNext/>
              <w:spacing w:before="40" w:after="0" w:line="259" w:lineRule="auto"/>
              <w:jc w:val="both"/>
              <w:rPr>
                <w:rFonts w:cs="Times New Roman"/>
                <w:noProof/>
              </w:rPr>
            </w:pPr>
            <w:r>
              <w:rPr>
                <w:noProof/>
              </w:rPr>
              <w:t>13 - 4.2. Moderniser l'administration publique, notamment en accélérant la mise en œuvre des investissements publics, en améliorant le cadre des marchés publics, en prenant des mesures de renforcement des capacités et en luttant contre la corruption - 16986_Achèvement du cadastre national</w:t>
            </w:r>
          </w:p>
        </w:tc>
        <w:tc>
          <w:tcPr>
            <w:tcW w:w="1380" w:type="dxa"/>
            <w:tcBorders>
              <w:top w:val="nil"/>
              <w:left w:val="nil"/>
              <w:bottom w:val="single" w:sz="4" w:space="0" w:color="auto"/>
              <w:right w:val="single" w:sz="4" w:space="0" w:color="auto"/>
            </w:tcBorders>
            <w:shd w:val="clear" w:color="auto" w:fill="C6EFCE"/>
            <w:noWrap/>
          </w:tcPr>
          <w:p w14:paraId="0789658C" w14:textId="77777777" w:rsidR="00A00259" w:rsidRDefault="00371282">
            <w:pPr>
              <w:pStyle w:val="P68B1DB1-Normal55"/>
              <w:keepNext/>
              <w:spacing w:before="40" w:after="0" w:line="259" w:lineRule="auto"/>
              <w:jc w:val="both"/>
              <w:rPr>
                <w:rFonts w:cs="Times New Roman"/>
                <w:noProof/>
              </w:rPr>
            </w:pPr>
            <w:r>
              <w:rPr>
                <w:noProof/>
              </w:rPr>
              <w:t>Objectif</w:t>
            </w:r>
          </w:p>
        </w:tc>
        <w:tc>
          <w:tcPr>
            <w:tcW w:w="2430" w:type="dxa"/>
            <w:tcBorders>
              <w:top w:val="nil"/>
              <w:left w:val="nil"/>
              <w:bottom w:val="single" w:sz="4" w:space="0" w:color="auto"/>
              <w:right w:val="single" w:sz="4" w:space="0" w:color="auto"/>
            </w:tcBorders>
            <w:shd w:val="clear" w:color="auto" w:fill="C6EFCE"/>
            <w:noWrap/>
          </w:tcPr>
          <w:p w14:paraId="3D097152" w14:textId="77777777" w:rsidR="00A00259" w:rsidRDefault="00371282">
            <w:pPr>
              <w:pStyle w:val="P68B1DB1-Normal55"/>
              <w:keepNext/>
              <w:spacing w:before="40" w:after="0" w:line="259" w:lineRule="auto"/>
              <w:jc w:val="both"/>
              <w:rPr>
                <w:rFonts w:cs="Times New Roman"/>
                <w:noProof/>
              </w:rPr>
            </w:pPr>
            <w:r>
              <w:rPr>
                <w:noProof/>
              </w:rPr>
              <w:t>Cartographie cadastrale – Achèvement</w:t>
            </w:r>
          </w:p>
        </w:tc>
      </w:tr>
      <w:tr w:rsidR="00A00259" w14:paraId="04223E30"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17BF68FB" w14:textId="1AFA763A" w:rsidR="00A00259" w:rsidRDefault="00371282">
            <w:pPr>
              <w:pStyle w:val="P68B1DB1-Normal55"/>
              <w:keepNext/>
              <w:spacing w:before="40" w:after="0" w:line="259" w:lineRule="auto"/>
              <w:jc w:val="both"/>
              <w:rPr>
                <w:noProof/>
              </w:rPr>
            </w:pPr>
            <w:r>
              <w:rPr>
                <w:noProof/>
              </w:rPr>
              <w:t>346</w:t>
            </w:r>
          </w:p>
        </w:tc>
        <w:tc>
          <w:tcPr>
            <w:tcW w:w="4677" w:type="dxa"/>
            <w:tcBorders>
              <w:top w:val="nil"/>
              <w:left w:val="nil"/>
              <w:bottom w:val="single" w:sz="4" w:space="0" w:color="auto"/>
              <w:right w:val="single" w:sz="4" w:space="0" w:color="auto"/>
            </w:tcBorders>
            <w:shd w:val="clear" w:color="auto" w:fill="C6EFCE"/>
            <w:noWrap/>
            <w:vAlign w:val="center"/>
          </w:tcPr>
          <w:p w14:paraId="252B35F5" w14:textId="15965189" w:rsidR="00A00259" w:rsidRDefault="00371282">
            <w:pPr>
              <w:pStyle w:val="P68B1DB1-Normal55"/>
              <w:keepNext/>
              <w:spacing w:before="40" w:after="0" w:line="259" w:lineRule="auto"/>
              <w:jc w:val="both"/>
              <w:rPr>
                <w:noProof/>
              </w:rPr>
            </w:pPr>
            <w:r>
              <w:rPr>
                <w:noProof/>
              </w:rPr>
              <w:t>16 - 4.5. «Promouvoir la recherche et l’innovation» - 16622_HORIZON 2020 «Sceau d’excellence»: sociétés de financement</w:t>
            </w:r>
          </w:p>
        </w:tc>
        <w:tc>
          <w:tcPr>
            <w:tcW w:w="1380" w:type="dxa"/>
            <w:tcBorders>
              <w:top w:val="nil"/>
              <w:left w:val="nil"/>
              <w:bottom w:val="single" w:sz="4" w:space="0" w:color="auto"/>
              <w:right w:val="single" w:sz="4" w:space="0" w:color="auto"/>
            </w:tcBorders>
            <w:shd w:val="clear" w:color="auto" w:fill="C6EFCE"/>
            <w:noWrap/>
            <w:vAlign w:val="center"/>
          </w:tcPr>
          <w:p w14:paraId="05C1CA81" w14:textId="42C2ACAB" w:rsidR="00A00259" w:rsidRDefault="00371282">
            <w:pPr>
              <w:pStyle w:val="P68B1DB1-Normal55"/>
              <w:keepNext/>
              <w:spacing w:before="40" w:after="0" w:line="259" w:lineRule="auto"/>
              <w:jc w:val="both"/>
              <w:rPr>
                <w:noProof/>
              </w:rPr>
            </w:pPr>
            <w:r>
              <w:rPr>
                <w:noProof/>
              </w:rPr>
              <w:t>Étape</w:t>
            </w:r>
          </w:p>
        </w:tc>
        <w:tc>
          <w:tcPr>
            <w:tcW w:w="2430" w:type="dxa"/>
            <w:tcBorders>
              <w:top w:val="nil"/>
              <w:left w:val="nil"/>
              <w:bottom w:val="single" w:sz="4" w:space="0" w:color="auto"/>
              <w:right w:val="single" w:sz="4" w:space="0" w:color="auto"/>
            </w:tcBorders>
            <w:shd w:val="clear" w:color="auto" w:fill="C6EFCE"/>
            <w:noWrap/>
            <w:vAlign w:val="center"/>
          </w:tcPr>
          <w:p w14:paraId="768269D0" w14:textId="51AB67D5" w:rsidR="00A00259" w:rsidRDefault="00371282">
            <w:pPr>
              <w:pStyle w:val="P68B1DB1-Normal55"/>
              <w:keepNext/>
              <w:spacing w:before="40" w:after="0" w:line="259" w:lineRule="auto"/>
              <w:jc w:val="both"/>
              <w:rPr>
                <w:noProof/>
              </w:rPr>
            </w:pPr>
            <w:r>
              <w:rPr>
                <w:noProof/>
              </w:rPr>
              <w:t>Exécution des projets</w:t>
            </w:r>
          </w:p>
        </w:tc>
      </w:tr>
      <w:tr w:rsidR="00A00259" w14:paraId="3B90D180"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7AD15D13" w14:textId="59147B51" w:rsidR="00A00259" w:rsidRDefault="00371282">
            <w:pPr>
              <w:pStyle w:val="P68B1DB1-Normal11"/>
              <w:keepNext/>
              <w:spacing w:before="40" w:after="0" w:line="259" w:lineRule="auto"/>
              <w:jc w:val="both"/>
              <w:rPr>
                <w:noProof/>
              </w:rPr>
            </w:pPr>
            <w:r>
              <w:rPr>
                <w:noProof/>
              </w:rPr>
              <w:t>349 bis</w:t>
            </w:r>
          </w:p>
        </w:tc>
        <w:tc>
          <w:tcPr>
            <w:tcW w:w="4677" w:type="dxa"/>
            <w:tcBorders>
              <w:top w:val="nil"/>
              <w:left w:val="nil"/>
              <w:bottom w:val="single" w:sz="4" w:space="0" w:color="auto"/>
              <w:right w:val="single" w:sz="4" w:space="0" w:color="auto"/>
            </w:tcBorders>
            <w:shd w:val="clear" w:color="auto" w:fill="C6EFCE"/>
            <w:noWrap/>
          </w:tcPr>
          <w:p w14:paraId="4CEC8BB3" w14:textId="5E107249" w:rsidR="00A00259" w:rsidRDefault="00371282">
            <w:pPr>
              <w:pStyle w:val="P68B1DB1-Normal16"/>
              <w:keepNext/>
              <w:spacing w:before="40" w:after="0" w:line="259" w:lineRule="auto"/>
              <w:jc w:val="both"/>
              <w:rPr>
                <w:noProof/>
              </w:rPr>
            </w:pPr>
            <w:r>
              <w:rPr>
                <w:noProof/>
              </w:rPr>
              <w:t>17 - 4.6. Moderniser et améliorer la résilience des secteurs économiques clés - 16999_Travaux de restauration suite aux effets dévastateurs des tempêtes "DANIEL", "ELIAS" et "IANOS"</w:t>
            </w:r>
          </w:p>
        </w:tc>
        <w:tc>
          <w:tcPr>
            <w:tcW w:w="1380" w:type="dxa"/>
            <w:tcBorders>
              <w:top w:val="nil"/>
              <w:left w:val="nil"/>
              <w:bottom w:val="single" w:sz="4" w:space="0" w:color="auto"/>
              <w:right w:val="single" w:sz="4" w:space="0" w:color="auto"/>
            </w:tcBorders>
            <w:shd w:val="clear" w:color="auto" w:fill="C6EFCE"/>
            <w:noWrap/>
          </w:tcPr>
          <w:p w14:paraId="29B83E27" w14:textId="7D2C636A" w:rsidR="00A00259" w:rsidRDefault="00371282">
            <w:pPr>
              <w:pStyle w:val="P68B1DB1-Normal11"/>
              <w:keepNext/>
              <w:spacing w:before="40" w:after="0" w:line="259" w:lineRule="auto"/>
              <w:jc w:val="both"/>
              <w:rPr>
                <w:noProof/>
              </w:rPr>
            </w:pPr>
            <w:r>
              <w:rPr>
                <w:noProof/>
              </w:rPr>
              <w:t>Étape</w:t>
            </w:r>
          </w:p>
        </w:tc>
        <w:tc>
          <w:tcPr>
            <w:tcW w:w="2430" w:type="dxa"/>
            <w:tcBorders>
              <w:top w:val="nil"/>
              <w:left w:val="nil"/>
              <w:bottom w:val="single" w:sz="4" w:space="0" w:color="auto"/>
              <w:right w:val="single" w:sz="4" w:space="0" w:color="auto"/>
            </w:tcBorders>
            <w:shd w:val="clear" w:color="auto" w:fill="C6EFCE"/>
            <w:noWrap/>
          </w:tcPr>
          <w:p w14:paraId="1C3515C4" w14:textId="0C662A34" w:rsidR="00A00259" w:rsidRDefault="00371282">
            <w:pPr>
              <w:pStyle w:val="P68B1DB1-Normal16"/>
              <w:keepNext/>
              <w:spacing w:before="40" w:after="0" w:line="259" w:lineRule="auto"/>
              <w:jc w:val="both"/>
              <w:rPr>
                <w:noProof/>
              </w:rPr>
            </w:pPr>
            <w:r>
              <w:rPr>
                <w:noProof/>
              </w:rPr>
              <w:t>Restauration de tronçons routiers</w:t>
            </w:r>
          </w:p>
        </w:tc>
      </w:tr>
      <w:tr w:rsidR="00A00259" w14:paraId="32555CB7" w14:textId="77777777">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5EC02B28" w14:textId="77777777" w:rsidR="00A00259" w:rsidRDefault="00371282">
            <w:pPr>
              <w:pStyle w:val="P68B1DB1-Normal55"/>
              <w:keepNext/>
              <w:spacing w:before="40" w:after="0" w:line="259" w:lineRule="auto"/>
              <w:jc w:val="both"/>
              <w:rPr>
                <w:rFonts w:cs="Times New Roman"/>
                <w:noProof/>
              </w:rPr>
            </w:pPr>
            <w:r>
              <w:rPr>
                <w:noProof/>
              </w:rPr>
              <w:t>357</w:t>
            </w:r>
          </w:p>
        </w:tc>
        <w:tc>
          <w:tcPr>
            <w:tcW w:w="4677" w:type="dxa"/>
            <w:tcBorders>
              <w:top w:val="single" w:sz="4" w:space="0" w:color="auto"/>
              <w:left w:val="nil"/>
              <w:bottom w:val="single" w:sz="4" w:space="0" w:color="auto"/>
              <w:right w:val="single" w:sz="4" w:space="0" w:color="auto"/>
            </w:tcBorders>
            <w:shd w:val="clear" w:color="auto" w:fill="C6EFCE"/>
            <w:noWrap/>
          </w:tcPr>
          <w:p w14:paraId="0D4478F2" w14:textId="77777777" w:rsidR="00A00259" w:rsidRDefault="00371282">
            <w:pPr>
              <w:pStyle w:val="P68B1DB1-Normal55"/>
              <w:keepNext/>
              <w:spacing w:before="40" w:after="0" w:line="259" w:lineRule="auto"/>
              <w:jc w:val="both"/>
              <w:rPr>
                <w:rFonts w:cs="Times New Roman"/>
                <w:noProof/>
              </w:rPr>
            </w:pPr>
            <w:r>
              <w:rPr>
                <w:noProof/>
              </w:rPr>
              <w:t>20 - 5.1. Réformes REPowerEU – 16990_Capacité de réseau et de stockage – Favoriser les investissements dans le stockage</w:t>
            </w:r>
          </w:p>
        </w:tc>
        <w:tc>
          <w:tcPr>
            <w:tcW w:w="1380" w:type="dxa"/>
            <w:tcBorders>
              <w:top w:val="single" w:sz="4" w:space="0" w:color="auto"/>
              <w:left w:val="nil"/>
              <w:bottom w:val="single" w:sz="4" w:space="0" w:color="auto"/>
              <w:right w:val="single" w:sz="4" w:space="0" w:color="auto"/>
            </w:tcBorders>
            <w:shd w:val="clear" w:color="auto" w:fill="C6EFCE"/>
            <w:noWrap/>
          </w:tcPr>
          <w:p w14:paraId="16E0A678" w14:textId="77777777" w:rsidR="00A00259" w:rsidRDefault="00371282">
            <w:pPr>
              <w:pStyle w:val="P68B1DB1-Normal55"/>
              <w:keepNext/>
              <w:spacing w:before="40" w:after="0" w:line="259" w:lineRule="auto"/>
              <w:jc w:val="both"/>
              <w:rPr>
                <w:rFonts w:cs="Times New Roman"/>
                <w:noProof/>
              </w:rPr>
            </w:pPr>
            <w:r>
              <w:rPr>
                <w:noProof/>
              </w:rPr>
              <w:t xml:space="preserve">Étape </w:t>
            </w:r>
          </w:p>
        </w:tc>
        <w:tc>
          <w:tcPr>
            <w:tcW w:w="2430" w:type="dxa"/>
            <w:tcBorders>
              <w:top w:val="single" w:sz="4" w:space="0" w:color="auto"/>
              <w:left w:val="nil"/>
              <w:bottom w:val="single" w:sz="4" w:space="0" w:color="auto"/>
              <w:right w:val="single" w:sz="4" w:space="0" w:color="auto"/>
            </w:tcBorders>
            <w:shd w:val="clear" w:color="auto" w:fill="C6EFCE"/>
            <w:noWrap/>
          </w:tcPr>
          <w:p w14:paraId="435F192B" w14:textId="77777777" w:rsidR="00A00259" w:rsidRDefault="00371282">
            <w:pPr>
              <w:pStyle w:val="P68B1DB1-Normal55"/>
              <w:keepNext/>
              <w:spacing w:before="40" w:after="0" w:line="259" w:lineRule="auto"/>
              <w:jc w:val="both"/>
              <w:rPr>
                <w:rFonts w:cs="Times New Roman"/>
                <w:noProof/>
              </w:rPr>
            </w:pPr>
            <w:r>
              <w:rPr>
                <w:noProof/>
              </w:rPr>
              <w:t>Entrée en vigueur des actes juridiques</w:t>
            </w:r>
          </w:p>
        </w:tc>
      </w:tr>
      <w:tr w:rsidR="00A00259" w14:paraId="0B77D8EE" w14:textId="77777777">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0FD2A702" w14:textId="77777777" w:rsidR="00A00259" w:rsidRDefault="00371282">
            <w:pPr>
              <w:pStyle w:val="P68B1DB1-Normal55"/>
              <w:keepNext/>
              <w:spacing w:before="40" w:after="0" w:line="259" w:lineRule="auto"/>
              <w:jc w:val="both"/>
              <w:rPr>
                <w:rFonts w:eastAsia="Times New Roman" w:cs="Times New Roman"/>
                <w:noProof/>
                <w:szCs w:val="18"/>
              </w:rPr>
            </w:pPr>
            <w:r>
              <w:rPr>
                <w:noProof/>
              </w:rPr>
              <w:t>362</w:t>
            </w:r>
          </w:p>
        </w:tc>
        <w:tc>
          <w:tcPr>
            <w:tcW w:w="4677" w:type="dxa"/>
            <w:tcBorders>
              <w:top w:val="single" w:sz="4" w:space="0" w:color="auto"/>
              <w:left w:val="nil"/>
              <w:bottom w:val="single" w:sz="4" w:space="0" w:color="auto"/>
              <w:right w:val="single" w:sz="4" w:space="0" w:color="auto"/>
            </w:tcBorders>
            <w:shd w:val="clear" w:color="auto" w:fill="C6EFCE"/>
            <w:noWrap/>
          </w:tcPr>
          <w:p w14:paraId="1F5DB8FE" w14:textId="77777777" w:rsidR="00A00259" w:rsidRDefault="00371282">
            <w:pPr>
              <w:pStyle w:val="P68B1DB1-Normal55"/>
              <w:keepNext/>
              <w:spacing w:before="40" w:after="0" w:line="259" w:lineRule="auto"/>
              <w:jc w:val="both"/>
              <w:rPr>
                <w:rFonts w:eastAsia="Times New Roman" w:cs="Times New Roman"/>
                <w:noProof/>
                <w:szCs w:val="18"/>
              </w:rPr>
            </w:pPr>
            <w:r>
              <w:rPr>
                <w:noProof/>
              </w:rPr>
              <w:t>20 - 5. Réformes REPowerEU - 16992_Ensemble d’outils pour promouvoir le partage d’énergie, l’autoconsommation et les communautés d’énergie renouvelable</w:t>
            </w:r>
          </w:p>
        </w:tc>
        <w:tc>
          <w:tcPr>
            <w:tcW w:w="1380" w:type="dxa"/>
            <w:tcBorders>
              <w:top w:val="single" w:sz="4" w:space="0" w:color="auto"/>
              <w:left w:val="nil"/>
              <w:bottom w:val="single" w:sz="4" w:space="0" w:color="auto"/>
              <w:right w:val="single" w:sz="4" w:space="0" w:color="auto"/>
            </w:tcBorders>
            <w:shd w:val="clear" w:color="auto" w:fill="C6EFCE"/>
            <w:noWrap/>
          </w:tcPr>
          <w:p w14:paraId="698EA3C4" w14:textId="77777777" w:rsidR="00A00259" w:rsidRDefault="00371282">
            <w:pPr>
              <w:pStyle w:val="P68B1DB1-Normal55"/>
              <w:keepNext/>
              <w:spacing w:before="40" w:after="0" w:line="259" w:lineRule="auto"/>
              <w:jc w:val="both"/>
              <w:rPr>
                <w:rFonts w:eastAsia="Times New Roman" w:cs="Times New Roman"/>
                <w:noProof/>
                <w:szCs w:val="18"/>
              </w:rPr>
            </w:pPr>
            <w:r>
              <w:rPr>
                <w:noProof/>
              </w:rPr>
              <w:t>Étape</w:t>
            </w:r>
          </w:p>
        </w:tc>
        <w:tc>
          <w:tcPr>
            <w:tcW w:w="2430" w:type="dxa"/>
            <w:tcBorders>
              <w:top w:val="single" w:sz="4" w:space="0" w:color="auto"/>
              <w:left w:val="nil"/>
              <w:bottom w:val="single" w:sz="4" w:space="0" w:color="auto"/>
              <w:right w:val="single" w:sz="4" w:space="0" w:color="auto"/>
            </w:tcBorders>
            <w:shd w:val="clear" w:color="auto" w:fill="C6EFCE"/>
            <w:noWrap/>
            <w:vAlign w:val="bottom"/>
          </w:tcPr>
          <w:p w14:paraId="202D7896" w14:textId="77777777" w:rsidR="00A00259" w:rsidRDefault="00371282">
            <w:pPr>
              <w:pStyle w:val="P68B1DB1-Normal55"/>
              <w:keepNext/>
              <w:spacing w:before="40" w:after="0" w:line="259" w:lineRule="auto"/>
              <w:jc w:val="both"/>
              <w:rPr>
                <w:rFonts w:eastAsia="Times New Roman" w:cs="Times New Roman"/>
                <w:noProof/>
                <w:szCs w:val="18"/>
              </w:rPr>
            </w:pPr>
            <w:r>
              <w:rPr>
                <w:noProof/>
              </w:rPr>
              <w:t>Mise en place du registre des autoconsommateurs et de l'assistance technique aux communautés de l'énergie</w:t>
            </w:r>
          </w:p>
        </w:tc>
      </w:tr>
      <w:tr w:rsidR="00A00259" w14:paraId="04407AEF" w14:textId="77777777">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0FC9CC0D" w14:textId="77777777" w:rsidR="00A00259" w:rsidRDefault="00371282">
            <w:pPr>
              <w:pStyle w:val="P68B1DB1-Normal55"/>
              <w:keepNext/>
              <w:spacing w:before="40" w:after="0" w:line="259" w:lineRule="auto"/>
              <w:jc w:val="both"/>
              <w:rPr>
                <w:rFonts w:eastAsia="Times New Roman" w:cs="Times New Roman"/>
                <w:bCs/>
                <w:noProof/>
                <w:szCs w:val="18"/>
              </w:rPr>
            </w:pPr>
            <w:r>
              <w:rPr>
                <w:noProof/>
              </w:rPr>
              <w:t>364</w:t>
            </w:r>
          </w:p>
        </w:tc>
        <w:tc>
          <w:tcPr>
            <w:tcW w:w="4677" w:type="dxa"/>
            <w:tcBorders>
              <w:top w:val="single" w:sz="4" w:space="0" w:color="auto"/>
              <w:left w:val="nil"/>
              <w:bottom w:val="single" w:sz="4" w:space="0" w:color="auto"/>
              <w:right w:val="single" w:sz="4" w:space="0" w:color="auto"/>
            </w:tcBorders>
            <w:shd w:val="clear" w:color="auto" w:fill="C6EFCE"/>
            <w:noWrap/>
          </w:tcPr>
          <w:p w14:paraId="4BA5BAEE" w14:textId="77777777" w:rsidR="00A00259" w:rsidRDefault="00371282">
            <w:pPr>
              <w:pStyle w:val="P68B1DB1-Normal55"/>
              <w:keepNext/>
              <w:spacing w:before="40" w:after="0" w:line="259" w:lineRule="auto"/>
              <w:jc w:val="both"/>
              <w:rPr>
                <w:rFonts w:eastAsia="Times New Roman" w:cs="Times New Roman"/>
                <w:bCs/>
                <w:noProof/>
                <w:szCs w:val="18"/>
              </w:rPr>
            </w:pPr>
            <w:r>
              <w:rPr>
                <w:noProof/>
              </w:rPr>
              <w:t>20 - 5. Réformes REPowerEU - 16993_Feuille de route pour des interventions innovantes en matière d’efficacité énergétique et identification de nouveaux instruments financiers</w:t>
            </w:r>
          </w:p>
        </w:tc>
        <w:tc>
          <w:tcPr>
            <w:tcW w:w="1380" w:type="dxa"/>
            <w:tcBorders>
              <w:top w:val="single" w:sz="4" w:space="0" w:color="auto"/>
              <w:left w:val="nil"/>
              <w:bottom w:val="single" w:sz="4" w:space="0" w:color="auto"/>
              <w:right w:val="single" w:sz="4" w:space="0" w:color="auto"/>
            </w:tcBorders>
            <w:shd w:val="clear" w:color="auto" w:fill="C6EFCE"/>
            <w:noWrap/>
          </w:tcPr>
          <w:p w14:paraId="30011CBF" w14:textId="77777777" w:rsidR="00A00259" w:rsidRDefault="00371282">
            <w:pPr>
              <w:pStyle w:val="P68B1DB1-Normal55"/>
              <w:keepNext/>
              <w:spacing w:before="40" w:after="0" w:line="259" w:lineRule="auto"/>
              <w:jc w:val="both"/>
              <w:rPr>
                <w:rFonts w:eastAsia="Times New Roman" w:cs="Times New Roman"/>
                <w:noProof/>
                <w:szCs w:val="18"/>
              </w:rPr>
            </w:pPr>
            <w:r>
              <w:rPr>
                <w:noProof/>
              </w:rPr>
              <w:t>Étape</w:t>
            </w:r>
          </w:p>
        </w:tc>
        <w:tc>
          <w:tcPr>
            <w:tcW w:w="2430" w:type="dxa"/>
            <w:tcBorders>
              <w:top w:val="single" w:sz="4" w:space="0" w:color="auto"/>
              <w:left w:val="nil"/>
              <w:bottom w:val="single" w:sz="4" w:space="0" w:color="auto"/>
              <w:right w:val="single" w:sz="4" w:space="0" w:color="auto"/>
            </w:tcBorders>
            <w:shd w:val="clear" w:color="auto" w:fill="C6EFCE"/>
            <w:noWrap/>
          </w:tcPr>
          <w:p w14:paraId="35B88E86" w14:textId="77777777" w:rsidR="00A00259" w:rsidRDefault="00371282">
            <w:pPr>
              <w:pStyle w:val="P68B1DB1-Normal55"/>
              <w:keepNext/>
              <w:spacing w:before="40" w:after="0" w:line="259" w:lineRule="auto"/>
              <w:jc w:val="both"/>
              <w:rPr>
                <w:rFonts w:eastAsia="Times New Roman" w:cs="Times New Roman"/>
                <w:noProof/>
                <w:szCs w:val="18"/>
              </w:rPr>
            </w:pPr>
            <w:r>
              <w:rPr>
                <w:noProof/>
              </w:rPr>
              <w:t>Lancement d'un instrument financier sans subvention</w:t>
            </w:r>
          </w:p>
        </w:tc>
      </w:tr>
      <w:tr w:rsidR="00A00259" w14:paraId="52ACDC1C" w14:textId="77777777">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8B8C48B"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4677" w:type="dxa"/>
            <w:tcBorders>
              <w:top w:val="single" w:sz="4" w:space="0" w:color="auto"/>
              <w:left w:val="nil"/>
              <w:bottom w:val="single" w:sz="4" w:space="0" w:color="auto"/>
              <w:right w:val="single" w:sz="4" w:space="0" w:color="auto"/>
            </w:tcBorders>
            <w:shd w:val="clear" w:color="auto" w:fill="C6EFCE"/>
            <w:noWrap/>
            <w:vAlign w:val="bottom"/>
          </w:tcPr>
          <w:p w14:paraId="2358D84C"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1380" w:type="dxa"/>
            <w:tcBorders>
              <w:top w:val="single" w:sz="4" w:space="0" w:color="auto"/>
              <w:left w:val="nil"/>
              <w:bottom w:val="single" w:sz="4" w:space="0" w:color="auto"/>
              <w:right w:val="single" w:sz="4" w:space="0" w:color="auto"/>
            </w:tcBorders>
            <w:shd w:val="clear" w:color="auto" w:fill="C6EFCE"/>
            <w:noWrap/>
            <w:vAlign w:val="bottom"/>
          </w:tcPr>
          <w:p w14:paraId="226EA03F" w14:textId="77777777" w:rsidR="00A00259" w:rsidRDefault="00371282">
            <w:pPr>
              <w:pStyle w:val="P68B1DB1-Normal55"/>
              <w:keepNext/>
              <w:spacing w:before="40" w:after="0" w:line="259" w:lineRule="auto"/>
              <w:jc w:val="both"/>
              <w:rPr>
                <w:rFonts w:eastAsia="Times New Roman" w:cs="Times New Roman"/>
                <w:noProof/>
                <w:szCs w:val="18"/>
              </w:rPr>
            </w:pPr>
            <w:r>
              <w:rPr>
                <w:noProof/>
              </w:rPr>
              <w:t>Montant des acomptes provisionnels</w:t>
            </w:r>
          </w:p>
        </w:tc>
        <w:tc>
          <w:tcPr>
            <w:tcW w:w="2430" w:type="dxa"/>
            <w:tcBorders>
              <w:top w:val="single" w:sz="4" w:space="0" w:color="auto"/>
              <w:left w:val="nil"/>
              <w:bottom w:val="single" w:sz="4" w:space="0" w:color="auto"/>
              <w:right w:val="single" w:sz="4" w:space="0" w:color="auto"/>
            </w:tcBorders>
            <w:shd w:val="clear" w:color="auto" w:fill="C6EFCE"/>
            <w:noWrap/>
            <w:vAlign w:val="bottom"/>
          </w:tcPr>
          <w:p w14:paraId="0906530D" w14:textId="77777777" w:rsidR="00A00259" w:rsidRDefault="00371282">
            <w:pPr>
              <w:pStyle w:val="P68B1DB1-Normal55"/>
              <w:keepNext/>
              <w:spacing w:before="40" w:after="0" w:line="259" w:lineRule="auto"/>
              <w:jc w:val="both"/>
              <w:rPr>
                <w:rFonts w:eastAsia="Times New Roman" w:cs="Times New Roman"/>
                <w:noProof/>
                <w:szCs w:val="18"/>
              </w:rPr>
            </w:pPr>
            <w:r>
              <w:rPr>
                <w:noProof/>
              </w:rPr>
              <w:t>1 696 474 735 EUR</w:t>
            </w:r>
          </w:p>
        </w:tc>
      </w:tr>
    </w:tbl>
    <w:p w14:paraId="4C84F577" w14:textId="6FF5D108" w:rsidR="00A00259" w:rsidRDefault="00A00259">
      <w:pPr>
        <w:keepNext/>
        <w:spacing w:before="40" w:after="0" w:line="259" w:lineRule="auto"/>
        <w:jc w:val="both"/>
        <w:rPr>
          <w:rFonts w:ascii="Times New Roman" w:eastAsia="Times New Roman" w:hAnsi="Times New Roman" w:cs="Times New Roman"/>
          <w:bCs/>
          <w:noProof/>
          <w:sz w:val="24"/>
          <w:szCs w:val="26"/>
        </w:rPr>
      </w:pPr>
    </w:p>
    <w:p w14:paraId="23C9A129" w14:textId="77777777" w:rsidR="00A00259" w:rsidRDefault="00371282">
      <w:pPr>
        <w:pStyle w:val="P68B1DB1-Normal5"/>
        <w:keepNext/>
        <w:numPr>
          <w:ilvl w:val="1"/>
          <w:numId w:val="93"/>
        </w:numPr>
        <w:spacing w:before="40" w:after="160" w:line="259" w:lineRule="auto"/>
        <w:ind w:left="0"/>
        <w:contextualSpacing/>
        <w:jc w:val="both"/>
        <w:rPr>
          <w:rFonts w:eastAsia="Times New Roman" w:cs="Times New Roman"/>
          <w:noProof/>
        </w:rPr>
      </w:pPr>
      <w:r>
        <w:rPr>
          <w:noProof/>
        </w:rPr>
        <w:t xml:space="preserve">Neuvième demande de paiement (aide non remboursable): </w:t>
      </w:r>
    </w:p>
    <w:p w14:paraId="09386DF3" w14:textId="77777777" w:rsidR="00A00259" w:rsidRDefault="00A00259">
      <w:pPr>
        <w:keepNext/>
        <w:spacing w:before="40" w:after="160" w:line="259" w:lineRule="auto"/>
        <w:contextualSpacing/>
        <w:jc w:val="both"/>
        <w:rPr>
          <w:rFonts w:ascii="Times New Roman" w:eastAsia="Times New Roman" w:hAnsi="Times New Roman" w:cs="Times New Roman"/>
          <w:noProof/>
          <w:sz w:val="24"/>
        </w:rPr>
      </w:pPr>
    </w:p>
    <w:tbl>
      <w:tblPr>
        <w:tblW w:w="10346" w:type="dxa"/>
        <w:jc w:val="center"/>
        <w:tblLook w:val="04A0" w:firstRow="1" w:lastRow="0" w:firstColumn="1" w:lastColumn="0" w:noHBand="0" w:noVBand="1"/>
      </w:tblPr>
      <w:tblGrid>
        <w:gridCol w:w="817"/>
        <w:gridCol w:w="4820"/>
        <w:gridCol w:w="1417"/>
        <w:gridCol w:w="3292"/>
      </w:tblGrid>
      <w:tr w:rsidR="00A00259" w14:paraId="2DCC86C5" w14:textId="77777777">
        <w:trPr>
          <w:trHeight w:val="1124"/>
          <w:tblHeader/>
          <w:jc w:val="center"/>
        </w:trPr>
        <w:tc>
          <w:tcPr>
            <w:tcW w:w="81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4DEC4C4" w14:textId="5F789824" w:rsidR="00A00259" w:rsidRDefault="00371282">
            <w:pPr>
              <w:pStyle w:val="P68B1DB1-Normal15"/>
              <w:keepNext/>
              <w:spacing w:before="40" w:after="0" w:line="256" w:lineRule="auto"/>
              <w:jc w:val="center"/>
              <w:rPr>
                <w:rFonts w:eastAsia="Times New Roman"/>
                <w:bCs/>
                <w:noProof/>
              </w:rPr>
            </w:pPr>
            <w:r>
              <w:rPr>
                <w:noProof/>
              </w:rPr>
              <w:t xml:space="preserve">Seq. </w:t>
            </w:r>
            <w:r>
              <w:rPr>
                <w:noProof/>
              </w:rPr>
              <w:br/>
              <w:t>no ²</w:t>
            </w:r>
          </w:p>
        </w:tc>
        <w:tc>
          <w:tcPr>
            <w:tcW w:w="482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12F639B" w14:textId="77777777" w:rsidR="00A00259" w:rsidRDefault="00371282">
            <w:pPr>
              <w:pStyle w:val="P68B1DB1-Normal10"/>
              <w:keepNext/>
              <w:spacing w:before="40" w:after="0" w:line="256" w:lineRule="auto"/>
              <w:jc w:val="center"/>
              <w:rPr>
                <w:rFonts w:eastAsia="Times New Roman" w:cs="Times New Roman"/>
                <w:bCs/>
                <w:noProof/>
                <w:szCs w:val="18"/>
              </w:rPr>
            </w:pPr>
            <w:r>
              <w:rPr>
                <w:noProof/>
              </w:rPr>
              <w:t>Mesure connexe (réforme ou investissement)</w:t>
            </w:r>
          </w:p>
        </w:tc>
        <w:tc>
          <w:tcPr>
            <w:tcW w:w="141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0CE0F7" w14:textId="77777777" w:rsidR="00A00259" w:rsidRDefault="00371282">
            <w:pPr>
              <w:pStyle w:val="P68B1DB1-Normal10"/>
              <w:keepNext/>
              <w:spacing w:before="40" w:after="0" w:line="256" w:lineRule="auto"/>
              <w:jc w:val="center"/>
              <w:rPr>
                <w:rFonts w:eastAsia="Times New Roman" w:cs="Times New Roman"/>
                <w:bCs/>
                <w:noProof/>
                <w:szCs w:val="18"/>
              </w:rPr>
            </w:pPr>
            <w:r>
              <w:rPr>
                <w:noProof/>
              </w:rPr>
              <w:t>Étape/cible</w:t>
            </w:r>
          </w:p>
        </w:tc>
        <w:tc>
          <w:tcPr>
            <w:tcW w:w="32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31F2B4B" w14:textId="77777777" w:rsidR="00A00259" w:rsidRDefault="00371282">
            <w:pPr>
              <w:pStyle w:val="P68B1DB1-Normal10"/>
              <w:keepNext/>
              <w:spacing w:before="40" w:after="0" w:line="256" w:lineRule="auto"/>
              <w:jc w:val="center"/>
              <w:rPr>
                <w:rFonts w:eastAsia="Times New Roman" w:cs="Times New Roman"/>
                <w:bCs/>
                <w:noProof/>
                <w:szCs w:val="18"/>
              </w:rPr>
            </w:pPr>
            <w:r>
              <w:rPr>
                <w:noProof/>
              </w:rPr>
              <w:t>Nom</w:t>
            </w:r>
          </w:p>
        </w:tc>
      </w:tr>
      <w:tr w:rsidR="00A00259" w14:paraId="5A4AA3EA"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5AFD56" w14:textId="77777777" w:rsidR="00A00259" w:rsidRDefault="00371282">
            <w:pPr>
              <w:pStyle w:val="P68B1DB1-Normal55"/>
              <w:keepNext/>
              <w:spacing w:before="40" w:after="0" w:line="240" w:lineRule="auto"/>
              <w:jc w:val="both"/>
              <w:rPr>
                <w:rFonts w:eastAsia="Times New Roman" w:cs="Times New Roman"/>
                <w:noProof/>
                <w:szCs w:val="18"/>
              </w:rPr>
            </w:pPr>
            <w:r>
              <w:rPr>
                <w:noProof/>
              </w:rPr>
              <w:t>3</w:t>
            </w:r>
          </w:p>
        </w:tc>
        <w:tc>
          <w:tcPr>
            <w:tcW w:w="482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B58C3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 1 - 1.1. 16870_Interventions pour l'interconnexion électrique des îles et les investissements dans le réseau électrique</w:t>
            </w:r>
          </w:p>
        </w:tc>
        <w:tc>
          <w:tcPr>
            <w:tcW w:w="1417" w:type="dxa"/>
            <w:tcBorders>
              <w:top w:val="single" w:sz="4" w:space="0" w:color="auto"/>
              <w:left w:val="nil"/>
              <w:bottom w:val="single" w:sz="4" w:space="0" w:color="auto"/>
              <w:right w:val="single" w:sz="4" w:space="0" w:color="auto"/>
            </w:tcBorders>
            <w:shd w:val="clear" w:color="auto" w:fill="C6EFCE"/>
            <w:noWrap/>
            <w:vAlign w:val="center"/>
            <w:hideMark/>
          </w:tcPr>
          <w:p w14:paraId="62D021F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3292" w:type="dxa"/>
            <w:tcBorders>
              <w:top w:val="single" w:sz="4" w:space="0" w:color="auto"/>
              <w:left w:val="nil"/>
              <w:bottom w:val="single" w:sz="4" w:space="0" w:color="auto"/>
              <w:right w:val="single" w:sz="4" w:space="0" w:color="auto"/>
            </w:tcBorders>
            <w:shd w:val="clear" w:color="auto" w:fill="C6EFCE"/>
            <w:noWrap/>
            <w:vAlign w:val="center"/>
            <w:hideMark/>
          </w:tcPr>
          <w:p w14:paraId="65B48B2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 xml:space="preserve">Interconnexion des îles </w:t>
            </w:r>
          </w:p>
        </w:tc>
      </w:tr>
      <w:tr w:rsidR="00A00259" w14:paraId="52B07ECF"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7F3EEA" w14:textId="77777777" w:rsidR="00A00259" w:rsidRDefault="00371282">
            <w:pPr>
              <w:pStyle w:val="P68B1DB1-Normal55"/>
              <w:keepNext/>
              <w:spacing w:before="40" w:after="0" w:line="240" w:lineRule="auto"/>
              <w:jc w:val="both"/>
              <w:rPr>
                <w:rFonts w:eastAsia="Times New Roman" w:cs="Times New Roman"/>
                <w:noProof/>
                <w:szCs w:val="18"/>
              </w:rPr>
            </w:pPr>
            <w:r>
              <w:rPr>
                <w:noProof/>
              </w:rPr>
              <w:t>15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89DA154"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1 - 1.1. 16871_Actions de revitalisation des territoires les plus touchés (Territoires de transition juste)</w:t>
            </w:r>
          </w:p>
        </w:tc>
        <w:tc>
          <w:tcPr>
            <w:tcW w:w="1417" w:type="dxa"/>
            <w:tcBorders>
              <w:top w:val="nil"/>
              <w:left w:val="nil"/>
              <w:bottom w:val="single" w:sz="4" w:space="0" w:color="auto"/>
              <w:right w:val="single" w:sz="4" w:space="0" w:color="auto"/>
            </w:tcBorders>
            <w:shd w:val="clear" w:color="auto" w:fill="C6EFCE"/>
            <w:noWrap/>
            <w:vAlign w:val="center"/>
            <w:hideMark/>
          </w:tcPr>
          <w:p w14:paraId="1242D2F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Objectif</w:t>
            </w:r>
          </w:p>
        </w:tc>
        <w:tc>
          <w:tcPr>
            <w:tcW w:w="3292" w:type="dxa"/>
            <w:tcBorders>
              <w:top w:val="nil"/>
              <w:left w:val="nil"/>
              <w:bottom w:val="single" w:sz="4" w:space="0" w:color="auto"/>
              <w:right w:val="single" w:sz="4" w:space="0" w:color="auto"/>
            </w:tcBorders>
            <w:shd w:val="clear" w:color="auto" w:fill="C6EFCE"/>
            <w:noWrap/>
            <w:vAlign w:val="center"/>
            <w:hideMark/>
          </w:tcPr>
          <w:p w14:paraId="28A4BB4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Réhabilitation des terres</w:t>
            </w:r>
          </w:p>
        </w:tc>
      </w:tr>
      <w:tr w:rsidR="00A00259" w14:paraId="0B9EF5F1"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FDAF01" w14:textId="77777777" w:rsidR="00A00259" w:rsidRDefault="00371282">
            <w:pPr>
              <w:pStyle w:val="P68B1DB1-Normal55"/>
              <w:keepNext/>
              <w:spacing w:before="40" w:after="0" w:line="240" w:lineRule="auto"/>
              <w:jc w:val="both"/>
              <w:rPr>
                <w:rFonts w:eastAsia="Times New Roman" w:cs="Times New Roman"/>
                <w:noProof/>
                <w:szCs w:val="18"/>
              </w:rPr>
            </w:pPr>
            <w:r>
              <w:rPr>
                <w:noProof/>
              </w:rPr>
              <w:t>16</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A2F911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1 - 1.1. 16926_Soutien à l'installation de systèmes de stockage pour améliorer la pénétration des SER</w:t>
            </w:r>
          </w:p>
        </w:tc>
        <w:tc>
          <w:tcPr>
            <w:tcW w:w="1417" w:type="dxa"/>
            <w:tcBorders>
              <w:top w:val="nil"/>
              <w:left w:val="nil"/>
              <w:bottom w:val="single" w:sz="4" w:space="0" w:color="auto"/>
              <w:right w:val="single" w:sz="4" w:space="0" w:color="auto"/>
            </w:tcBorders>
            <w:shd w:val="clear" w:color="auto" w:fill="C6EFCE"/>
            <w:noWrap/>
            <w:vAlign w:val="center"/>
            <w:hideMark/>
          </w:tcPr>
          <w:p w14:paraId="4DDE872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6CF4EFC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Stockage de l’énergie — stockage par batterie installé et travaux de génie civil de la station de stockage hydroélectrique pompée d’Amfilochia</w:t>
            </w:r>
          </w:p>
        </w:tc>
      </w:tr>
      <w:tr w:rsidR="00A00259" w14:paraId="55A1F51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4DD9D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18</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1AA1AC5" w14:textId="56DB1412" w:rsidR="00A00259" w:rsidRDefault="00371282">
            <w:pPr>
              <w:pStyle w:val="P68B1DB1-Normal55"/>
              <w:keepNext/>
              <w:spacing w:before="40" w:after="0" w:line="240" w:lineRule="auto"/>
              <w:jc w:val="both"/>
              <w:rPr>
                <w:rFonts w:eastAsia="Times New Roman" w:cs="Times New Roman"/>
                <w:bCs/>
                <w:noProof/>
                <w:szCs w:val="18"/>
              </w:rPr>
            </w:pPr>
            <w:r>
              <w:rPr>
                <w:noProof/>
              </w:rPr>
              <w:t>1 - 1.1. Mise à niveau du réseau 16900_HEDNO</w:t>
            </w:r>
          </w:p>
        </w:tc>
        <w:tc>
          <w:tcPr>
            <w:tcW w:w="1417" w:type="dxa"/>
            <w:tcBorders>
              <w:top w:val="nil"/>
              <w:left w:val="nil"/>
              <w:bottom w:val="single" w:sz="4" w:space="0" w:color="auto"/>
              <w:right w:val="single" w:sz="4" w:space="0" w:color="auto"/>
            </w:tcBorders>
            <w:shd w:val="clear" w:color="auto" w:fill="C6EFCE"/>
            <w:noWrap/>
            <w:vAlign w:val="center"/>
            <w:hideMark/>
          </w:tcPr>
          <w:p w14:paraId="75D1A425"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06932292" w14:textId="553EC81C" w:rsidR="00A00259" w:rsidRDefault="00371282">
            <w:pPr>
              <w:pStyle w:val="P68B1DB1-Normal55"/>
              <w:keepNext/>
              <w:spacing w:before="40" w:after="0" w:line="240" w:lineRule="auto"/>
              <w:jc w:val="both"/>
              <w:rPr>
                <w:rFonts w:eastAsia="Times New Roman" w:cs="Times New Roman"/>
                <w:noProof/>
                <w:szCs w:val="18"/>
              </w:rPr>
            </w:pPr>
            <w:r>
              <w:rPr>
                <w:noProof/>
              </w:rPr>
              <w:t>Mises à niveau du réseau HEDNO</w:t>
            </w:r>
          </w:p>
        </w:tc>
      </w:tr>
      <w:tr w:rsidR="00A00259" w14:paraId="144DB50D"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45043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FC0ACE5" w14:textId="5B63B8F3" w:rsidR="00A00259" w:rsidRPr="00D64FD7" w:rsidRDefault="00371282">
            <w:pPr>
              <w:pStyle w:val="P68B1DB1-Normal55"/>
              <w:keepNext/>
              <w:spacing w:before="40" w:after="0" w:line="240" w:lineRule="auto"/>
              <w:jc w:val="both"/>
              <w:rPr>
                <w:rFonts w:eastAsia="Times New Roman" w:cs="Times New Roman"/>
                <w:bCs/>
                <w:noProof/>
                <w:szCs w:val="18"/>
                <w:lang w:val="en-GB"/>
              </w:rPr>
            </w:pPr>
            <w:r w:rsidRPr="00D64FD7">
              <w:rPr>
                <w:noProof/>
                <w:lang w:val="en-GB"/>
              </w:rPr>
              <w:t xml:space="preserve">1 - 1.1. 16899_ Hellenic Electricity Distribution Network Operator (HEDNO) Sous-stations HV/MV </w:t>
            </w:r>
          </w:p>
        </w:tc>
        <w:tc>
          <w:tcPr>
            <w:tcW w:w="1417" w:type="dxa"/>
            <w:tcBorders>
              <w:top w:val="nil"/>
              <w:left w:val="nil"/>
              <w:bottom w:val="single" w:sz="4" w:space="0" w:color="auto"/>
              <w:right w:val="single" w:sz="4" w:space="0" w:color="auto"/>
            </w:tcBorders>
            <w:shd w:val="clear" w:color="auto" w:fill="C6EFCE"/>
            <w:noWrap/>
            <w:vAlign w:val="center"/>
            <w:hideMark/>
          </w:tcPr>
          <w:p w14:paraId="6DB59605"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6A492CEF" w14:textId="77777777" w:rsidR="00A00259" w:rsidRDefault="00371282">
            <w:pPr>
              <w:pStyle w:val="P68B1DB1-Normal11"/>
              <w:keepNext/>
              <w:spacing w:before="40" w:after="0" w:line="240" w:lineRule="auto"/>
              <w:jc w:val="both"/>
              <w:rPr>
                <w:rFonts w:eastAsia="Times New Roman" w:cs="Times New Roman"/>
                <w:noProof/>
              </w:rPr>
            </w:pPr>
            <w:r>
              <w:rPr>
                <w:noProof/>
              </w:rPr>
              <w:t>HEDNO — Sous-stations HV/MV</w:t>
            </w:r>
          </w:p>
        </w:tc>
      </w:tr>
      <w:tr w:rsidR="00A00259" w14:paraId="6DE2466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27809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26</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A7D555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2 - 1.2. Rénovation - 16872_Rénovation énergétique des bâtiments résidentiels</w:t>
            </w:r>
          </w:p>
        </w:tc>
        <w:tc>
          <w:tcPr>
            <w:tcW w:w="1417" w:type="dxa"/>
            <w:tcBorders>
              <w:top w:val="nil"/>
              <w:left w:val="nil"/>
              <w:bottom w:val="single" w:sz="4" w:space="0" w:color="auto"/>
              <w:right w:val="single" w:sz="4" w:space="0" w:color="auto"/>
            </w:tcBorders>
            <w:shd w:val="clear" w:color="auto" w:fill="C6EFCE"/>
            <w:noWrap/>
            <w:vAlign w:val="center"/>
            <w:hideMark/>
          </w:tcPr>
          <w:p w14:paraId="354073DA" w14:textId="77777777" w:rsidR="00A00259" w:rsidRDefault="00371282">
            <w:pPr>
              <w:pStyle w:val="P68B1DB1-Normal55"/>
              <w:keepNext/>
              <w:spacing w:before="40" w:after="0" w:line="240" w:lineRule="auto"/>
              <w:jc w:val="both"/>
              <w:rPr>
                <w:rFonts w:eastAsia="Times New Roman" w:cs="Times New Roman"/>
                <w:noProof/>
                <w:szCs w:val="18"/>
              </w:rPr>
            </w:pPr>
            <w:r>
              <w:rPr>
                <w:noProof/>
              </w:rPr>
              <w:t>Objectif</w:t>
            </w:r>
          </w:p>
        </w:tc>
        <w:tc>
          <w:tcPr>
            <w:tcW w:w="3292" w:type="dxa"/>
            <w:tcBorders>
              <w:top w:val="nil"/>
              <w:left w:val="nil"/>
              <w:bottom w:val="single" w:sz="4" w:space="0" w:color="auto"/>
              <w:right w:val="single" w:sz="4" w:space="0" w:color="auto"/>
            </w:tcBorders>
            <w:shd w:val="clear" w:color="auto" w:fill="C6EFCE"/>
            <w:noWrap/>
            <w:vAlign w:val="center"/>
            <w:hideMark/>
          </w:tcPr>
          <w:p w14:paraId="04A94C57" w14:textId="77777777" w:rsidR="00A00259" w:rsidRDefault="00371282">
            <w:pPr>
              <w:pStyle w:val="P68B1DB1-Normal55"/>
              <w:keepNext/>
              <w:spacing w:before="40" w:after="0" w:line="240" w:lineRule="auto"/>
              <w:jc w:val="both"/>
              <w:rPr>
                <w:rFonts w:eastAsia="Times New Roman" w:cs="Times New Roman"/>
                <w:noProof/>
                <w:szCs w:val="18"/>
              </w:rPr>
            </w:pPr>
            <w:r>
              <w:rPr>
                <w:noProof/>
              </w:rPr>
              <w:t>Rénovation résidentielle – rénovation des résidences #3</w:t>
            </w:r>
          </w:p>
        </w:tc>
      </w:tr>
      <w:tr w:rsidR="00A00259" w14:paraId="4A6F15F2"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B48C8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557F00A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2 - 1.2. 16879_Préparation des plans urbains dans le cadre de la mise en œuvre de la réforme de la politique urbaine</w:t>
            </w:r>
          </w:p>
        </w:tc>
        <w:tc>
          <w:tcPr>
            <w:tcW w:w="1417" w:type="dxa"/>
            <w:tcBorders>
              <w:top w:val="nil"/>
              <w:left w:val="nil"/>
              <w:bottom w:val="single" w:sz="4" w:space="0" w:color="auto"/>
              <w:right w:val="single" w:sz="4" w:space="0" w:color="auto"/>
            </w:tcBorders>
            <w:shd w:val="clear" w:color="auto" w:fill="C6EFCE"/>
            <w:noWrap/>
            <w:vAlign w:val="center"/>
            <w:hideMark/>
          </w:tcPr>
          <w:p w14:paraId="04493E65"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08EB6ADB"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Étapes préparatoires des plans d'urbanisme</w:t>
            </w:r>
          </w:p>
        </w:tc>
      </w:tr>
      <w:tr w:rsidR="00A00259" w14:paraId="27EC16B8"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A9BC3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30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4A6082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2 - 1.2. 16894_Établissement d'un nouvel aménagement spécial de l'espace pour les SER, l'industrie et le tourisme</w:t>
            </w:r>
          </w:p>
        </w:tc>
        <w:tc>
          <w:tcPr>
            <w:tcW w:w="1417" w:type="dxa"/>
            <w:tcBorders>
              <w:top w:val="nil"/>
              <w:left w:val="nil"/>
              <w:bottom w:val="single" w:sz="4" w:space="0" w:color="auto"/>
              <w:right w:val="single" w:sz="4" w:space="0" w:color="auto"/>
            </w:tcBorders>
            <w:shd w:val="clear" w:color="auto" w:fill="C6EFCE"/>
            <w:noWrap/>
            <w:vAlign w:val="center"/>
            <w:hideMark/>
          </w:tcPr>
          <w:p w14:paraId="5094BF20"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75751679" w14:textId="77777777" w:rsidR="00A00259" w:rsidRDefault="00371282">
            <w:pPr>
              <w:pStyle w:val="P68B1DB1-Normal55"/>
              <w:keepNext/>
              <w:spacing w:before="40" w:after="0" w:line="240" w:lineRule="auto"/>
              <w:jc w:val="both"/>
              <w:rPr>
                <w:rFonts w:eastAsia="Times New Roman" w:cs="Times New Roman"/>
                <w:noProof/>
                <w:szCs w:val="18"/>
              </w:rPr>
            </w:pPr>
            <w:r>
              <w:rPr>
                <w:noProof/>
              </w:rPr>
              <w:t>Adoption de cadres spatiaux spéciaux</w:t>
            </w:r>
          </w:p>
        </w:tc>
      </w:tr>
      <w:tr w:rsidR="00A00259" w14:paraId="63BDC01E"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3066F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36</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6E9D3B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2 - 1.2. Rénover - 16874_Énergie et entrepreneuriat</w:t>
            </w:r>
          </w:p>
        </w:tc>
        <w:tc>
          <w:tcPr>
            <w:tcW w:w="1417" w:type="dxa"/>
            <w:tcBorders>
              <w:top w:val="nil"/>
              <w:left w:val="nil"/>
              <w:bottom w:val="single" w:sz="4" w:space="0" w:color="auto"/>
              <w:right w:val="single" w:sz="4" w:space="0" w:color="auto"/>
            </w:tcBorders>
            <w:shd w:val="clear" w:color="auto" w:fill="C6EFCE"/>
            <w:noWrap/>
            <w:vAlign w:val="center"/>
            <w:hideMark/>
          </w:tcPr>
          <w:p w14:paraId="536BD4BE" w14:textId="77777777" w:rsidR="00A00259" w:rsidRDefault="00371282">
            <w:pPr>
              <w:pStyle w:val="P68B1DB1-Normal55"/>
              <w:keepNext/>
              <w:spacing w:before="40" w:after="0" w:line="240" w:lineRule="auto"/>
              <w:jc w:val="both"/>
              <w:rPr>
                <w:rFonts w:eastAsia="Times New Roman" w:cs="Times New Roman"/>
                <w:noProof/>
                <w:szCs w:val="18"/>
              </w:rPr>
            </w:pPr>
            <w:r>
              <w:rPr>
                <w:noProof/>
              </w:rPr>
              <w:t>Objectif</w:t>
            </w:r>
          </w:p>
        </w:tc>
        <w:tc>
          <w:tcPr>
            <w:tcW w:w="3292" w:type="dxa"/>
            <w:tcBorders>
              <w:top w:val="nil"/>
              <w:left w:val="nil"/>
              <w:bottom w:val="single" w:sz="4" w:space="0" w:color="auto"/>
              <w:right w:val="single" w:sz="4" w:space="0" w:color="auto"/>
            </w:tcBorders>
            <w:shd w:val="clear" w:color="auto" w:fill="C6EFCE"/>
            <w:noWrap/>
            <w:vAlign w:val="center"/>
            <w:hideMark/>
          </w:tcPr>
          <w:p w14:paraId="6ACD5EE1" w14:textId="77777777" w:rsidR="00A00259" w:rsidRDefault="00371282">
            <w:pPr>
              <w:pStyle w:val="P68B1DB1-Normal55"/>
              <w:keepNext/>
              <w:spacing w:before="40" w:after="0" w:line="240" w:lineRule="auto"/>
              <w:jc w:val="both"/>
              <w:rPr>
                <w:rFonts w:eastAsia="Times New Roman" w:cs="Times New Roman"/>
                <w:noProof/>
                <w:szCs w:val="18"/>
              </w:rPr>
            </w:pPr>
            <w:r>
              <w:rPr>
                <w:noProof/>
              </w:rPr>
              <w:t>Efficacité énergétique du secteur privé</w:t>
            </w:r>
          </w:p>
        </w:tc>
      </w:tr>
      <w:tr w:rsidR="00A00259" w14:paraId="274B77E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802BC6" w14:textId="77777777" w:rsidR="00A00259" w:rsidRDefault="00371282">
            <w:pPr>
              <w:pStyle w:val="P68B1DB1-Normal55"/>
              <w:keepNext/>
              <w:spacing w:before="40" w:after="0" w:line="240" w:lineRule="auto"/>
              <w:jc w:val="both"/>
              <w:rPr>
                <w:rFonts w:cs="Times New Roman"/>
                <w:noProof/>
                <w:szCs w:val="18"/>
              </w:rPr>
            </w:pPr>
            <w:r>
              <w:rPr>
                <w:noProof/>
              </w:rPr>
              <w:t>39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D1BFB7C" w14:textId="77777777" w:rsidR="00A00259" w:rsidRDefault="00371282">
            <w:pPr>
              <w:pStyle w:val="P68B1DB1-Normal55"/>
              <w:keepNext/>
              <w:spacing w:before="40" w:after="0" w:line="240" w:lineRule="auto"/>
              <w:jc w:val="both"/>
              <w:rPr>
                <w:rFonts w:cs="Times New Roman"/>
                <w:noProof/>
                <w:szCs w:val="18"/>
              </w:rPr>
            </w:pPr>
            <w:r>
              <w:rPr>
                <w:noProof/>
              </w:rPr>
              <w:t>2 - 1.2. 16932_Centre olympique d'athlétisme d'Athènes</w:t>
            </w:r>
          </w:p>
        </w:tc>
        <w:tc>
          <w:tcPr>
            <w:tcW w:w="1417" w:type="dxa"/>
            <w:tcBorders>
              <w:top w:val="nil"/>
              <w:left w:val="nil"/>
              <w:bottom w:val="single" w:sz="4" w:space="0" w:color="auto"/>
              <w:right w:val="single" w:sz="4" w:space="0" w:color="auto"/>
            </w:tcBorders>
            <w:shd w:val="clear" w:color="auto" w:fill="C6EFCE"/>
            <w:noWrap/>
            <w:vAlign w:val="center"/>
            <w:hideMark/>
          </w:tcPr>
          <w:p w14:paraId="258B9280" w14:textId="77777777" w:rsidR="00A00259" w:rsidRDefault="00371282">
            <w:pPr>
              <w:pStyle w:val="P68B1DB1-Normal55"/>
              <w:keepNext/>
              <w:spacing w:before="40" w:after="0" w:line="240" w:lineRule="auto"/>
              <w:jc w:val="both"/>
              <w:rPr>
                <w:rFonts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767FFE4B" w14:textId="77777777" w:rsidR="00A00259" w:rsidRDefault="00371282">
            <w:pPr>
              <w:pStyle w:val="P68B1DB1-Normal55"/>
              <w:keepNext/>
              <w:spacing w:before="40" w:after="0" w:line="240" w:lineRule="auto"/>
              <w:jc w:val="both"/>
              <w:rPr>
                <w:rFonts w:cs="Times New Roman"/>
                <w:noProof/>
                <w:szCs w:val="18"/>
              </w:rPr>
            </w:pPr>
            <w:r>
              <w:rPr>
                <w:noProof/>
              </w:rPr>
              <w:t>OAKA – Exécution des travaux</w:t>
            </w:r>
          </w:p>
        </w:tc>
      </w:tr>
      <w:tr w:rsidR="00A00259" w14:paraId="1630FC7B"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42888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47D10D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2 - 1.2. Rénover - 16873_ - Interventions dans les zones résidentielles et dans le parc immobilier</w:t>
            </w:r>
          </w:p>
        </w:tc>
        <w:tc>
          <w:tcPr>
            <w:tcW w:w="1417" w:type="dxa"/>
            <w:tcBorders>
              <w:top w:val="nil"/>
              <w:left w:val="nil"/>
              <w:bottom w:val="single" w:sz="4" w:space="0" w:color="auto"/>
              <w:right w:val="single" w:sz="4" w:space="0" w:color="auto"/>
            </w:tcBorders>
            <w:shd w:val="clear" w:color="auto" w:fill="C6EFCE"/>
            <w:noWrap/>
            <w:vAlign w:val="center"/>
            <w:hideMark/>
          </w:tcPr>
          <w:p w14:paraId="3CFCDC5B"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4B9E6261" w14:textId="77777777" w:rsidR="00A00259" w:rsidRDefault="00371282">
            <w:pPr>
              <w:pStyle w:val="P68B1DB1-Normal36"/>
              <w:keepNext/>
              <w:spacing w:before="40" w:after="0" w:line="240" w:lineRule="auto"/>
              <w:jc w:val="both"/>
              <w:rPr>
                <w:rFonts w:ascii="Times New Roman" w:eastAsia="Times New Roman" w:hAnsi="Times New Roman" w:cs="Times New Roman"/>
                <w:noProof/>
                <w:szCs w:val="18"/>
              </w:rPr>
            </w:pPr>
            <w:r>
              <w:rPr>
                <w:rFonts w:ascii="Times New Roman" w:hAnsi="Times New Roman"/>
                <w:noProof/>
              </w:rPr>
              <w:t>Interventions urbaines –</w:t>
            </w:r>
            <w:r>
              <w:rPr>
                <w:rFonts w:ascii="Times New Roman" w:hAnsi="Times New Roman" w:cs="Times New Roman"/>
                <w:noProof/>
                <w:color w:val="A4262C"/>
                <w:szCs w:val="18"/>
                <w:bdr w:val="none" w:sz="0" w:space="0" w:color="auto" w:frame="1"/>
              </w:rPr>
              <w:t xml:space="preserve"> </w:t>
            </w:r>
            <w:r>
              <w:rPr>
                <w:rFonts w:ascii="Times New Roman" w:hAnsi="Times New Roman"/>
                <w:noProof/>
              </w:rPr>
              <w:t>Exécution des travaux</w:t>
            </w:r>
          </w:p>
        </w:tc>
      </w:tr>
      <w:tr w:rsidR="00A00259" w14:paraId="253D4329"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52BAF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41</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0DBB674"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2 - 1.2. Rénover - 16875_Aménagement des infrastructures et restauration des bâtiments dans l’ancien domaine royal de Tatoi</w:t>
            </w:r>
          </w:p>
        </w:tc>
        <w:tc>
          <w:tcPr>
            <w:tcW w:w="1417" w:type="dxa"/>
            <w:tcBorders>
              <w:top w:val="nil"/>
              <w:left w:val="nil"/>
              <w:bottom w:val="single" w:sz="4" w:space="0" w:color="auto"/>
              <w:right w:val="single" w:sz="4" w:space="0" w:color="auto"/>
            </w:tcBorders>
            <w:shd w:val="clear" w:color="auto" w:fill="C6EFCE"/>
            <w:noWrap/>
            <w:vAlign w:val="center"/>
            <w:hideMark/>
          </w:tcPr>
          <w:p w14:paraId="77F34B71"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4BA21CF2" w14:textId="77777777" w:rsidR="00A00259" w:rsidRDefault="00371282">
            <w:pPr>
              <w:pStyle w:val="P68B1DB1-Normal55"/>
              <w:keepNext/>
              <w:spacing w:before="40" w:after="0" w:line="240" w:lineRule="auto"/>
              <w:jc w:val="both"/>
              <w:rPr>
                <w:rFonts w:eastAsia="Times New Roman" w:cs="Times New Roman"/>
                <w:noProof/>
                <w:szCs w:val="18"/>
              </w:rPr>
            </w:pPr>
            <w:r>
              <w:rPr>
                <w:noProof/>
              </w:rPr>
              <w:t>Tatoi – restauré</w:t>
            </w:r>
          </w:p>
        </w:tc>
      </w:tr>
      <w:tr w:rsidR="00A00259" w14:paraId="1849F8EB"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464E2B" w14:textId="77777777" w:rsidR="00A00259" w:rsidRDefault="00371282">
            <w:pPr>
              <w:pStyle w:val="P68B1DB1-Normal55"/>
              <w:keepNext/>
              <w:spacing w:before="40" w:after="0" w:line="240" w:lineRule="auto"/>
              <w:jc w:val="both"/>
              <w:rPr>
                <w:noProof/>
              </w:rPr>
            </w:pPr>
            <w:r>
              <w:rPr>
                <w:noProof/>
              </w:rPr>
              <w:t>52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6318C08" w14:textId="77777777" w:rsidR="00A00259" w:rsidRDefault="00371282">
            <w:pPr>
              <w:pStyle w:val="P68B1DB1-Normal55"/>
              <w:keepNext/>
              <w:spacing w:before="40" w:after="0" w:line="240" w:lineRule="auto"/>
              <w:jc w:val="both"/>
              <w:rPr>
                <w:noProof/>
              </w:rPr>
            </w:pPr>
            <w:r>
              <w:rPr>
                <w:noProof/>
              </w:rPr>
              <w:t>3 - 1.3. Recharge et ravitaillement - 16924_ Electromobility</w:t>
            </w:r>
          </w:p>
        </w:tc>
        <w:tc>
          <w:tcPr>
            <w:tcW w:w="1417" w:type="dxa"/>
            <w:tcBorders>
              <w:top w:val="nil"/>
              <w:left w:val="nil"/>
              <w:bottom w:val="single" w:sz="4" w:space="0" w:color="auto"/>
              <w:right w:val="single" w:sz="4" w:space="0" w:color="auto"/>
            </w:tcBorders>
            <w:shd w:val="clear" w:color="auto" w:fill="C6EFCE"/>
            <w:noWrap/>
            <w:vAlign w:val="center"/>
            <w:hideMark/>
          </w:tcPr>
          <w:p w14:paraId="25D5E287" w14:textId="77777777" w:rsidR="00A00259" w:rsidRDefault="00371282">
            <w:pPr>
              <w:pStyle w:val="P68B1DB1-Normal55"/>
              <w:keepNext/>
              <w:spacing w:before="40" w:after="0" w:line="240" w:lineRule="auto"/>
              <w:jc w:val="both"/>
              <w:rPr>
                <w:noProof/>
              </w:rPr>
            </w:pPr>
            <w:r>
              <w:rPr>
                <w:noProof/>
              </w:rPr>
              <w:t>Objectif</w:t>
            </w:r>
          </w:p>
        </w:tc>
        <w:tc>
          <w:tcPr>
            <w:tcW w:w="3292" w:type="dxa"/>
            <w:tcBorders>
              <w:top w:val="nil"/>
              <w:left w:val="nil"/>
              <w:bottom w:val="single" w:sz="4" w:space="0" w:color="auto"/>
              <w:right w:val="single" w:sz="4" w:space="0" w:color="auto"/>
            </w:tcBorders>
            <w:shd w:val="clear" w:color="auto" w:fill="C6EFCE"/>
            <w:noWrap/>
            <w:vAlign w:val="center"/>
            <w:hideMark/>
          </w:tcPr>
          <w:p w14:paraId="196023CC" w14:textId="54358F1E" w:rsidR="00A00259" w:rsidRDefault="00371282">
            <w:pPr>
              <w:pStyle w:val="P68B1DB1-Normal55"/>
              <w:keepNext/>
              <w:spacing w:before="40" w:after="0" w:line="240" w:lineRule="auto"/>
              <w:jc w:val="both"/>
              <w:rPr>
                <w:noProof/>
              </w:rPr>
            </w:pPr>
            <w:r>
              <w:rPr>
                <w:noProof/>
              </w:rPr>
              <w:t>Autobus – remplacement par des autobus électriques et entrée en vigueur des dispositions juridiques relatives à la propriété de l’Organisation des transports urbains de Thessalonique (OASTH)</w:t>
            </w:r>
          </w:p>
        </w:tc>
      </w:tr>
      <w:tr w:rsidR="00A00259" w14:paraId="17BA2576"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DEFE8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53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DD6580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3 - 1.3. Recharge et ravitaillement - 16831_Produc- E Green</w:t>
            </w:r>
          </w:p>
        </w:tc>
        <w:tc>
          <w:tcPr>
            <w:tcW w:w="1417" w:type="dxa"/>
            <w:tcBorders>
              <w:top w:val="nil"/>
              <w:left w:val="nil"/>
              <w:bottom w:val="single" w:sz="4" w:space="0" w:color="auto"/>
              <w:right w:val="single" w:sz="4" w:space="0" w:color="auto"/>
            </w:tcBorders>
            <w:shd w:val="clear" w:color="auto" w:fill="C6EFCE"/>
            <w:noWrap/>
            <w:vAlign w:val="center"/>
            <w:hideMark/>
          </w:tcPr>
          <w:p w14:paraId="32FB0098"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6252A614" w14:textId="0CF47A84" w:rsidR="00A00259" w:rsidRDefault="00371282">
            <w:pPr>
              <w:pStyle w:val="P68B1DB1-Normal58"/>
              <w:keepNext/>
              <w:spacing w:before="40" w:after="0" w:line="240" w:lineRule="auto"/>
              <w:jc w:val="both"/>
              <w:rPr>
                <w:noProof/>
              </w:rPr>
            </w:pPr>
            <w:r>
              <w:rPr>
                <w:noProof/>
              </w:rPr>
              <w:t>CSC – Plateforme et approbation des autorisations</w:t>
            </w:r>
          </w:p>
        </w:tc>
      </w:tr>
      <w:tr w:rsidR="00A00259" w14:paraId="3FFA3D22"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3BCB5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54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FF4167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3 - 1.3. Recharge et ravitaillement – 16831_Produc- E Green</w:t>
            </w:r>
          </w:p>
        </w:tc>
        <w:tc>
          <w:tcPr>
            <w:tcW w:w="1417" w:type="dxa"/>
            <w:tcBorders>
              <w:top w:val="nil"/>
              <w:left w:val="nil"/>
              <w:bottom w:val="single" w:sz="4" w:space="0" w:color="auto"/>
              <w:right w:val="single" w:sz="4" w:space="0" w:color="auto"/>
            </w:tcBorders>
            <w:shd w:val="clear" w:color="auto" w:fill="C6EFCE"/>
            <w:noWrap/>
            <w:vAlign w:val="center"/>
            <w:hideMark/>
          </w:tcPr>
          <w:p w14:paraId="720F32AA"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4C17969F" w14:textId="77777777" w:rsidR="00A00259" w:rsidRDefault="00371282">
            <w:pPr>
              <w:pStyle w:val="P68B1DB1-Normal55"/>
              <w:keepNext/>
              <w:spacing w:before="40" w:after="0" w:line="240" w:lineRule="auto"/>
              <w:jc w:val="both"/>
              <w:rPr>
                <w:rFonts w:eastAsia="Times New Roman" w:cs="Times New Roman"/>
                <w:noProof/>
                <w:szCs w:val="18"/>
              </w:rPr>
            </w:pPr>
            <w:r>
              <w:rPr>
                <w:noProof/>
              </w:rPr>
              <w:t xml:space="preserve">Unités industrielles – achèvement des travaux de construction et installation des équipements </w:t>
            </w:r>
          </w:p>
        </w:tc>
      </w:tr>
      <w:tr w:rsidR="00A00259" w14:paraId="2866FC93"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08265A" w14:textId="77777777" w:rsidR="00A00259" w:rsidRDefault="00371282">
            <w:pPr>
              <w:pStyle w:val="P68B1DB1-Normal55"/>
              <w:keepNext/>
              <w:spacing w:before="40" w:after="0" w:line="240" w:lineRule="auto"/>
              <w:jc w:val="both"/>
              <w:rPr>
                <w:noProof/>
              </w:rPr>
            </w:pPr>
            <w:r>
              <w:rPr>
                <w:noProof/>
              </w:rPr>
              <w:t>59a</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9B44535" w14:textId="77777777" w:rsidR="00A00259" w:rsidRDefault="00371282">
            <w:pPr>
              <w:pStyle w:val="P68B1DB1-Normal11"/>
              <w:keepNext/>
              <w:spacing w:before="40" w:after="0" w:line="240" w:lineRule="auto"/>
              <w:jc w:val="both"/>
              <w:rPr>
                <w:noProof/>
              </w:rPr>
            </w:pPr>
            <w:r>
              <w:rPr>
                <w:noProof/>
              </w:rPr>
              <w:t>4- 1.4. «Utilisation durable des ressources, résilience au changement climatique et protection de l'environnement» - 16772_Loi sur la gestion des déchets pour une mise en décharge et un recyclage durables</w:t>
            </w:r>
          </w:p>
        </w:tc>
        <w:tc>
          <w:tcPr>
            <w:tcW w:w="1417" w:type="dxa"/>
            <w:tcBorders>
              <w:top w:val="nil"/>
              <w:left w:val="nil"/>
              <w:bottom w:val="single" w:sz="4" w:space="0" w:color="auto"/>
              <w:right w:val="single" w:sz="4" w:space="0" w:color="auto"/>
            </w:tcBorders>
            <w:shd w:val="clear" w:color="auto" w:fill="C6EFCE"/>
            <w:noWrap/>
            <w:vAlign w:val="center"/>
            <w:hideMark/>
          </w:tcPr>
          <w:p w14:paraId="33CFB522" w14:textId="77777777" w:rsidR="00A00259" w:rsidRDefault="00371282">
            <w:pPr>
              <w:pStyle w:val="P68B1DB1-Normal55"/>
              <w:keepNext/>
              <w:spacing w:before="40" w:after="0" w:line="240" w:lineRule="auto"/>
              <w:jc w:val="both"/>
              <w:rPr>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426499A4" w14:textId="466DC264" w:rsidR="00A00259" w:rsidRDefault="00371282">
            <w:pPr>
              <w:pStyle w:val="P68B1DB1-Normal49"/>
              <w:keepNext/>
              <w:spacing w:before="40" w:after="0" w:line="240" w:lineRule="auto"/>
              <w:jc w:val="both"/>
              <w:rPr>
                <w:rFonts w:ascii="Times New Roman" w:hAnsi="Times New Roman"/>
                <w:noProof/>
              </w:rPr>
            </w:pPr>
            <w:r>
              <w:rPr>
                <w:rFonts w:ascii="Times New Roman" w:eastAsia="Times New Roman" w:hAnsi="Times New Roman" w:cs="Times New Roman"/>
                <w:noProof/>
                <w:color w:val="212121"/>
              </w:rPr>
              <w:t>Évaluation de l’adéquation managériale</w:t>
            </w:r>
            <w:r>
              <w:rPr>
                <w:rFonts w:ascii="Times New Roman" w:hAnsi="Times New Roman"/>
                <w:noProof/>
              </w:rPr>
              <w:t xml:space="preserve"> des organismes de gestion des déchets solides par l’autorité de régulation</w:t>
            </w:r>
          </w:p>
        </w:tc>
      </w:tr>
      <w:tr w:rsidR="00A00259" w14:paraId="2B11635D"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F45EA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6DF2E6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4 - 1.4. «Utilisation durable des ressources, résilience au changement climatique et protection de l’environnement» - 16849_Plan national de reboisement, mesures de restauration et de prévention («antiNERO»), mesures de lutte contre l’érosion et les inondations</w:t>
            </w:r>
          </w:p>
        </w:tc>
        <w:tc>
          <w:tcPr>
            <w:tcW w:w="1417" w:type="dxa"/>
            <w:tcBorders>
              <w:top w:val="nil"/>
              <w:left w:val="nil"/>
              <w:bottom w:val="single" w:sz="4" w:space="0" w:color="auto"/>
              <w:right w:val="single" w:sz="4" w:space="0" w:color="auto"/>
            </w:tcBorders>
            <w:shd w:val="clear" w:color="auto" w:fill="C6EFCE"/>
            <w:noWrap/>
            <w:vAlign w:val="center"/>
            <w:hideMark/>
          </w:tcPr>
          <w:p w14:paraId="1B046FE0"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1444B646" w14:textId="77777777" w:rsidR="00A00259" w:rsidRDefault="00371282">
            <w:pPr>
              <w:pStyle w:val="P68B1DB1-Normal55"/>
              <w:keepNext/>
              <w:spacing w:before="40" w:after="0" w:line="240" w:lineRule="auto"/>
              <w:jc w:val="both"/>
              <w:rPr>
                <w:rFonts w:eastAsia="Times New Roman" w:cs="Times New Roman"/>
                <w:noProof/>
                <w:szCs w:val="18"/>
              </w:rPr>
            </w:pPr>
            <w:r>
              <w:rPr>
                <w:noProof/>
              </w:rPr>
              <w:t>Reboisement, restauration et prévention - exécution</w:t>
            </w:r>
          </w:p>
        </w:tc>
      </w:tr>
      <w:tr w:rsidR="00A00259" w14:paraId="31149B1E"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1DA8A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DDBB52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4 - 1.4. Utilisation durable des ressources, résilience au changement climatique et protection de l'environnement - 16851_La protection de la biodiversité en tant que moteur de la croissance durable</w:t>
            </w:r>
          </w:p>
        </w:tc>
        <w:tc>
          <w:tcPr>
            <w:tcW w:w="1417" w:type="dxa"/>
            <w:tcBorders>
              <w:top w:val="nil"/>
              <w:left w:val="nil"/>
              <w:bottom w:val="single" w:sz="4" w:space="0" w:color="auto"/>
              <w:right w:val="single" w:sz="4" w:space="0" w:color="auto"/>
            </w:tcBorders>
            <w:shd w:val="clear" w:color="auto" w:fill="C6EFCE"/>
            <w:noWrap/>
            <w:vAlign w:val="center"/>
            <w:hideMark/>
          </w:tcPr>
          <w:p w14:paraId="20C28D7D"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62BABDEA" w14:textId="77777777" w:rsidR="00A00259" w:rsidRDefault="00371282">
            <w:pPr>
              <w:pStyle w:val="P68B1DB1-Normal55"/>
              <w:keepNext/>
              <w:spacing w:before="40" w:after="0" w:line="240" w:lineRule="auto"/>
              <w:jc w:val="both"/>
              <w:rPr>
                <w:rFonts w:eastAsia="Times New Roman" w:cs="Times New Roman"/>
                <w:noProof/>
                <w:szCs w:val="18"/>
              </w:rPr>
            </w:pPr>
            <w:r>
              <w:rPr>
                <w:noProof/>
              </w:rPr>
              <w:t>Biodiversité</w:t>
            </w:r>
          </w:p>
        </w:tc>
      </w:tr>
      <w:tr w:rsidR="00A00259" w14:paraId="4BC65E9B"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8F90F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73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4B8F6A5" w14:textId="7BC74453" w:rsidR="00A00259" w:rsidRDefault="00371282">
            <w:pPr>
              <w:pStyle w:val="P68B1DB1-Normal11"/>
              <w:keepNext/>
              <w:spacing w:before="40" w:after="0" w:line="240" w:lineRule="auto"/>
              <w:jc w:val="both"/>
              <w:rPr>
                <w:noProof/>
              </w:rPr>
            </w:pPr>
            <w:r>
              <w:rPr>
                <w:noProof/>
              </w:rPr>
              <w:t>4 - 1.4. Utilisation durable des ressources, résilience au changement climatique et protection de l'environnement - 16846_ Infrastructures de gestion des eaux urbaines résiduaires et des boues et achat d'équipements municipaux de gestion des déchets</w:t>
            </w:r>
          </w:p>
        </w:tc>
        <w:tc>
          <w:tcPr>
            <w:tcW w:w="1417" w:type="dxa"/>
            <w:tcBorders>
              <w:top w:val="nil"/>
              <w:left w:val="nil"/>
              <w:bottom w:val="single" w:sz="4" w:space="0" w:color="auto"/>
              <w:right w:val="single" w:sz="4" w:space="0" w:color="auto"/>
            </w:tcBorders>
            <w:shd w:val="clear" w:color="auto" w:fill="C6EFCE"/>
            <w:noWrap/>
            <w:vAlign w:val="center"/>
            <w:hideMark/>
          </w:tcPr>
          <w:p w14:paraId="26DB0AA9" w14:textId="77777777" w:rsidR="00A00259" w:rsidRDefault="00371282">
            <w:pPr>
              <w:pStyle w:val="P68B1DB1-Normal11"/>
              <w:keepNext/>
              <w:spacing w:before="40" w:after="0" w:line="240" w:lineRule="auto"/>
              <w:jc w:val="both"/>
              <w:rPr>
                <w:rFonts w:eastAsia="Times New Roman" w:cs="Times New Roman"/>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3C34AC64" w14:textId="77777777" w:rsidR="00A00259" w:rsidRDefault="00371282">
            <w:pPr>
              <w:pStyle w:val="P68B1DB1-Normal11"/>
              <w:keepNext/>
              <w:spacing w:before="40" w:after="0" w:line="240" w:lineRule="auto"/>
              <w:jc w:val="both"/>
              <w:rPr>
                <w:rFonts w:eastAsia="Times New Roman" w:cs="Times New Roman"/>
                <w:noProof/>
              </w:rPr>
            </w:pPr>
            <w:r>
              <w:rPr>
                <w:noProof/>
              </w:rPr>
              <w:t>Construction d'infrastructures de gestion des eaux urbaines résiduaires et des boues</w:t>
            </w:r>
          </w:p>
        </w:tc>
      </w:tr>
      <w:tr w:rsidR="00A00259" w14:paraId="4D6E80A8"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122B55" w14:textId="0B4DA56B" w:rsidR="00A00259" w:rsidRDefault="00371282">
            <w:pPr>
              <w:pStyle w:val="P68B1DB1-Normal11"/>
              <w:keepNext/>
              <w:spacing w:before="40" w:after="0" w:line="240" w:lineRule="auto"/>
              <w:jc w:val="both"/>
              <w:rPr>
                <w:rFonts w:eastAsia="Times New Roman" w:cs="Times New Roman"/>
                <w:noProof/>
              </w:rPr>
            </w:pPr>
            <w:r>
              <w:rPr>
                <w:noProof/>
              </w:rPr>
              <w:t xml:space="preserve">73 bis </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D9BE80D" w14:textId="7AC49B41" w:rsidR="00A00259" w:rsidRDefault="00371282">
            <w:pPr>
              <w:pStyle w:val="P68B1DB1-Normal11"/>
              <w:spacing w:line="240" w:lineRule="auto"/>
              <w:jc w:val="both"/>
              <w:rPr>
                <w:noProof/>
              </w:rPr>
            </w:pPr>
            <w:r>
              <w:rPr>
                <w:noProof/>
              </w:rPr>
              <w:t>4 - 1.4. Utilisation durable des ressources, résilience au changement climatique et protection de l'environnement - 16846_ Infrastructures de gestion des eaux urbaines résiduaires et des boues et achat d'équipements municipaux de gestion des déchets</w:t>
            </w:r>
          </w:p>
        </w:tc>
        <w:tc>
          <w:tcPr>
            <w:tcW w:w="1417" w:type="dxa"/>
            <w:tcBorders>
              <w:top w:val="nil"/>
              <w:left w:val="nil"/>
              <w:bottom w:val="single" w:sz="4" w:space="0" w:color="auto"/>
              <w:right w:val="single" w:sz="4" w:space="0" w:color="auto"/>
            </w:tcBorders>
            <w:shd w:val="clear" w:color="auto" w:fill="C6EFCE"/>
            <w:noWrap/>
            <w:vAlign w:val="center"/>
            <w:hideMark/>
          </w:tcPr>
          <w:p w14:paraId="497699F8" w14:textId="10D3626E" w:rsidR="00A00259" w:rsidRDefault="00371282">
            <w:pPr>
              <w:pStyle w:val="P68B1DB1-Normal11"/>
              <w:spacing w:line="240" w:lineRule="auto"/>
              <w:jc w:val="both"/>
              <w:rPr>
                <w:noProof/>
              </w:rPr>
            </w:pPr>
            <w:r>
              <w:rPr>
                <w:noProof/>
              </w:rPr>
              <w:t>Objectif</w:t>
            </w:r>
          </w:p>
        </w:tc>
        <w:tc>
          <w:tcPr>
            <w:tcW w:w="3292" w:type="dxa"/>
            <w:tcBorders>
              <w:top w:val="nil"/>
              <w:left w:val="nil"/>
              <w:bottom w:val="single" w:sz="4" w:space="0" w:color="auto"/>
              <w:right w:val="single" w:sz="4" w:space="0" w:color="auto"/>
            </w:tcBorders>
            <w:shd w:val="clear" w:color="auto" w:fill="C6EFCE"/>
            <w:noWrap/>
            <w:vAlign w:val="center"/>
            <w:hideMark/>
          </w:tcPr>
          <w:p w14:paraId="059CCD99" w14:textId="191F65F0" w:rsidR="00A00259" w:rsidRDefault="00371282">
            <w:pPr>
              <w:pStyle w:val="P68B1DB1-Normal11"/>
              <w:spacing w:line="240" w:lineRule="auto"/>
              <w:jc w:val="both"/>
              <w:rPr>
                <w:noProof/>
              </w:rPr>
            </w:pPr>
            <w:r>
              <w:rPr>
                <w:noProof/>
              </w:rPr>
              <w:t>Achat de 130 véhicules électriques de collecte des déchets</w:t>
            </w:r>
          </w:p>
        </w:tc>
      </w:tr>
      <w:tr w:rsidR="00A00259" w14:paraId="5ED6FD48"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2837D4" w14:textId="7BC8345C" w:rsidR="00A00259" w:rsidRDefault="00371282">
            <w:pPr>
              <w:pStyle w:val="P68B1DB1-Normal11"/>
              <w:keepNext/>
              <w:spacing w:before="40" w:after="0" w:line="240" w:lineRule="auto"/>
              <w:jc w:val="both"/>
              <w:rPr>
                <w:rFonts w:eastAsia="Times New Roman" w:cs="Times New Roman"/>
                <w:bCs/>
                <w:noProof/>
              </w:rPr>
            </w:pPr>
            <w:r>
              <w:rPr>
                <w:noProof/>
              </w:rPr>
              <w:t>74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5F2797C" w14:textId="0861E82D" w:rsidR="00A00259" w:rsidRDefault="00371282">
            <w:pPr>
              <w:pStyle w:val="P68B1DB1-Normal55"/>
              <w:keepNext/>
              <w:spacing w:before="40" w:after="0" w:line="240" w:lineRule="auto"/>
              <w:jc w:val="both"/>
              <w:rPr>
                <w:rFonts w:eastAsia="Times New Roman" w:cs="Times New Roman"/>
                <w:bCs/>
                <w:noProof/>
                <w:szCs w:val="18"/>
              </w:rPr>
            </w:pPr>
            <w:r>
              <w:rPr>
                <w:noProof/>
              </w:rPr>
              <w:t>4 - 1.4. Utilisation durable des ressources, résilience au changement climatique et protection de l'environnement - 16850_Projets d'approvisionnement en eau potable et d'économies</w:t>
            </w:r>
          </w:p>
        </w:tc>
        <w:tc>
          <w:tcPr>
            <w:tcW w:w="1417" w:type="dxa"/>
            <w:tcBorders>
              <w:top w:val="nil"/>
              <w:left w:val="nil"/>
              <w:bottom w:val="single" w:sz="4" w:space="0" w:color="auto"/>
              <w:right w:val="single" w:sz="4" w:space="0" w:color="auto"/>
            </w:tcBorders>
            <w:shd w:val="clear" w:color="auto" w:fill="C6EFCE"/>
            <w:noWrap/>
            <w:vAlign w:val="center"/>
            <w:hideMark/>
          </w:tcPr>
          <w:p w14:paraId="222B701A"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7778580E" w14:textId="25D7EC3B" w:rsidR="00A00259" w:rsidRDefault="00371282">
            <w:pPr>
              <w:pStyle w:val="P68B1DB1-Normal58"/>
              <w:keepNext/>
              <w:spacing w:before="40" w:after="0" w:line="240" w:lineRule="auto"/>
              <w:jc w:val="both"/>
              <w:rPr>
                <w:noProof/>
              </w:rPr>
            </w:pPr>
            <w:r>
              <w:rPr>
                <w:noProof/>
              </w:rPr>
              <w:t>Projets d'approvisionnement en eau et d'économies d'eau</w:t>
            </w:r>
          </w:p>
        </w:tc>
      </w:tr>
      <w:tr w:rsidR="00A00259" w14:paraId="7F5A5A6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BF9815" w14:textId="77777777" w:rsidR="00A00259" w:rsidRDefault="00371282">
            <w:pPr>
              <w:pStyle w:val="P68B1DB1-Normal11"/>
              <w:keepNext/>
              <w:spacing w:before="40" w:after="0" w:line="240" w:lineRule="auto"/>
              <w:jc w:val="both"/>
              <w:rPr>
                <w:rFonts w:eastAsia="Times New Roman" w:cs="Times New Roman"/>
                <w:bCs/>
                <w:noProof/>
              </w:rPr>
            </w:pPr>
            <w:r>
              <w:rPr>
                <w:noProof/>
              </w:rPr>
              <w:t xml:space="preserve"> 81</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93A512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4 - 1.4. Utilisation durable des ressources, résilience au changement climatique et protection de l'environnement - 16910_Gestion et suivi de la protection civile</w:t>
            </w:r>
          </w:p>
        </w:tc>
        <w:tc>
          <w:tcPr>
            <w:tcW w:w="1417" w:type="dxa"/>
            <w:tcBorders>
              <w:top w:val="nil"/>
              <w:left w:val="nil"/>
              <w:bottom w:val="single" w:sz="4" w:space="0" w:color="auto"/>
              <w:right w:val="single" w:sz="4" w:space="0" w:color="auto"/>
            </w:tcBorders>
            <w:shd w:val="clear" w:color="auto" w:fill="C6EFCE"/>
            <w:noWrap/>
            <w:vAlign w:val="center"/>
            <w:hideMark/>
          </w:tcPr>
          <w:p w14:paraId="7D48BC0E"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6A635254" w14:textId="77530E80" w:rsidR="00A00259" w:rsidRDefault="00371282">
            <w:pPr>
              <w:pStyle w:val="P68B1DB1-Normal16"/>
              <w:keepNext/>
              <w:spacing w:before="40" w:after="0" w:line="240" w:lineRule="auto"/>
              <w:jc w:val="both"/>
              <w:rPr>
                <w:rFonts w:eastAsia="Times New Roman"/>
                <w:noProof/>
              </w:rPr>
            </w:pPr>
            <w:r>
              <w:rPr>
                <w:noProof/>
              </w:rPr>
              <w:t>Livraison d'équipements et travaux de construction et de rénovation dans des bâtiments prédéfinis</w:t>
            </w:r>
          </w:p>
        </w:tc>
      </w:tr>
      <w:tr w:rsidR="00A00259" w14:paraId="5D294B9D"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4BCF6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82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F5F96A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4 - 1.4. Utilisation durable des ressources, résilience au changement climatique et protection de l'environnement - 16911_Moyens aériens pour la gestion des crises</w:t>
            </w:r>
          </w:p>
        </w:tc>
        <w:tc>
          <w:tcPr>
            <w:tcW w:w="1417" w:type="dxa"/>
            <w:tcBorders>
              <w:top w:val="nil"/>
              <w:left w:val="nil"/>
              <w:bottom w:val="single" w:sz="4" w:space="0" w:color="auto"/>
              <w:right w:val="single" w:sz="4" w:space="0" w:color="auto"/>
            </w:tcBorders>
            <w:shd w:val="clear" w:color="auto" w:fill="C6EFCE"/>
            <w:noWrap/>
            <w:vAlign w:val="center"/>
            <w:hideMark/>
          </w:tcPr>
          <w:p w14:paraId="31244DE7"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58CD75B3" w14:textId="77777777" w:rsidR="00A00259" w:rsidRDefault="00371282">
            <w:pPr>
              <w:pStyle w:val="P68B1DB1-Normal55"/>
              <w:keepNext/>
              <w:spacing w:before="40" w:after="0" w:line="240" w:lineRule="auto"/>
              <w:jc w:val="both"/>
              <w:rPr>
                <w:rFonts w:eastAsia="Times New Roman" w:cs="Times New Roman"/>
                <w:noProof/>
                <w:szCs w:val="18"/>
              </w:rPr>
            </w:pPr>
            <w:r>
              <w:rPr>
                <w:noProof/>
              </w:rPr>
              <w:t>Achèvement du projet de moyens aériens pour la gestion des crises</w:t>
            </w:r>
          </w:p>
        </w:tc>
      </w:tr>
      <w:tr w:rsidR="00A00259" w14:paraId="2BA71542"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469BF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83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3DAACC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4 - 1.4. Utilisation durable des ressources, résilience au changement climatique et protection de l'environnement - 16912_Équipements forestiers de lutte contre les incendies, de prévention et d'intervention</w:t>
            </w:r>
          </w:p>
        </w:tc>
        <w:tc>
          <w:tcPr>
            <w:tcW w:w="1417" w:type="dxa"/>
            <w:tcBorders>
              <w:top w:val="nil"/>
              <w:left w:val="nil"/>
              <w:bottom w:val="single" w:sz="4" w:space="0" w:color="auto"/>
              <w:right w:val="single" w:sz="4" w:space="0" w:color="auto"/>
            </w:tcBorders>
            <w:shd w:val="clear" w:color="auto" w:fill="C6EFCE"/>
            <w:noWrap/>
            <w:vAlign w:val="center"/>
            <w:hideMark/>
          </w:tcPr>
          <w:p w14:paraId="2722F170"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02951083" w14:textId="77777777" w:rsidR="00A00259" w:rsidRDefault="00371282">
            <w:pPr>
              <w:pStyle w:val="P68B1DB1-Normal55"/>
              <w:keepNext/>
              <w:spacing w:before="40" w:after="0" w:line="240" w:lineRule="auto"/>
              <w:jc w:val="both"/>
              <w:rPr>
                <w:rFonts w:eastAsia="Times New Roman" w:cs="Times New Roman"/>
                <w:noProof/>
                <w:szCs w:val="18"/>
              </w:rPr>
            </w:pPr>
            <w:r>
              <w:rPr>
                <w:noProof/>
              </w:rPr>
              <w:t>Achèvement du matériel de lutte contre les forêts</w:t>
            </w:r>
          </w:p>
        </w:tc>
      </w:tr>
      <w:tr w:rsidR="00A00259" w14:paraId="511ACAB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tcPr>
          <w:p w14:paraId="43E74A23" w14:textId="77777777" w:rsidR="00A00259" w:rsidRDefault="00371282">
            <w:pPr>
              <w:pStyle w:val="P68B1DB1-Normal11"/>
              <w:spacing w:line="240" w:lineRule="auto"/>
              <w:jc w:val="both"/>
              <w:rPr>
                <w:noProof/>
              </w:rPr>
            </w:pPr>
            <w:r>
              <w:rPr>
                <w:noProof/>
              </w:rPr>
              <w:t>316</w:t>
            </w:r>
          </w:p>
        </w:tc>
        <w:tc>
          <w:tcPr>
            <w:tcW w:w="4820" w:type="dxa"/>
            <w:tcBorders>
              <w:top w:val="nil"/>
              <w:left w:val="single" w:sz="4" w:space="0" w:color="auto"/>
              <w:bottom w:val="single" w:sz="4" w:space="0" w:color="auto"/>
              <w:right w:val="single" w:sz="4" w:space="0" w:color="auto"/>
            </w:tcBorders>
            <w:shd w:val="clear" w:color="auto" w:fill="C6EFCE"/>
            <w:noWrap/>
          </w:tcPr>
          <w:p w14:paraId="1B14044C" w14:textId="77777777" w:rsidR="00A00259" w:rsidRDefault="00371282">
            <w:pPr>
              <w:pStyle w:val="P68B1DB1-Normal55"/>
              <w:spacing w:line="240" w:lineRule="auto"/>
              <w:jc w:val="both"/>
              <w:rPr>
                <w:noProof/>
              </w:rPr>
            </w:pPr>
            <w:r>
              <w:rPr>
                <w:noProof/>
              </w:rPr>
              <w:t>4 - 1.4. Utilisation durable des ressources, résilience climatique et protection de l'environnement - 16285_ Stratégie nationale de l'eau</w:t>
            </w:r>
          </w:p>
        </w:tc>
        <w:tc>
          <w:tcPr>
            <w:tcW w:w="1417" w:type="dxa"/>
            <w:tcBorders>
              <w:top w:val="nil"/>
              <w:left w:val="nil"/>
              <w:bottom w:val="single" w:sz="4" w:space="0" w:color="auto"/>
              <w:right w:val="single" w:sz="4" w:space="0" w:color="auto"/>
            </w:tcBorders>
            <w:shd w:val="clear" w:color="auto" w:fill="C6EFCE"/>
            <w:noWrap/>
          </w:tcPr>
          <w:p w14:paraId="69F59A71" w14:textId="77777777" w:rsidR="00A00259" w:rsidRDefault="00371282">
            <w:pPr>
              <w:pStyle w:val="P68B1DB1-Normal55"/>
              <w:spacing w:line="240" w:lineRule="auto"/>
              <w:jc w:val="both"/>
              <w:rPr>
                <w:noProof/>
              </w:rPr>
            </w:pPr>
            <w:r>
              <w:rPr>
                <w:noProof/>
              </w:rPr>
              <w:t>Étape</w:t>
            </w:r>
          </w:p>
        </w:tc>
        <w:tc>
          <w:tcPr>
            <w:tcW w:w="3292" w:type="dxa"/>
            <w:tcBorders>
              <w:top w:val="nil"/>
              <w:left w:val="nil"/>
              <w:bottom w:val="single" w:sz="4" w:space="0" w:color="auto"/>
              <w:right w:val="single" w:sz="4" w:space="0" w:color="auto"/>
            </w:tcBorders>
            <w:shd w:val="clear" w:color="auto" w:fill="C6EFCE"/>
            <w:noWrap/>
          </w:tcPr>
          <w:p w14:paraId="0E32E228" w14:textId="77777777" w:rsidR="00A00259" w:rsidRDefault="00371282">
            <w:pPr>
              <w:pStyle w:val="P68B1DB1-Normal55"/>
              <w:spacing w:line="240" w:lineRule="auto"/>
              <w:jc w:val="both"/>
              <w:rPr>
                <w:noProof/>
              </w:rPr>
            </w:pPr>
            <w:r>
              <w:rPr>
                <w:noProof/>
              </w:rPr>
              <w:t>Stratégie nationale de l'eau et élargissement des responsabilités de deux services publics de l'eau</w:t>
            </w:r>
          </w:p>
        </w:tc>
      </w:tr>
      <w:tr w:rsidR="00A00259" w14:paraId="050DF48E"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5DBD1D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90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D0D0BE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5 - 2.1. Connect - 16818_Infrastructure à fibre optique dans les bâtiments</w:t>
            </w:r>
          </w:p>
        </w:tc>
        <w:tc>
          <w:tcPr>
            <w:tcW w:w="1417" w:type="dxa"/>
            <w:tcBorders>
              <w:top w:val="nil"/>
              <w:left w:val="nil"/>
              <w:bottom w:val="single" w:sz="4" w:space="0" w:color="auto"/>
              <w:right w:val="single" w:sz="4" w:space="0" w:color="auto"/>
            </w:tcBorders>
            <w:shd w:val="clear" w:color="auto" w:fill="C6EFCE"/>
            <w:noWrap/>
            <w:vAlign w:val="center"/>
            <w:hideMark/>
          </w:tcPr>
          <w:p w14:paraId="188D7F1F" w14:textId="77777777" w:rsidR="00A00259" w:rsidRDefault="00371282">
            <w:pPr>
              <w:pStyle w:val="P68B1DB1-Normal55"/>
              <w:keepNext/>
              <w:spacing w:before="40" w:after="0" w:line="240" w:lineRule="auto"/>
              <w:jc w:val="both"/>
              <w:rPr>
                <w:rFonts w:eastAsia="Times New Roman" w:cs="Times New Roman"/>
                <w:noProof/>
                <w:szCs w:val="18"/>
              </w:rPr>
            </w:pPr>
            <w:r>
              <w:rPr>
                <w:noProof/>
              </w:rPr>
              <w:t>Objectif</w:t>
            </w:r>
          </w:p>
        </w:tc>
        <w:tc>
          <w:tcPr>
            <w:tcW w:w="3292" w:type="dxa"/>
            <w:tcBorders>
              <w:top w:val="nil"/>
              <w:left w:val="nil"/>
              <w:bottom w:val="single" w:sz="4" w:space="0" w:color="auto"/>
              <w:right w:val="single" w:sz="4" w:space="0" w:color="auto"/>
            </w:tcBorders>
            <w:shd w:val="clear" w:color="auto" w:fill="C6EFCE"/>
            <w:noWrap/>
            <w:vAlign w:val="center"/>
            <w:hideMark/>
          </w:tcPr>
          <w:p w14:paraId="07528D93" w14:textId="77777777" w:rsidR="00A00259" w:rsidRDefault="00371282">
            <w:pPr>
              <w:pStyle w:val="P68B1DB1-Normal55"/>
              <w:keepNext/>
              <w:spacing w:before="40" w:after="0" w:line="240" w:lineRule="auto"/>
              <w:jc w:val="both"/>
              <w:rPr>
                <w:rFonts w:eastAsia="Times New Roman" w:cs="Times New Roman"/>
                <w:noProof/>
                <w:szCs w:val="18"/>
              </w:rPr>
            </w:pPr>
            <w:r>
              <w:rPr>
                <w:noProof/>
              </w:rPr>
              <w:t>Exécution du projet « Infrastructure fibre optique dans les bâtiments »</w:t>
            </w:r>
          </w:p>
        </w:tc>
      </w:tr>
      <w:tr w:rsidR="00A00259" w14:paraId="0CC7967A"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921493" w14:textId="3719CDD8" w:rsidR="00A00259" w:rsidRDefault="00371282">
            <w:pPr>
              <w:pStyle w:val="P68B1DB1-Normal55"/>
              <w:keepNext/>
              <w:spacing w:before="40" w:after="0" w:line="240" w:lineRule="auto"/>
              <w:jc w:val="both"/>
              <w:rPr>
                <w:noProof/>
              </w:rPr>
            </w:pPr>
            <w:r>
              <w:rPr>
                <w:noProof/>
              </w:rPr>
              <w:t>92 bis</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1B2C373A" w14:textId="47218A45" w:rsidR="00A00259" w:rsidRDefault="00371282">
            <w:pPr>
              <w:pStyle w:val="P68B1DB1-Normal55"/>
              <w:keepNext/>
              <w:spacing w:before="40" w:after="0" w:line="240" w:lineRule="auto"/>
              <w:jc w:val="both"/>
              <w:rPr>
                <w:noProof/>
              </w:rPr>
            </w:pPr>
            <w:r>
              <w:rPr>
                <w:noProof/>
              </w:rPr>
              <w:t>5 - 2.1. Connect - 16855_Small-satellites</w:t>
            </w:r>
          </w:p>
        </w:tc>
        <w:tc>
          <w:tcPr>
            <w:tcW w:w="1417" w:type="dxa"/>
            <w:tcBorders>
              <w:top w:val="nil"/>
              <w:left w:val="nil"/>
              <w:bottom w:val="single" w:sz="4" w:space="0" w:color="auto"/>
              <w:right w:val="single" w:sz="4" w:space="0" w:color="auto"/>
            </w:tcBorders>
            <w:shd w:val="clear" w:color="auto" w:fill="C6EFCE"/>
            <w:noWrap/>
            <w:vAlign w:val="center"/>
          </w:tcPr>
          <w:p w14:paraId="0A4F6E29" w14:textId="78710AA3" w:rsidR="00A00259" w:rsidRDefault="00371282">
            <w:pPr>
              <w:pStyle w:val="P68B1DB1-Normal55"/>
              <w:keepNext/>
              <w:spacing w:before="40" w:after="0" w:line="240" w:lineRule="auto"/>
              <w:jc w:val="both"/>
              <w:rPr>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tcPr>
          <w:p w14:paraId="2441D651" w14:textId="716A0F30" w:rsidR="00A00259" w:rsidRDefault="00371282">
            <w:pPr>
              <w:pStyle w:val="P68B1DB1-Normal55"/>
              <w:keepNext/>
              <w:spacing w:before="40" w:after="0" w:line="240" w:lineRule="auto"/>
              <w:jc w:val="both"/>
              <w:rPr>
                <w:noProof/>
              </w:rPr>
            </w:pPr>
            <w:r>
              <w:rPr>
                <w:noProof/>
              </w:rPr>
              <w:t>Signature de la modification de l'arrangement de projet et transfert des fonds</w:t>
            </w:r>
          </w:p>
        </w:tc>
      </w:tr>
      <w:tr w:rsidR="00A00259" w14:paraId="26234C76"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F6819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95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2D72A7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 6 - 2.2. Moderniser - 16778_Numérisation des archives et services connexes</w:t>
            </w:r>
          </w:p>
        </w:tc>
        <w:tc>
          <w:tcPr>
            <w:tcW w:w="1417" w:type="dxa"/>
            <w:tcBorders>
              <w:top w:val="nil"/>
              <w:left w:val="nil"/>
              <w:bottom w:val="single" w:sz="4" w:space="0" w:color="auto"/>
              <w:right w:val="single" w:sz="4" w:space="0" w:color="auto"/>
            </w:tcBorders>
            <w:shd w:val="clear" w:color="auto" w:fill="C6EFCE"/>
            <w:noWrap/>
            <w:vAlign w:val="center"/>
            <w:hideMark/>
          </w:tcPr>
          <w:p w14:paraId="03850D8C"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22656012" w14:textId="77777777" w:rsidR="00A00259" w:rsidRDefault="00371282">
            <w:pPr>
              <w:pStyle w:val="P68B1DB1-Normal55"/>
              <w:keepNext/>
              <w:spacing w:before="40" w:after="0" w:line="240" w:lineRule="auto"/>
              <w:jc w:val="both"/>
              <w:rPr>
                <w:rFonts w:eastAsia="Times New Roman" w:cs="Times New Roman"/>
                <w:noProof/>
                <w:szCs w:val="18"/>
              </w:rPr>
            </w:pPr>
            <w:r>
              <w:rPr>
                <w:noProof/>
              </w:rPr>
              <w:t>Numérisation des archives</w:t>
            </w:r>
          </w:p>
        </w:tc>
      </w:tr>
      <w:tr w:rsidR="00A00259" w14:paraId="008130AA"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390E0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99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EDB0C9D"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 6 - 2.2. 16929_Vers des services orientés «clients» de l’administration publique grâce à la simplification et à l’amélioration des processus, à l’amélioration des systèmes et au respect des stratégies et politiques européennes</w:t>
            </w:r>
          </w:p>
        </w:tc>
        <w:tc>
          <w:tcPr>
            <w:tcW w:w="1417" w:type="dxa"/>
            <w:tcBorders>
              <w:top w:val="nil"/>
              <w:left w:val="nil"/>
              <w:bottom w:val="single" w:sz="4" w:space="0" w:color="auto"/>
              <w:right w:val="single" w:sz="4" w:space="0" w:color="auto"/>
            </w:tcBorders>
            <w:shd w:val="clear" w:color="auto" w:fill="C6EFCE"/>
            <w:noWrap/>
            <w:vAlign w:val="center"/>
            <w:hideMark/>
          </w:tcPr>
          <w:p w14:paraId="247FAB1E"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50D46DB2" w14:textId="77777777" w:rsidR="00A00259" w:rsidRDefault="00371282">
            <w:pPr>
              <w:pStyle w:val="P68B1DB1-Normal55"/>
              <w:keepNext/>
              <w:spacing w:before="40" w:after="0" w:line="240" w:lineRule="auto"/>
              <w:jc w:val="both"/>
              <w:rPr>
                <w:rFonts w:eastAsia="Times New Roman" w:cs="Times New Roman"/>
                <w:noProof/>
                <w:szCs w:val="18"/>
              </w:rPr>
            </w:pPr>
            <w:r>
              <w:rPr>
                <w:noProof/>
              </w:rPr>
              <w:t>Réduire la charge administrative dans l'administration publique</w:t>
            </w:r>
          </w:p>
        </w:tc>
      </w:tr>
      <w:tr w:rsidR="00A00259" w14:paraId="6C8C682A" w14:textId="77777777">
        <w:trPr>
          <w:trHeight w:val="300"/>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34ABEB" w14:textId="77777777" w:rsidR="00A00259" w:rsidRDefault="00371282">
            <w:pPr>
              <w:pStyle w:val="P68B1DB1-Normal11"/>
              <w:keepNext/>
              <w:spacing w:before="40" w:after="0" w:line="240" w:lineRule="auto"/>
              <w:jc w:val="both"/>
              <w:rPr>
                <w:rFonts w:eastAsia="Times New Roman" w:cs="Times New Roman"/>
                <w:noProof/>
              </w:rPr>
            </w:pPr>
            <w:r>
              <w:rPr>
                <w:noProof/>
              </w:rPr>
              <w:t>108</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3AB43F1F" w14:textId="77777777" w:rsidR="00A00259" w:rsidRPr="00D64FD7" w:rsidRDefault="00371282">
            <w:pPr>
              <w:pStyle w:val="P68B1DB1-Normal11"/>
              <w:keepNext/>
              <w:spacing w:before="40" w:after="0" w:line="240" w:lineRule="auto"/>
              <w:jc w:val="both"/>
              <w:rPr>
                <w:rFonts w:eastAsia="Times New Roman" w:cs="Times New Roman"/>
                <w:noProof/>
                <w:lang w:val="en-GB"/>
              </w:rPr>
            </w:pPr>
            <w:r w:rsidRPr="00D64FD7">
              <w:rPr>
                <w:noProof/>
                <w:lang w:val="en-GB"/>
              </w:rPr>
              <w:t>6 - 2.2. Moderniser – 16779 _Web services and Next Generation Interoperability Centre (KED)</w:t>
            </w:r>
          </w:p>
        </w:tc>
        <w:tc>
          <w:tcPr>
            <w:tcW w:w="1417" w:type="dxa"/>
            <w:tcBorders>
              <w:top w:val="nil"/>
              <w:left w:val="nil"/>
              <w:bottom w:val="single" w:sz="4" w:space="0" w:color="auto"/>
              <w:right w:val="single" w:sz="4" w:space="0" w:color="auto"/>
            </w:tcBorders>
            <w:shd w:val="clear" w:color="auto" w:fill="C6EFCE"/>
            <w:noWrap/>
            <w:vAlign w:val="center"/>
          </w:tcPr>
          <w:p w14:paraId="2FE66B18" w14:textId="77777777" w:rsidR="00A00259" w:rsidRDefault="00371282">
            <w:pPr>
              <w:pStyle w:val="P68B1DB1-Normal11"/>
              <w:keepNext/>
              <w:spacing w:before="40" w:after="0" w:line="240" w:lineRule="auto"/>
              <w:jc w:val="both"/>
              <w:rPr>
                <w:rFonts w:eastAsia="Times New Roman" w:cs="Times New Roman"/>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35A74199" w14:textId="77777777" w:rsidR="00A00259" w:rsidRDefault="00371282">
            <w:pPr>
              <w:pStyle w:val="P68B1DB1-Normal16"/>
              <w:keepNext/>
              <w:spacing w:before="40" w:after="0" w:line="240" w:lineRule="auto"/>
              <w:jc w:val="both"/>
              <w:rPr>
                <w:rFonts w:eastAsia="Times New Roman"/>
                <w:noProof/>
              </w:rPr>
            </w:pPr>
            <w:r>
              <w:rPr>
                <w:noProof/>
              </w:rPr>
              <w:t>Fourniture de services web et centre d’interopérabilité de nouvelle génération (KED)</w:t>
            </w:r>
          </w:p>
        </w:tc>
      </w:tr>
      <w:tr w:rsidR="00A00259" w14:paraId="46754E5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850E70" w14:textId="77777777" w:rsidR="00A00259" w:rsidRDefault="00371282">
            <w:pPr>
              <w:pStyle w:val="P68B1DB1-Normal55"/>
              <w:keepNext/>
              <w:spacing w:before="40" w:after="0" w:line="240" w:lineRule="auto"/>
              <w:jc w:val="both"/>
              <w:rPr>
                <w:noProof/>
              </w:rPr>
            </w:pPr>
            <w:r>
              <w:rPr>
                <w:noProof/>
              </w:rPr>
              <w:t>110b</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4887D034" w14:textId="77777777" w:rsidR="00A00259" w:rsidRDefault="00371282">
            <w:pPr>
              <w:pStyle w:val="P68B1DB1-Normal55"/>
              <w:keepNext/>
              <w:spacing w:before="40" w:after="0" w:line="240" w:lineRule="auto"/>
              <w:jc w:val="both"/>
              <w:rPr>
                <w:noProof/>
              </w:rPr>
            </w:pPr>
            <w:r>
              <w:rPr>
                <w:noProof/>
              </w:rPr>
              <w:t>6 - 2.2. 16780_Modernisation des guichets uniques de l’administration publique</w:t>
            </w:r>
          </w:p>
        </w:tc>
        <w:tc>
          <w:tcPr>
            <w:tcW w:w="1417" w:type="dxa"/>
            <w:tcBorders>
              <w:top w:val="nil"/>
              <w:left w:val="nil"/>
              <w:bottom w:val="single" w:sz="4" w:space="0" w:color="auto"/>
              <w:right w:val="single" w:sz="4" w:space="0" w:color="auto"/>
            </w:tcBorders>
            <w:shd w:val="clear" w:color="auto" w:fill="C6EFCE"/>
            <w:noWrap/>
            <w:vAlign w:val="center"/>
          </w:tcPr>
          <w:p w14:paraId="1D4B3BDA" w14:textId="77777777" w:rsidR="00A00259" w:rsidRDefault="00371282">
            <w:pPr>
              <w:pStyle w:val="P68B1DB1-Normal55"/>
              <w:keepNext/>
              <w:spacing w:before="40" w:after="0" w:line="240" w:lineRule="auto"/>
              <w:jc w:val="both"/>
              <w:rPr>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tcPr>
          <w:p w14:paraId="6A43CF51" w14:textId="77777777" w:rsidR="00A00259" w:rsidRDefault="00371282">
            <w:pPr>
              <w:pStyle w:val="P68B1DB1-Normal55"/>
              <w:keepNext/>
              <w:spacing w:before="40" w:after="0" w:line="240" w:lineRule="auto"/>
              <w:jc w:val="both"/>
              <w:rPr>
                <w:noProof/>
              </w:rPr>
            </w:pPr>
            <w:r>
              <w:rPr>
                <w:noProof/>
              </w:rPr>
              <w:t>Rénovation des guichets uniques de l’administration publique </w:t>
            </w:r>
          </w:p>
        </w:tc>
      </w:tr>
      <w:tr w:rsidR="00A00259" w14:paraId="21B26171"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4A1E8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119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F81846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6 - 2.2. Moderniser - 16736_Nouveau système pour les marchés publics</w:t>
            </w:r>
          </w:p>
        </w:tc>
        <w:tc>
          <w:tcPr>
            <w:tcW w:w="1417" w:type="dxa"/>
            <w:tcBorders>
              <w:top w:val="nil"/>
              <w:left w:val="nil"/>
              <w:bottom w:val="single" w:sz="4" w:space="0" w:color="auto"/>
              <w:right w:val="single" w:sz="4" w:space="0" w:color="auto"/>
            </w:tcBorders>
            <w:shd w:val="clear" w:color="auto" w:fill="C6EFCE"/>
            <w:noWrap/>
            <w:vAlign w:val="center"/>
            <w:hideMark/>
          </w:tcPr>
          <w:p w14:paraId="66C1EE3C"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38DD6D2E" w14:textId="77777777" w:rsidR="00A00259" w:rsidRDefault="00371282">
            <w:pPr>
              <w:pStyle w:val="P68B1DB1-Normal55"/>
              <w:keepNext/>
              <w:spacing w:before="40" w:after="0" w:line="240" w:lineRule="auto"/>
              <w:jc w:val="both"/>
              <w:rPr>
                <w:rFonts w:eastAsia="Times New Roman" w:cs="Times New Roman"/>
                <w:noProof/>
                <w:szCs w:val="18"/>
              </w:rPr>
            </w:pPr>
            <w:r>
              <w:rPr>
                <w:noProof/>
              </w:rPr>
              <w:t>Mise en place du nouveau système de passation des marchés publics</w:t>
            </w:r>
          </w:p>
        </w:tc>
      </w:tr>
      <w:tr w:rsidR="00A00259" w14:paraId="2B530E31"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50FCD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120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4FFFD25" w14:textId="7F903FFB" w:rsidR="00A00259" w:rsidRDefault="00371282">
            <w:pPr>
              <w:pStyle w:val="P68B1DB1-Normal55"/>
              <w:keepNext/>
              <w:spacing w:before="40" w:after="0" w:line="240" w:lineRule="auto"/>
              <w:jc w:val="both"/>
              <w:rPr>
                <w:rFonts w:eastAsia="Times New Roman" w:cs="Times New Roman"/>
                <w:bCs/>
                <w:noProof/>
                <w:szCs w:val="18"/>
              </w:rPr>
            </w:pPr>
            <w:r>
              <w:rPr>
                <w:noProof/>
              </w:rPr>
              <w:t>6 - 2.2. Moderniser - 16824_E-Registres</w:t>
            </w:r>
          </w:p>
        </w:tc>
        <w:tc>
          <w:tcPr>
            <w:tcW w:w="1417" w:type="dxa"/>
            <w:tcBorders>
              <w:top w:val="nil"/>
              <w:left w:val="nil"/>
              <w:bottom w:val="single" w:sz="4" w:space="0" w:color="auto"/>
              <w:right w:val="single" w:sz="4" w:space="0" w:color="auto"/>
            </w:tcBorders>
            <w:shd w:val="clear" w:color="auto" w:fill="C6EFCE"/>
            <w:noWrap/>
            <w:vAlign w:val="center"/>
            <w:hideMark/>
          </w:tcPr>
          <w:p w14:paraId="4B9F741E"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3F369085" w14:textId="46808CEE" w:rsidR="00A00259" w:rsidRDefault="00371282">
            <w:pPr>
              <w:pStyle w:val="P68B1DB1-Normal55"/>
              <w:keepNext/>
              <w:spacing w:before="40" w:after="0" w:line="240" w:lineRule="auto"/>
              <w:jc w:val="both"/>
              <w:rPr>
                <w:rFonts w:eastAsia="Times New Roman" w:cs="Times New Roman"/>
                <w:noProof/>
                <w:szCs w:val="18"/>
              </w:rPr>
            </w:pPr>
            <w:r>
              <w:rPr>
                <w:noProof/>
              </w:rPr>
              <w:t>Livraison de registres électroniques et/ou de plateformes</w:t>
            </w:r>
          </w:p>
        </w:tc>
      </w:tr>
      <w:tr w:rsidR="00A00259" w14:paraId="7515EF7A"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54396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123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62B08D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6 - 2.2. Moderniser - 16854_Villes intelligentes</w:t>
            </w:r>
          </w:p>
        </w:tc>
        <w:tc>
          <w:tcPr>
            <w:tcW w:w="1417" w:type="dxa"/>
            <w:tcBorders>
              <w:top w:val="nil"/>
              <w:left w:val="nil"/>
              <w:bottom w:val="single" w:sz="4" w:space="0" w:color="auto"/>
              <w:right w:val="single" w:sz="4" w:space="0" w:color="auto"/>
            </w:tcBorders>
            <w:shd w:val="clear" w:color="auto" w:fill="C6EFCE"/>
            <w:noWrap/>
            <w:vAlign w:val="center"/>
            <w:hideMark/>
          </w:tcPr>
          <w:p w14:paraId="2BFE496A" w14:textId="77777777" w:rsidR="00A00259" w:rsidRDefault="00371282">
            <w:pPr>
              <w:pStyle w:val="P68B1DB1-Normal55"/>
              <w:keepNext/>
              <w:spacing w:before="40" w:after="0" w:line="240" w:lineRule="auto"/>
              <w:jc w:val="both"/>
              <w:rPr>
                <w:rFonts w:eastAsia="Times New Roman" w:cs="Times New Roman"/>
                <w:noProof/>
                <w:szCs w:val="18"/>
              </w:rPr>
            </w:pPr>
            <w:r>
              <w:rPr>
                <w:noProof/>
              </w:rPr>
              <w:t>Objectif</w:t>
            </w:r>
          </w:p>
        </w:tc>
        <w:tc>
          <w:tcPr>
            <w:tcW w:w="3292" w:type="dxa"/>
            <w:tcBorders>
              <w:top w:val="nil"/>
              <w:left w:val="nil"/>
              <w:bottom w:val="single" w:sz="4" w:space="0" w:color="auto"/>
              <w:right w:val="single" w:sz="4" w:space="0" w:color="auto"/>
            </w:tcBorders>
            <w:shd w:val="clear" w:color="auto" w:fill="C6EFCE"/>
            <w:noWrap/>
            <w:vAlign w:val="center"/>
            <w:hideMark/>
          </w:tcPr>
          <w:p w14:paraId="55533B47" w14:textId="77777777" w:rsidR="00A00259" w:rsidRDefault="00371282">
            <w:pPr>
              <w:pStyle w:val="P68B1DB1-Normal55"/>
              <w:keepNext/>
              <w:spacing w:before="40" w:after="0" w:line="240" w:lineRule="auto"/>
              <w:jc w:val="both"/>
              <w:rPr>
                <w:rFonts w:eastAsia="Times New Roman" w:cs="Times New Roman"/>
                <w:noProof/>
                <w:szCs w:val="18"/>
              </w:rPr>
            </w:pPr>
            <w:r>
              <w:rPr>
                <w:noProof/>
              </w:rPr>
              <w:t>Mise en œuvre de projets de «ville intelligente»</w:t>
            </w:r>
          </w:p>
        </w:tc>
      </w:tr>
      <w:tr w:rsidR="00A00259" w14:paraId="13B8ED6E"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910F9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124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910A9E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6 - 2.2. 16928 _Incorporation de nouvelles technologies et tendances vers les services avancés de l’administration publique, augmentation de l’efficience et de l’efficacité et diminution des coûts d’exploitation, de mise à niveau et de maintenance des systèmes</w:t>
            </w:r>
          </w:p>
        </w:tc>
        <w:tc>
          <w:tcPr>
            <w:tcW w:w="1417" w:type="dxa"/>
            <w:tcBorders>
              <w:top w:val="nil"/>
              <w:left w:val="nil"/>
              <w:bottom w:val="single" w:sz="4" w:space="0" w:color="auto"/>
              <w:right w:val="single" w:sz="4" w:space="0" w:color="auto"/>
            </w:tcBorders>
            <w:shd w:val="clear" w:color="auto" w:fill="C6EFCE"/>
            <w:noWrap/>
            <w:vAlign w:val="center"/>
            <w:hideMark/>
          </w:tcPr>
          <w:p w14:paraId="5F535278"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1A8FA4FB" w14:textId="6D120013" w:rsidR="00A00259" w:rsidRDefault="00371282">
            <w:pPr>
              <w:pStyle w:val="P68B1DB1-Normal36"/>
              <w:keepNext/>
              <w:spacing w:before="40" w:after="0" w:line="240" w:lineRule="auto"/>
              <w:jc w:val="both"/>
              <w:rPr>
                <w:rFonts w:ascii="Times New Roman" w:eastAsia="Times New Roman" w:hAnsi="Times New Roman" w:cs="Times New Roman"/>
                <w:noProof/>
                <w:szCs w:val="18"/>
              </w:rPr>
            </w:pPr>
            <w:r>
              <w:rPr>
                <w:rFonts w:ascii="Times New Roman" w:hAnsi="Times New Roman"/>
                <w:noProof/>
              </w:rPr>
              <w:t>Cadre pour l’intégration des nouvelles technologies dans l’administration publique</w:t>
            </w:r>
            <w:r>
              <w:rPr>
                <w:rFonts w:ascii="Times New Roman" w:hAnsi="Times New Roman" w:cs="Times New Roman"/>
                <w:noProof/>
                <w:szCs w:val="18"/>
              </w:rPr>
              <w:t xml:space="preserve"> et politique en matière de données ouvertes et réutilisables</w:t>
            </w:r>
          </w:p>
        </w:tc>
      </w:tr>
      <w:tr w:rsidR="00A00259" w14:paraId="520E5584"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7949F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125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0163FC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6 - 2.2. 16955_Mise à niveau de l'infrastructure informatique en nuage et des services des infrastructures nationales de recherche et de technologie (GRNET)</w:t>
            </w:r>
          </w:p>
        </w:tc>
        <w:tc>
          <w:tcPr>
            <w:tcW w:w="1417" w:type="dxa"/>
            <w:tcBorders>
              <w:top w:val="nil"/>
              <w:left w:val="nil"/>
              <w:bottom w:val="single" w:sz="4" w:space="0" w:color="auto"/>
              <w:right w:val="single" w:sz="4" w:space="0" w:color="auto"/>
            </w:tcBorders>
            <w:shd w:val="clear" w:color="auto" w:fill="C6EFCE"/>
            <w:noWrap/>
            <w:vAlign w:val="center"/>
            <w:hideMark/>
          </w:tcPr>
          <w:p w14:paraId="109962A1"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676969D7" w14:textId="77777777" w:rsidR="00A00259" w:rsidRDefault="00371282">
            <w:pPr>
              <w:pStyle w:val="P68B1DB1-Normal55"/>
              <w:keepNext/>
              <w:spacing w:before="40" w:after="0" w:line="240" w:lineRule="auto"/>
              <w:jc w:val="both"/>
              <w:rPr>
                <w:rFonts w:eastAsia="Times New Roman" w:cs="Times New Roman"/>
                <w:noProof/>
                <w:szCs w:val="18"/>
              </w:rPr>
            </w:pPr>
            <w:r>
              <w:rPr>
                <w:noProof/>
              </w:rPr>
              <w:t>GRNET</w:t>
            </w:r>
          </w:p>
        </w:tc>
      </w:tr>
      <w:tr w:rsidR="00A00259" w14:paraId="72552CF2"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F37ED3" w14:textId="77777777" w:rsidR="00A00259" w:rsidRDefault="00371282">
            <w:pPr>
              <w:pStyle w:val="P68B1DB1-Normal55"/>
              <w:keepNext/>
              <w:spacing w:before="40" w:after="0" w:line="240" w:lineRule="auto"/>
              <w:jc w:val="both"/>
              <w:rPr>
                <w:noProof/>
              </w:rPr>
            </w:pPr>
            <w:r>
              <w:rPr>
                <w:noProof/>
              </w:rPr>
              <w:t>125a</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3A551E46" w14:textId="77777777" w:rsidR="00A00259" w:rsidRDefault="00371282">
            <w:pPr>
              <w:pStyle w:val="P68B1DB1-Normal55"/>
              <w:keepNext/>
              <w:spacing w:before="40" w:after="0" w:line="240" w:lineRule="auto"/>
              <w:jc w:val="both"/>
              <w:rPr>
                <w:noProof/>
              </w:rPr>
            </w:pPr>
            <w:r>
              <w:rPr>
                <w:noProof/>
              </w:rPr>
              <w:t>6 - 2.2. 16955_Mise à niveau de l'infrastructure informatique en nuage et des services des infrastructures nationales de recherche et de technologie (GRNET)</w:t>
            </w:r>
          </w:p>
        </w:tc>
        <w:tc>
          <w:tcPr>
            <w:tcW w:w="1417" w:type="dxa"/>
            <w:tcBorders>
              <w:top w:val="nil"/>
              <w:left w:val="nil"/>
              <w:bottom w:val="single" w:sz="4" w:space="0" w:color="auto"/>
              <w:right w:val="single" w:sz="4" w:space="0" w:color="auto"/>
            </w:tcBorders>
            <w:shd w:val="clear" w:color="auto" w:fill="C6EFCE"/>
            <w:noWrap/>
            <w:vAlign w:val="center"/>
          </w:tcPr>
          <w:p w14:paraId="6E77310E" w14:textId="77777777" w:rsidR="00A00259" w:rsidRDefault="00371282">
            <w:pPr>
              <w:pStyle w:val="P68B1DB1-Normal55"/>
              <w:keepNext/>
              <w:spacing w:before="40" w:after="0" w:line="240" w:lineRule="auto"/>
              <w:jc w:val="both"/>
              <w:rPr>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tcPr>
          <w:p w14:paraId="6DA1C6D1" w14:textId="77777777" w:rsidR="00A00259" w:rsidRDefault="00371282">
            <w:pPr>
              <w:pStyle w:val="P68B1DB1-Normal55"/>
              <w:keepNext/>
              <w:spacing w:before="40" w:after="0" w:line="240" w:lineRule="auto"/>
              <w:jc w:val="both"/>
              <w:rPr>
                <w:noProof/>
              </w:rPr>
            </w:pPr>
            <w:r>
              <w:rPr>
                <w:noProof/>
              </w:rPr>
              <w:t>GRNET haut de gamme</w:t>
            </w:r>
          </w:p>
        </w:tc>
      </w:tr>
      <w:tr w:rsidR="00A00259" w14:paraId="6C78CF13"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AA24D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127</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2543FB8" w14:textId="0CD586AC" w:rsidR="00A00259" w:rsidRDefault="00371282">
            <w:pPr>
              <w:pStyle w:val="P68B1DB1-Normal55"/>
              <w:keepNext/>
              <w:spacing w:before="40" w:after="0" w:line="240" w:lineRule="auto"/>
              <w:jc w:val="both"/>
              <w:rPr>
                <w:rFonts w:eastAsia="Times New Roman" w:cs="Times New Roman"/>
                <w:bCs/>
                <w:noProof/>
                <w:szCs w:val="18"/>
              </w:rPr>
            </w:pPr>
            <w:r>
              <w:rPr>
                <w:noProof/>
              </w:rPr>
              <w:t>6 - 2.2. 16956 _Expansion de Syzefxis II</w:t>
            </w:r>
          </w:p>
        </w:tc>
        <w:tc>
          <w:tcPr>
            <w:tcW w:w="1417" w:type="dxa"/>
            <w:tcBorders>
              <w:top w:val="nil"/>
              <w:left w:val="nil"/>
              <w:bottom w:val="single" w:sz="4" w:space="0" w:color="auto"/>
              <w:right w:val="single" w:sz="4" w:space="0" w:color="auto"/>
            </w:tcBorders>
            <w:shd w:val="clear" w:color="auto" w:fill="C6EFCE"/>
            <w:noWrap/>
            <w:vAlign w:val="center"/>
            <w:hideMark/>
          </w:tcPr>
          <w:p w14:paraId="351D5A19"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42164C45" w14:textId="769C2D0D" w:rsidR="00A00259" w:rsidRDefault="00371282">
            <w:pPr>
              <w:pStyle w:val="P68B1DB1-Normal55"/>
              <w:keepNext/>
              <w:spacing w:before="40" w:after="0" w:line="240" w:lineRule="auto"/>
              <w:jc w:val="both"/>
              <w:rPr>
                <w:rFonts w:eastAsia="Times New Roman" w:cs="Times New Roman"/>
                <w:noProof/>
                <w:szCs w:val="18"/>
              </w:rPr>
            </w:pPr>
            <w:r>
              <w:rPr>
                <w:noProof/>
              </w:rPr>
              <w:t>Syzefxis II</w:t>
            </w:r>
          </w:p>
        </w:tc>
      </w:tr>
      <w:tr w:rsidR="00A00259" w14:paraId="6B79BBC7"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F036B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129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F6F194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6 - 2.2. Moderniser - 16842_Central BI - Analyse de données</w:t>
            </w:r>
          </w:p>
        </w:tc>
        <w:tc>
          <w:tcPr>
            <w:tcW w:w="1417" w:type="dxa"/>
            <w:tcBorders>
              <w:top w:val="nil"/>
              <w:left w:val="nil"/>
              <w:bottom w:val="single" w:sz="4" w:space="0" w:color="auto"/>
              <w:right w:val="single" w:sz="4" w:space="0" w:color="auto"/>
            </w:tcBorders>
            <w:shd w:val="clear" w:color="auto" w:fill="C6EFCE"/>
            <w:noWrap/>
            <w:vAlign w:val="center"/>
            <w:hideMark/>
          </w:tcPr>
          <w:p w14:paraId="74290DEE"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6608678F" w14:textId="77777777" w:rsidR="00A00259" w:rsidRDefault="00371282">
            <w:pPr>
              <w:pStyle w:val="P68B1DB1-Normal55"/>
              <w:keepNext/>
              <w:spacing w:before="40" w:after="0" w:line="240" w:lineRule="auto"/>
              <w:jc w:val="both"/>
              <w:rPr>
                <w:rFonts w:eastAsia="Times New Roman" w:cs="Times New Roman"/>
                <w:noProof/>
                <w:szCs w:val="18"/>
              </w:rPr>
            </w:pPr>
            <w:r>
              <w:rPr>
                <w:noProof/>
              </w:rPr>
              <w:t>Livraison de Central BI</w:t>
            </w:r>
          </w:p>
        </w:tc>
      </w:tr>
      <w:tr w:rsidR="00A00259" w14:paraId="0226CF32"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25B189" w14:textId="77777777" w:rsidR="00A00259" w:rsidRDefault="00371282">
            <w:pPr>
              <w:pStyle w:val="P68B1DB1-Normal11"/>
              <w:spacing w:line="240" w:lineRule="auto"/>
              <w:jc w:val="both"/>
              <w:rPr>
                <w:noProof/>
              </w:rPr>
            </w:pPr>
            <w:r>
              <w:rPr>
                <w:noProof/>
              </w:rPr>
              <w:t>131 bis</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1918B282" w14:textId="77777777" w:rsidR="00A00259" w:rsidRDefault="00371282">
            <w:pPr>
              <w:pStyle w:val="P68B1DB1-Normal11"/>
              <w:keepNext/>
              <w:spacing w:before="40" w:after="0" w:line="240" w:lineRule="auto"/>
              <w:jc w:val="both"/>
              <w:rPr>
                <w:rFonts w:eastAsia="Times New Roman" w:cs="Times New Roman"/>
                <w:noProof/>
              </w:rPr>
            </w:pPr>
            <w:r>
              <w:rPr>
                <w:noProof/>
              </w:rPr>
              <w:t>7 - 2.3. Numérisation des entreprises - 16706_Transformation numérique des PME</w:t>
            </w:r>
          </w:p>
        </w:tc>
        <w:tc>
          <w:tcPr>
            <w:tcW w:w="1417" w:type="dxa"/>
            <w:tcBorders>
              <w:top w:val="nil"/>
              <w:left w:val="nil"/>
              <w:bottom w:val="single" w:sz="4" w:space="0" w:color="auto"/>
              <w:right w:val="single" w:sz="4" w:space="0" w:color="auto"/>
            </w:tcBorders>
            <w:shd w:val="clear" w:color="auto" w:fill="C6EFCE"/>
            <w:noWrap/>
            <w:vAlign w:val="center"/>
          </w:tcPr>
          <w:p w14:paraId="6384E19E" w14:textId="77777777" w:rsidR="00A00259" w:rsidRDefault="00371282">
            <w:pPr>
              <w:pStyle w:val="P68B1DB1-Normal11"/>
              <w:keepNext/>
              <w:spacing w:before="40" w:after="0" w:line="240" w:lineRule="auto"/>
              <w:jc w:val="both"/>
              <w:rPr>
                <w:rFonts w:eastAsia="Times New Roman" w:cs="Times New Roman"/>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7BD053AB" w14:textId="40EAB7BF" w:rsidR="00A00259" w:rsidRDefault="00371282">
            <w:pPr>
              <w:pStyle w:val="P68B1DB1-Normal11"/>
              <w:keepNext/>
              <w:spacing w:before="40" w:after="0" w:line="240" w:lineRule="auto"/>
              <w:jc w:val="both"/>
              <w:rPr>
                <w:noProof/>
              </w:rPr>
            </w:pPr>
            <w:r>
              <w:rPr>
                <w:noProof/>
              </w:rPr>
              <w:t>Transformation numérique des PME – Réalisation de l’étape 2 des projets d’investissement pour les produits/services numériques</w:t>
            </w:r>
          </w:p>
        </w:tc>
      </w:tr>
      <w:tr w:rsidR="00A00259" w14:paraId="536FDE74"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E75F3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140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83DC29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 9 - 3.2. Éducation, enseignement et formation professionnels et compétences - 16913_Une nouvelle stratégie pour la formation tout au long de la vie: Moderniser et moderniser le système grec de perfectionnement et de reconversion professionnels</w:t>
            </w:r>
          </w:p>
        </w:tc>
        <w:tc>
          <w:tcPr>
            <w:tcW w:w="1417" w:type="dxa"/>
            <w:tcBorders>
              <w:top w:val="nil"/>
              <w:left w:val="nil"/>
              <w:bottom w:val="single" w:sz="4" w:space="0" w:color="auto"/>
              <w:right w:val="single" w:sz="4" w:space="0" w:color="auto"/>
            </w:tcBorders>
            <w:shd w:val="clear" w:color="auto" w:fill="C6EFCE"/>
            <w:noWrap/>
            <w:vAlign w:val="center"/>
            <w:hideMark/>
          </w:tcPr>
          <w:p w14:paraId="345DF484"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137A3C81" w14:textId="77777777" w:rsidR="00A00259" w:rsidRDefault="00371282">
            <w:pPr>
              <w:pStyle w:val="P68B1DB1-Normal55"/>
              <w:keepNext/>
              <w:spacing w:before="40" w:after="0" w:line="240" w:lineRule="auto"/>
              <w:jc w:val="both"/>
              <w:rPr>
                <w:rFonts w:eastAsia="Times New Roman" w:cs="Times New Roman"/>
                <w:noProof/>
                <w:szCs w:val="18"/>
              </w:rPr>
            </w:pPr>
            <w:r>
              <w:rPr>
                <w:noProof/>
              </w:rPr>
              <w:t>Programmes de formation à l'apprentissage tout au long de la vie par étapes validation et certification des compétences acquises</w:t>
            </w:r>
          </w:p>
        </w:tc>
      </w:tr>
      <w:tr w:rsidR="00A00259" w14:paraId="6FB648A5" w14:textId="77777777">
        <w:trPr>
          <w:trHeight w:val="300"/>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257A0AB4" w14:textId="77777777" w:rsidR="00A00259" w:rsidRDefault="00371282">
            <w:pPr>
              <w:pStyle w:val="P68B1DB1-Normal11"/>
              <w:keepNext/>
              <w:spacing w:before="40" w:after="0" w:line="240" w:lineRule="auto"/>
              <w:jc w:val="both"/>
              <w:rPr>
                <w:rFonts w:eastAsia="Times New Roman" w:cs="Times New Roman"/>
                <w:noProof/>
              </w:rPr>
            </w:pPr>
            <w:r>
              <w:rPr>
                <w:noProof/>
              </w:rPr>
              <w:t>134a</w:t>
            </w:r>
          </w:p>
        </w:tc>
        <w:tc>
          <w:tcPr>
            <w:tcW w:w="4820" w:type="dxa"/>
            <w:tcBorders>
              <w:top w:val="nil"/>
              <w:left w:val="single" w:sz="4" w:space="0" w:color="auto"/>
              <w:bottom w:val="single" w:sz="4" w:space="0" w:color="auto"/>
              <w:right w:val="single" w:sz="4" w:space="0" w:color="auto"/>
            </w:tcBorders>
            <w:shd w:val="clear" w:color="auto" w:fill="C6EFCE"/>
            <w:noWrap/>
            <w:hideMark/>
          </w:tcPr>
          <w:p w14:paraId="55F96784" w14:textId="77777777" w:rsidR="00A00259" w:rsidRDefault="00371282">
            <w:pPr>
              <w:pStyle w:val="P68B1DB1-Normal11"/>
              <w:keepNext/>
              <w:spacing w:before="40" w:after="0" w:line="240" w:lineRule="auto"/>
              <w:jc w:val="both"/>
              <w:rPr>
                <w:rFonts w:eastAsia="Times New Roman" w:cs="Times New Roman"/>
                <w:noProof/>
              </w:rPr>
            </w:pPr>
            <w:r>
              <w:rPr>
                <w:noProof/>
              </w:rPr>
              <w:t>8 - 3.1. Promouvoir la création d'emplois et la participation au marché du travail - 16750_Transformation numérique des systèmes de travail</w:t>
            </w:r>
          </w:p>
        </w:tc>
        <w:tc>
          <w:tcPr>
            <w:tcW w:w="1417" w:type="dxa"/>
            <w:tcBorders>
              <w:top w:val="nil"/>
              <w:left w:val="nil"/>
              <w:bottom w:val="single" w:sz="4" w:space="0" w:color="auto"/>
              <w:right w:val="single" w:sz="4" w:space="0" w:color="auto"/>
            </w:tcBorders>
            <w:shd w:val="clear" w:color="auto" w:fill="C6EFCE"/>
            <w:noWrap/>
            <w:hideMark/>
          </w:tcPr>
          <w:p w14:paraId="5C0521C5" w14:textId="77777777" w:rsidR="00A00259" w:rsidRDefault="00371282">
            <w:pPr>
              <w:pStyle w:val="P68B1DB1-Normal11"/>
              <w:keepNext/>
              <w:spacing w:before="40" w:after="0" w:line="240" w:lineRule="auto"/>
              <w:jc w:val="both"/>
              <w:rPr>
                <w:rFonts w:eastAsia="Times New Roman" w:cs="Times New Roman"/>
                <w:noProof/>
              </w:rPr>
            </w:pPr>
            <w:r>
              <w:rPr>
                <w:noProof/>
              </w:rPr>
              <w:t>Étape</w:t>
            </w:r>
          </w:p>
        </w:tc>
        <w:tc>
          <w:tcPr>
            <w:tcW w:w="3292" w:type="dxa"/>
            <w:tcBorders>
              <w:top w:val="nil"/>
              <w:left w:val="nil"/>
              <w:bottom w:val="single" w:sz="4" w:space="0" w:color="auto"/>
              <w:right w:val="single" w:sz="4" w:space="0" w:color="auto"/>
            </w:tcBorders>
            <w:shd w:val="clear" w:color="auto" w:fill="C6EFCE"/>
            <w:noWrap/>
            <w:hideMark/>
          </w:tcPr>
          <w:p w14:paraId="4BED7535" w14:textId="77777777" w:rsidR="00A00259" w:rsidRDefault="00371282">
            <w:pPr>
              <w:pStyle w:val="P68B1DB1-Normal11"/>
              <w:keepNext/>
              <w:spacing w:before="40" w:after="0" w:line="240" w:lineRule="auto"/>
              <w:jc w:val="both"/>
              <w:rPr>
                <w:rFonts w:eastAsia="Times New Roman" w:cs="Times New Roman"/>
                <w:noProof/>
              </w:rPr>
            </w:pPr>
            <w:r>
              <w:rPr>
                <w:noProof/>
              </w:rPr>
              <w:t>Mise en œuvre des systèmes informatiques de travail</w:t>
            </w:r>
          </w:p>
        </w:tc>
      </w:tr>
      <w:tr w:rsidR="00A00259" w14:paraId="7060B984"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3BB57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146</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8AD6F2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9 - 3.2. Éducation, enseignement et formation professionnels et compétences - 16792_Formation, reconversion et perfectionnement professionnels de la main-d'œuvre grâce à un modèle de formation réformé (enseignement et formation professionnels; réforme de la formation)</w:t>
            </w:r>
          </w:p>
        </w:tc>
        <w:tc>
          <w:tcPr>
            <w:tcW w:w="1417" w:type="dxa"/>
            <w:tcBorders>
              <w:top w:val="nil"/>
              <w:left w:val="nil"/>
              <w:bottom w:val="single" w:sz="4" w:space="0" w:color="auto"/>
              <w:right w:val="single" w:sz="4" w:space="0" w:color="auto"/>
            </w:tcBorders>
            <w:shd w:val="clear" w:color="auto" w:fill="C6EFCE"/>
            <w:noWrap/>
            <w:vAlign w:val="center"/>
            <w:hideMark/>
          </w:tcPr>
          <w:p w14:paraId="608EB5C3"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5DDFDE51" w14:textId="77777777" w:rsidR="00A00259" w:rsidRDefault="00371282">
            <w:pPr>
              <w:pStyle w:val="P68B1DB1-Normal11"/>
              <w:spacing w:after="0" w:line="240" w:lineRule="auto"/>
              <w:rPr>
                <w:rFonts w:eastAsia="Times New Roman" w:cs="Times New Roman"/>
                <w:noProof/>
              </w:rPr>
            </w:pPr>
            <w:r>
              <w:rPr>
                <w:noProof/>
              </w:rPr>
              <w:t>Système de contrôle de la qualité de l’EFP, mise en œuvre de programmes de formation sectoriels</w:t>
            </w:r>
          </w:p>
        </w:tc>
      </w:tr>
      <w:tr w:rsidR="00A00259" w14:paraId="1CE6BA1E"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49B9F2F7" w14:textId="77777777" w:rsidR="00A00259" w:rsidRDefault="00371282">
            <w:pPr>
              <w:pStyle w:val="P68B1DB1-Normal55"/>
              <w:keepNext/>
              <w:spacing w:before="40" w:after="0" w:line="240" w:lineRule="auto"/>
              <w:jc w:val="both"/>
              <w:rPr>
                <w:rFonts w:cs="Times New Roman"/>
                <w:noProof/>
                <w:szCs w:val="18"/>
              </w:rPr>
            </w:pPr>
            <w:r>
              <w:rPr>
                <w:noProof/>
              </w:rPr>
              <w:t>148b</w:t>
            </w:r>
          </w:p>
        </w:tc>
        <w:tc>
          <w:tcPr>
            <w:tcW w:w="4820" w:type="dxa"/>
            <w:tcBorders>
              <w:top w:val="nil"/>
              <w:left w:val="single" w:sz="4" w:space="0" w:color="auto"/>
              <w:bottom w:val="single" w:sz="4" w:space="0" w:color="auto"/>
              <w:right w:val="single" w:sz="4" w:space="0" w:color="auto"/>
            </w:tcBorders>
            <w:shd w:val="clear" w:color="auto" w:fill="C6EFCE"/>
            <w:noWrap/>
            <w:hideMark/>
          </w:tcPr>
          <w:p w14:paraId="7DAACADD" w14:textId="77777777" w:rsidR="00A00259" w:rsidRDefault="00371282">
            <w:pPr>
              <w:pStyle w:val="P68B1DB1-Normal55"/>
              <w:keepNext/>
              <w:spacing w:before="40" w:after="0" w:line="240" w:lineRule="auto"/>
              <w:jc w:val="both"/>
              <w:rPr>
                <w:rFonts w:cs="Times New Roman"/>
                <w:noProof/>
                <w:szCs w:val="18"/>
              </w:rPr>
            </w:pPr>
            <w:r>
              <w:rPr>
                <w:noProof/>
              </w:rPr>
              <w:t>9 - 3.2. Éducation, enseignement et formation professionnels et compétences - 16676_Transformation numérique de l'éducation</w:t>
            </w:r>
          </w:p>
        </w:tc>
        <w:tc>
          <w:tcPr>
            <w:tcW w:w="1417" w:type="dxa"/>
            <w:tcBorders>
              <w:top w:val="nil"/>
              <w:left w:val="nil"/>
              <w:bottom w:val="single" w:sz="4" w:space="0" w:color="auto"/>
              <w:right w:val="single" w:sz="4" w:space="0" w:color="auto"/>
            </w:tcBorders>
            <w:shd w:val="clear" w:color="auto" w:fill="C6EFCE"/>
            <w:noWrap/>
            <w:hideMark/>
          </w:tcPr>
          <w:p w14:paraId="1C357806" w14:textId="77777777" w:rsidR="00A00259" w:rsidRDefault="00371282">
            <w:pPr>
              <w:pStyle w:val="P68B1DB1-Normal55"/>
              <w:keepNext/>
              <w:spacing w:before="40" w:after="0" w:line="240" w:lineRule="auto"/>
              <w:jc w:val="both"/>
              <w:rPr>
                <w:rFonts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hideMark/>
          </w:tcPr>
          <w:p w14:paraId="4A4A3BD8" w14:textId="77777777" w:rsidR="00A00259" w:rsidRDefault="00371282">
            <w:pPr>
              <w:pStyle w:val="P68B1DB1-Normal11"/>
              <w:spacing w:after="0" w:line="240" w:lineRule="auto"/>
              <w:rPr>
                <w:noProof/>
              </w:rPr>
            </w:pPr>
            <w:r>
              <w:rPr>
                <w:noProof/>
              </w:rPr>
              <w:t>Transformation numérique de l'éducation</w:t>
            </w:r>
          </w:p>
        </w:tc>
      </w:tr>
      <w:tr w:rsidR="00A00259" w14:paraId="44B876CF"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7ED2E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149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E6E0F75" w14:textId="4F6A812F" w:rsidR="00A00259" w:rsidRDefault="00371282">
            <w:pPr>
              <w:pStyle w:val="P68B1DB1-Normal55"/>
              <w:keepNext/>
              <w:spacing w:before="40" w:after="0" w:line="240" w:lineRule="auto"/>
              <w:jc w:val="both"/>
              <w:rPr>
                <w:rFonts w:eastAsia="Times New Roman" w:cs="Times New Roman"/>
                <w:bCs/>
                <w:noProof/>
                <w:szCs w:val="18"/>
              </w:rPr>
            </w:pPr>
            <w:r>
              <w:rPr>
                <w:noProof/>
              </w:rPr>
              <w:t>9 - 3.2. Éducation, enseignement et formation professionnels et compétences - 16933_Amélioration de l'enseignement et de la formation professionnels (EFP): Achat d’équipements de laboratoire pour les laboratoires des unités d’EFP</w:t>
            </w:r>
          </w:p>
        </w:tc>
        <w:tc>
          <w:tcPr>
            <w:tcW w:w="1417" w:type="dxa"/>
            <w:tcBorders>
              <w:top w:val="nil"/>
              <w:left w:val="nil"/>
              <w:bottom w:val="single" w:sz="4" w:space="0" w:color="auto"/>
              <w:right w:val="single" w:sz="4" w:space="0" w:color="auto"/>
            </w:tcBorders>
            <w:shd w:val="clear" w:color="auto" w:fill="C6EFCE"/>
            <w:noWrap/>
            <w:vAlign w:val="center"/>
            <w:hideMark/>
          </w:tcPr>
          <w:p w14:paraId="6F53DB09"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7F06D8CF" w14:textId="4021C365" w:rsidR="00A00259" w:rsidRDefault="00371282">
            <w:pPr>
              <w:pStyle w:val="P68B1DB1-Normal55"/>
              <w:keepNext/>
              <w:spacing w:before="40" w:after="0" w:line="240" w:lineRule="auto"/>
              <w:jc w:val="both"/>
              <w:rPr>
                <w:noProof/>
              </w:rPr>
            </w:pPr>
            <w:r>
              <w:rPr>
                <w:noProof/>
              </w:rPr>
              <w:t>Modernisation des laboratoires des unités d’EFP</w:t>
            </w:r>
          </w:p>
        </w:tc>
      </w:tr>
      <w:tr w:rsidR="00A00259" w14:paraId="5B485CBE"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B2B58B" w14:textId="77777777" w:rsidR="00A00259" w:rsidRDefault="00371282">
            <w:pPr>
              <w:pStyle w:val="P68B1DB1-Normal11"/>
              <w:keepNext/>
              <w:spacing w:before="40" w:after="0" w:line="240" w:lineRule="auto"/>
              <w:jc w:val="both"/>
              <w:rPr>
                <w:rFonts w:eastAsia="Times New Roman" w:cs="Times New Roman"/>
                <w:bCs/>
                <w:noProof/>
              </w:rPr>
            </w:pPr>
            <w:r>
              <w:rPr>
                <w:noProof/>
              </w:rPr>
              <w:t>150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9EB873D"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9 - 3.2. Éducation, enseignement et formation professionnels et compétences - 16289_Stratégie d'excellence dans les universités &amp; Innovation</w:t>
            </w:r>
          </w:p>
        </w:tc>
        <w:tc>
          <w:tcPr>
            <w:tcW w:w="1417" w:type="dxa"/>
            <w:tcBorders>
              <w:top w:val="nil"/>
              <w:left w:val="nil"/>
              <w:bottom w:val="single" w:sz="4" w:space="0" w:color="auto"/>
              <w:right w:val="single" w:sz="4" w:space="0" w:color="auto"/>
            </w:tcBorders>
            <w:shd w:val="clear" w:color="auto" w:fill="C6EFCE"/>
            <w:noWrap/>
            <w:vAlign w:val="center"/>
            <w:hideMark/>
          </w:tcPr>
          <w:p w14:paraId="4BAFFECF"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39CF2843" w14:textId="77777777" w:rsidR="00A00259" w:rsidRDefault="00371282">
            <w:pPr>
              <w:pStyle w:val="P68B1DB1-Normal55"/>
              <w:keepNext/>
              <w:spacing w:before="40" w:after="0" w:line="240" w:lineRule="auto"/>
              <w:jc w:val="both"/>
              <w:rPr>
                <w:rFonts w:eastAsia="Times New Roman" w:cs="Times New Roman"/>
                <w:noProof/>
                <w:szCs w:val="18"/>
              </w:rPr>
            </w:pPr>
            <w:r>
              <w:rPr>
                <w:noProof/>
              </w:rPr>
              <w:t>Exécution de projets de recherche collaborative et de projets pour les universités grecques, et délivrance de décisions d'approbation pour les programmes de troisième cycle</w:t>
            </w:r>
          </w:p>
        </w:tc>
      </w:tr>
      <w:tr w:rsidR="00A00259" w14:paraId="0546852A"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1ACD0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152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59383D8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9 - 3.2. Éducation, enseignement et formation professionnels et compétences - 16934_Amélioration de l'enseignement et de la formation professionnels</w:t>
            </w:r>
          </w:p>
        </w:tc>
        <w:tc>
          <w:tcPr>
            <w:tcW w:w="1417" w:type="dxa"/>
            <w:tcBorders>
              <w:top w:val="nil"/>
              <w:left w:val="nil"/>
              <w:bottom w:val="single" w:sz="4" w:space="0" w:color="auto"/>
              <w:right w:val="single" w:sz="4" w:space="0" w:color="auto"/>
            </w:tcBorders>
            <w:shd w:val="clear" w:color="auto" w:fill="C6EFCE"/>
            <w:noWrap/>
            <w:vAlign w:val="center"/>
            <w:hideMark/>
          </w:tcPr>
          <w:p w14:paraId="5D9CBEBB" w14:textId="77777777" w:rsidR="00A00259" w:rsidRDefault="00371282">
            <w:pPr>
              <w:pStyle w:val="P68B1DB1-Normal11"/>
              <w:keepNext/>
              <w:spacing w:before="40" w:after="0" w:line="240" w:lineRule="auto"/>
              <w:jc w:val="both"/>
              <w:rPr>
                <w:rFonts w:eastAsia="Times New Roman" w:cs="Times New Roman"/>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614DEB3E" w14:textId="0F4007CA" w:rsidR="00A00259" w:rsidRDefault="00371282">
            <w:pPr>
              <w:pStyle w:val="P68B1DB1-Normal11"/>
              <w:keepNext/>
              <w:spacing w:before="40" w:after="0" w:line="240" w:lineRule="auto"/>
              <w:jc w:val="both"/>
              <w:rPr>
                <w:rFonts w:eastAsia="Times New Roman" w:cs="Times New Roman"/>
                <w:noProof/>
              </w:rPr>
            </w:pPr>
            <w:r>
              <w:rPr>
                <w:noProof/>
              </w:rPr>
              <w:t>Systèmes d’information de l’EOPPEP et développement d’une plateforme d’apprentissage en ligne pour l’EFP</w:t>
            </w:r>
          </w:p>
        </w:tc>
      </w:tr>
      <w:tr w:rsidR="00A00259" w14:paraId="6300C03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6F555A" w14:textId="77777777" w:rsidR="00A00259" w:rsidRDefault="00371282">
            <w:pPr>
              <w:pStyle w:val="P68B1DB1-Normal11"/>
              <w:spacing w:line="240" w:lineRule="auto"/>
              <w:jc w:val="both"/>
              <w:rPr>
                <w:noProof/>
              </w:rPr>
            </w:pPr>
            <w:r>
              <w:rPr>
                <w:noProof/>
              </w:rPr>
              <w:t>156 bis</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32A4745" w14:textId="77777777" w:rsidR="00A00259" w:rsidRDefault="00371282">
            <w:pPr>
              <w:pStyle w:val="P68B1DB1-Normal11"/>
              <w:keepNext/>
              <w:spacing w:before="40" w:after="0" w:line="240" w:lineRule="auto"/>
              <w:jc w:val="both"/>
              <w:rPr>
                <w:rFonts w:eastAsia="Times New Roman" w:cs="Times New Roman"/>
                <w:noProof/>
              </w:rPr>
            </w:pPr>
            <w:r>
              <w:rPr>
                <w:noProof/>
              </w:rPr>
              <w:t>10 - 3.3. Améliorer la résilience, l'accessibilité et la durabilité des soins de santé - 16816_Clawback Réduction et rationalisation des dépenses de santé</w:t>
            </w:r>
          </w:p>
        </w:tc>
        <w:tc>
          <w:tcPr>
            <w:tcW w:w="1417" w:type="dxa"/>
            <w:tcBorders>
              <w:top w:val="nil"/>
              <w:left w:val="nil"/>
              <w:bottom w:val="single" w:sz="4" w:space="0" w:color="auto"/>
              <w:right w:val="single" w:sz="4" w:space="0" w:color="auto"/>
            </w:tcBorders>
            <w:shd w:val="clear" w:color="auto" w:fill="C6EFCE"/>
            <w:noWrap/>
            <w:vAlign w:val="center"/>
            <w:hideMark/>
          </w:tcPr>
          <w:p w14:paraId="77FCF95B" w14:textId="77777777" w:rsidR="00A00259" w:rsidRDefault="00371282">
            <w:pPr>
              <w:pStyle w:val="P68B1DB1-Normal11"/>
              <w:keepNext/>
              <w:spacing w:before="40" w:after="0" w:line="240" w:lineRule="auto"/>
              <w:jc w:val="both"/>
              <w:rPr>
                <w:rFonts w:eastAsia="Times New Roman" w:cs="Times New Roman"/>
                <w:noProof/>
              </w:rPr>
            </w:pPr>
            <w:r>
              <w:rPr>
                <w:noProof/>
              </w:rPr>
              <w:t>Objectif</w:t>
            </w:r>
          </w:p>
        </w:tc>
        <w:tc>
          <w:tcPr>
            <w:tcW w:w="3292" w:type="dxa"/>
            <w:tcBorders>
              <w:top w:val="nil"/>
              <w:left w:val="nil"/>
              <w:bottom w:val="single" w:sz="4" w:space="0" w:color="auto"/>
              <w:right w:val="single" w:sz="4" w:space="0" w:color="auto"/>
            </w:tcBorders>
            <w:shd w:val="clear" w:color="auto" w:fill="C6EFCE"/>
            <w:noWrap/>
            <w:vAlign w:val="center"/>
            <w:hideMark/>
          </w:tcPr>
          <w:p w14:paraId="3EF7095A" w14:textId="77777777" w:rsidR="00A00259" w:rsidRDefault="00371282">
            <w:pPr>
              <w:pStyle w:val="P68B1DB1-Normal11"/>
              <w:keepNext/>
              <w:spacing w:before="40" w:after="0" w:line="240" w:lineRule="auto"/>
              <w:jc w:val="both"/>
              <w:rPr>
                <w:rFonts w:cs="Times New Roman"/>
                <w:noProof/>
              </w:rPr>
            </w:pPr>
            <w:r>
              <w:rPr>
                <w:noProof/>
              </w:rPr>
              <w:t>R&amp;D pharmaceutique</w:t>
            </w:r>
          </w:p>
          <w:p w14:paraId="262E8DC0" w14:textId="77777777" w:rsidR="00A00259" w:rsidRDefault="00371282">
            <w:pPr>
              <w:pStyle w:val="P68B1DB1-Normal11"/>
              <w:keepNext/>
              <w:spacing w:before="40" w:after="0" w:line="240" w:lineRule="auto"/>
              <w:jc w:val="both"/>
              <w:rPr>
                <w:noProof/>
              </w:rPr>
            </w:pPr>
            <w:r>
              <w:rPr>
                <w:noProof/>
              </w:rPr>
              <w:t>preuve de l'investissement - étape 2</w:t>
            </w:r>
          </w:p>
        </w:tc>
      </w:tr>
      <w:tr w:rsidR="00A00259" w14:paraId="1FFDECC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DBB48F" w14:textId="77777777" w:rsidR="00A00259" w:rsidRDefault="00371282">
            <w:pPr>
              <w:pStyle w:val="P68B1DB1-Normal55"/>
              <w:keepNext/>
              <w:spacing w:before="40" w:after="0" w:line="240" w:lineRule="auto"/>
              <w:jc w:val="both"/>
              <w:rPr>
                <w:rFonts w:cs="Times New Roman"/>
                <w:noProof/>
                <w:szCs w:val="18"/>
              </w:rPr>
            </w:pPr>
            <w:r>
              <w:rPr>
                <w:noProof/>
              </w:rPr>
              <w:t>158</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DAAA7F8" w14:textId="77777777" w:rsidR="00A00259" w:rsidRDefault="00371282">
            <w:pPr>
              <w:pStyle w:val="P68B1DB1-Normal55"/>
              <w:keepNext/>
              <w:spacing w:before="40" w:after="0" w:line="240" w:lineRule="auto"/>
              <w:jc w:val="both"/>
              <w:rPr>
                <w:rFonts w:cs="Times New Roman"/>
                <w:noProof/>
                <w:szCs w:val="18"/>
              </w:rPr>
            </w:pPr>
            <w:r>
              <w:rPr>
                <w:noProof/>
              </w:rPr>
              <w:t>10 - 3.3. Améliorer la résilience, l'accessibilité et la durabilité des soins de santé - 16816_Clawback Réduction et rationalisation des dépenses de santé</w:t>
            </w:r>
          </w:p>
        </w:tc>
        <w:tc>
          <w:tcPr>
            <w:tcW w:w="1417" w:type="dxa"/>
            <w:tcBorders>
              <w:top w:val="nil"/>
              <w:left w:val="nil"/>
              <w:bottom w:val="single" w:sz="4" w:space="0" w:color="auto"/>
              <w:right w:val="single" w:sz="4" w:space="0" w:color="auto"/>
            </w:tcBorders>
            <w:shd w:val="clear" w:color="auto" w:fill="C6EFCE"/>
            <w:noWrap/>
            <w:vAlign w:val="center"/>
            <w:hideMark/>
          </w:tcPr>
          <w:p w14:paraId="56FA9CA6" w14:textId="77777777" w:rsidR="00A00259" w:rsidRDefault="00371282">
            <w:pPr>
              <w:pStyle w:val="P68B1DB1-Normal55"/>
              <w:keepNext/>
              <w:spacing w:before="40" w:after="0" w:line="240" w:lineRule="auto"/>
              <w:jc w:val="both"/>
              <w:rPr>
                <w:rFonts w:cs="Times New Roman"/>
                <w:noProof/>
                <w:szCs w:val="18"/>
              </w:rPr>
            </w:pPr>
            <w:r>
              <w:rPr>
                <w:noProof/>
              </w:rPr>
              <w:t>Objectif</w:t>
            </w:r>
          </w:p>
        </w:tc>
        <w:tc>
          <w:tcPr>
            <w:tcW w:w="3292" w:type="dxa"/>
            <w:tcBorders>
              <w:top w:val="nil"/>
              <w:left w:val="nil"/>
              <w:bottom w:val="single" w:sz="4" w:space="0" w:color="auto"/>
              <w:right w:val="single" w:sz="4" w:space="0" w:color="auto"/>
            </w:tcBorders>
            <w:shd w:val="clear" w:color="auto" w:fill="C6EFCE"/>
            <w:noWrap/>
            <w:vAlign w:val="center"/>
            <w:hideMark/>
          </w:tcPr>
          <w:p w14:paraId="6758780D" w14:textId="77777777" w:rsidR="00A00259" w:rsidRDefault="00371282">
            <w:pPr>
              <w:pStyle w:val="P68B1DB1-Normal55"/>
              <w:keepNext/>
              <w:spacing w:before="40" w:after="0" w:line="240" w:lineRule="auto"/>
              <w:jc w:val="both"/>
              <w:rPr>
                <w:rFonts w:cs="Times New Roman"/>
                <w:noProof/>
                <w:szCs w:val="18"/>
              </w:rPr>
            </w:pPr>
            <w:r>
              <w:rPr>
                <w:noProof/>
              </w:rPr>
              <w:t xml:space="preserve">Diminution de la récupération </w:t>
            </w:r>
          </w:p>
          <w:p w14:paraId="48026C34" w14:textId="77777777" w:rsidR="00A00259" w:rsidRDefault="00371282">
            <w:pPr>
              <w:pStyle w:val="P68B1DB1-Normal55"/>
              <w:keepNext/>
              <w:spacing w:before="40" w:after="0" w:line="240" w:lineRule="auto"/>
              <w:jc w:val="both"/>
              <w:rPr>
                <w:rFonts w:cs="Times New Roman"/>
                <w:noProof/>
                <w:szCs w:val="18"/>
              </w:rPr>
            </w:pPr>
            <w:r>
              <w:rPr>
                <w:noProof/>
              </w:rPr>
              <w:t>400 000 000 - étape 4</w:t>
            </w:r>
          </w:p>
        </w:tc>
      </w:tr>
      <w:tr w:rsidR="00A00259" w14:paraId="0B653DD9"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B7202C8" w14:textId="77777777" w:rsidR="00A00259" w:rsidRDefault="00371282">
            <w:pPr>
              <w:pStyle w:val="P68B1DB1-Normal11"/>
              <w:keepNext/>
              <w:spacing w:before="40" w:after="0" w:line="240" w:lineRule="auto"/>
              <w:jc w:val="both"/>
              <w:rPr>
                <w:noProof/>
              </w:rPr>
            </w:pPr>
            <w:r>
              <w:rPr>
                <w:noProof/>
              </w:rPr>
              <w:t>164 bis</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FE1A719" w14:textId="77777777" w:rsidR="00A00259" w:rsidRDefault="00371282">
            <w:pPr>
              <w:pStyle w:val="P68B1DB1-Normal55"/>
              <w:keepNext/>
              <w:spacing w:before="40" w:after="0" w:line="240" w:lineRule="auto"/>
              <w:jc w:val="both"/>
              <w:rPr>
                <w:noProof/>
              </w:rPr>
            </w:pPr>
            <w:r>
              <w:rPr>
                <w:noProof/>
              </w:rPr>
              <w:t xml:space="preserve">10 - 3.3. Améliorer la résilience, l'accessibilité et la durabilité des soins de santé - 16756_Réformes organisationnelles du système de santé </w:t>
            </w:r>
          </w:p>
        </w:tc>
        <w:tc>
          <w:tcPr>
            <w:tcW w:w="1417" w:type="dxa"/>
            <w:tcBorders>
              <w:top w:val="nil"/>
              <w:left w:val="nil"/>
              <w:bottom w:val="single" w:sz="4" w:space="0" w:color="auto"/>
              <w:right w:val="single" w:sz="4" w:space="0" w:color="auto"/>
            </w:tcBorders>
            <w:shd w:val="clear" w:color="auto" w:fill="C6EFCE"/>
            <w:noWrap/>
            <w:vAlign w:val="center"/>
            <w:hideMark/>
          </w:tcPr>
          <w:p w14:paraId="5ED4280C" w14:textId="77777777" w:rsidR="00A00259" w:rsidRDefault="00371282">
            <w:pPr>
              <w:pStyle w:val="P68B1DB1-Normal55"/>
              <w:keepNext/>
              <w:spacing w:before="40" w:after="0" w:line="240" w:lineRule="auto"/>
              <w:jc w:val="both"/>
              <w:rPr>
                <w:noProof/>
              </w:rPr>
            </w:pPr>
            <w:r>
              <w:rPr>
                <w:noProof/>
              </w:rPr>
              <w:t>Objectif</w:t>
            </w:r>
          </w:p>
        </w:tc>
        <w:tc>
          <w:tcPr>
            <w:tcW w:w="3292" w:type="dxa"/>
            <w:tcBorders>
              <w:top w:val="nil"/>
              <w:left w:val="nil"/>
              <w:bottom w:val="single" w:sz="4" w:space="0" w:color="auto"/>
              <w:right w:val="single" w:sz="4" w:space="0" w:color="auto"/>
            </w:tcBorders>
            <w:shd w:val="clear" w:color="auto" w:fill="C6EFCE"/>
            <w:noWrap/>
            <w:vAlign w:val="center"/>
            <w:hideMark/>
          </w:tcPr>
          <w:p w14:paraId="0C113685" w14:textId="77777777" w:rsidR="00A00259" w:rsidRDefault="00371282">
            <w:pPr>
              <w:pStyle w:val="P68B1DB1-Normal55"/>
              <w:keepNext/>
              <w:spacing w:before="40" w:after="0" w:line="240" w:lineRule="auto"/>
              <w:jc w:val="both"/>
              <w:rPr>
                <w:noProof/>
              </w:rPr>
            </w:pPr>
            <w:r>
              <w:rPr>
                <w:noProof/>
              </w:rPr>
              <w:t>Réduction de la liste d'attente pour les chirurgies</w:t>
            </w:r>
          </w:p>
        </w:tc>
      </w:tr>
      <w:tr w:rsidR="00A00259" w14:paraId="51884C72"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0263C8" w14:textId="77777777" w:rsidR="00A00259" w:rsidRDefault="00371282">
            <w:pPr>
              <w:pStyle w:val="P68B1DB1-Normal11"/>
              <w:keepNext/>
              <w:spacing w:before="40" w:after="0" w:line="240" w:lineRule="auto"/>
              <w:jc w:val="both"/>
              <w:rPr>
                <w:noProof/>
              </w:rPr>
            </w:pPr>
            <w:r>
              <w:rPr>
                <w:noProof/>
              </w:rPr>
              <w:t>164 ter</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64BAC11A" w14:textId="77777777" w:rsidR="00A00259" w:rsidRDefault="00371282">
            <w:pPr>
              <w:pStyle w:val="P68B1DB1-Normal55"/>
              <w:keepNext/>
              <w:spacing w:before="40" w:after="0" w:line="240" w:lineRule="auto"/>
              <w:jc w:val="both"/>
              <w:rPr>
                <w:noProof/>
              </w:rPr>
            </w:pPr>
            <w:r>
              <w:rPr>
                <w:noProof/>
              </w:rPr>
              <w:t xml:space="preserve">10 - 3.3. Améliorer la résilience, l'accessibilité et la durabilité des soins de santé - 16756_Réformes organisationnelles du système de santé </w:t>
            </w:r>
          </w:p>
        </w:tc>
        <w:tc>
          <w:tcPr>
            <w:tcW w:w="1417" w:type="dxa"/>
            <w:tcBorders>
              <w:top w:val="nil"/>
              <w:left w:val="nil"/>
              <w:bottom w:val="single" w:sz="4" w:space="0" w:color="auto"/>
              <w:right w:val="single" w:sz="4" w:space="0" w:color="auto"/>
            </w:tcBorders>
            <w:shd w:val="clear" w:color="auto" w:fill="C6EFCE"/>
            <w:noWrap/>
            <w:vAlign w:val="center"/>
          </w:tcPr>
          <w:p w14:paraId="6B8EED4A" w14:textId="77777777" w:rsidR="00A00259" w:rsidRDefault="00371282">
            <w:pPr>
              <w:pStyle w:val="P68B1DB1-Normal55"/>
              <w:keepNext/>
              <w:spacing w:before="40" w:after="0" w:line="240" w:lineRule="auto"/>
              <w:jc w:val="both"/>
              <w:rPr>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tcPr>
          <w:p w14:paraId="653230D5" w14:textId="77777777" w:rsidR="00A00259" w:rsidRDefault="00371282">
            <w:pPr>
              <w:pStyle w:val="P68B1DB1-Normal55"/>
              <w:keepNext/>
              <w:spacing w:before="40" w:after="0" w:line="240" w:lineRule="auto"/>
              <w:jc w:val="both"/>
              <w:rPr>
                <w:noProof/>
              </w:rPr>
            </w:pPr>
            <w:r>
              <w:rPr>
                <w:noProof/>
              </w:rPr>
              <w:t>Navigation et orientation du système de santé pour les citoyens</w:t>
            </w:r>
          </w:p>
        </w:tc>
      </w:tr>
      <w:tr w:rsidR="00A00259" w14:paraId="5DB5C8B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E98EE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165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F1CE7F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10 - 3.3. «Améliorer la résilience, l’accessibilité et la durabilité des soins de santé» - 16783_Mise en œuvre du programme national de prévention de la santé publique «Spiros Doxiadis» (NPP’SD)</w:t>
            </w:r>
          </w:p>
        </w:tc>
        <w:tc>
          <w:tcPr>
            <w:tcW w:w="1417" w:type="dxa"/>
            <w:tcBorders>
              <w:top w:val="nil"/>
              <w:left w:val="nil"/>
              <w:bottom w:val="single" w:sz="4" w:space="0" w:color="auto"/>
              <w:right w:val="single" w:sz="4" w:space="0" w:color="auto"/>
            </w:tcBorders>
            <w:shd w:val="clear" w:color="auto" w:fill="C6EFCE"/>
            <w:noWrap/>
            <w:vAlign w:val="center"/>
            <w:hideMark/>
          </w:tcPr>
          <w:p w14:paraId="52FB24A0"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07B8F5AE" w14:textId="77777777" w:rsidR="00A00259" w:rsidRDefault="00371282">
            <w:pPr>
              <w:pStyle w:val="P68B1DB1-Normal55"/>
              <w:keepNext/>
              <w:spacing w:before="40" w:after="0" w:line="240" w:lineRule="auto"/>
              <w:jc w:val="both"/>
              <w:rPr>
                <w:rFonts w:eastAsia="Times New Roman" w:cs="Times New Roman"/>
                <w:noProof/>
                <w:szCs w:val="18"/>
              </w:rPr>
            </w:pPr>
            <w:r>
              <w:rPr>
                <w:noProof/>
              </w:rPr>
              <w:t>Programme national de prévention de la santé publique «Spiros Doxiadis» - Prévention primaire</w:t>
            </w:r>
          </w:p>
        </w:tc>
      </w:tr>
      <w:tr w:rsidR="00A00259" w14:paraId="7C82BBA1"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E2BACD" w14:textId="77777777" w:rsidR="00A00259" w:rsidRDefault="00371282">
            <w:pPr>
              <w:pStyle w:val="P68B1DB1-Normal55"/>
              <w:keepNext/>
              <w:spacing w:before="40" w:after="0" w:line="240" w:lineRule="auto"/>
              <w:jc w:val="both"/>
              <w:rPr>
                <w:noProof/>
              </w:rPr>
            </w:pPr>
            <w:r>
              <w:rPr>
                <w:noProof/>
              </w:rPr>
              <w:t>165a</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12251089" w14:textId="77777777" w:rsidR="00A00259" w:rsidRDefault="00371282">
            <w:pPr>
              <w:pStyle w:val="P68B1DB1-Normal55"/>
              <w:keepNext/>
              <w:spacing w:before="40" w:after="0" w:line="240" w:lineRule="auto"/>
              <w:jc w:val="both"/>
              <w:rPr>
                <w:noProof/>
              </w:rPr>
            </w:pPr>
            <w:r>
              <w:rPr>
                <w:noProof/>
              </w:rPr>
              <w:t>10 - 3.3. «Améliorer la résilience, l’accessibilité et la durabilité des soins de santé» - 16783_Mise en œuvre du programme national de prévention de la santé publique «Spiros Doxiadis» (NPP’SD)</w:t>
            </w:r>
          </w:p>
        </w:tc>
        <w:tc>
          <w:tcPr>
            <w:tcW w:w="1417" w:type="dxa"/>
            <w:tcBorders>
              <w:top w:val="nil"/>
              <w:left w:val="nil"/>
              <w:bottom w:val="single" w:sz="4" w:space="0" w:color="auto"/>
              <w:right w:val="single" w:sz="4" w:space="0" w:color="auto"/>
            </w:tcBorders>
            <w:shd w:val="clear" w:color="auto" w:fill="C6EFCE"/>
            <w:noWrap/>
            <w:vAlign w:val="center"/>
          </w:tcPr>
          <w:p w14:paraId="32F804E1" w14:textId="77777777" w:rsidR="00A00259" w:rsidRDefault="00371282">
            <w:pPr>
              <w:pStyle w:val="P68B1DB1-Normal55"/>
              <w:keepNext/>
              <w:spacing w:before="40" w:after="0" w:line="240" w:lineRule="auto"/>
              <w:jc w:val="both"/>
              <w:rPr>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tcPr>
          <w:p w14:paraId="6FDFEC8C" w14:textId="77777777" w:rsidR="00A00259" w:rsidRDefault="00371282">
            <w:pPr>
              <w:pStyle w:val="P68B1DB1-Normal55"/>
              <w:keepNext/>
              <w:spacing w:before="40" w:after="0" w:line="240" w:lineRule="auto"/>
              <w:jc w:val="both"/>
              <w:rPr>
                <w:noProof/>
              </w:rPr>
            </w:pPr>
            <w:r>
              <w:rPr>
                <w:noProof/>
              </w:rPr>
              <w:t>Programme national de prévention de la santé publique «Spiros Doxiadis» – Prévention secondaire</w:t>
            </w:r>
          </w:p>
        </w:tc>
      </w:tr>
      <w:tr w:rsidR="00A00259" w14:paraId="6159705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650A99" w14:textId="77777777" w:rsidR="00A00259" w:rsidRDefault="00371282">
            <w:pPr>
              <w:pStyle w:val="P68B1DB1-Normal55"/>
              <w:keepNext/>
              <w:spacing w:before="40" w:after="0" w:line="240" w:lineRule="auto"/>
              <w:jc w:val="both"/>
              <w:rPr>
                <w:noProof/>
              </w:rPr>
            </w:pPr>
            <w:r>
              <w:rPr>
                <w:noProof/>
              </w:rPr>
              <w:t>165b</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455453D7" w14:textId="77777777" w:rsidR="00A00259" w:rsidRDefault="00371282">
            <w:pPr>
              <w:pStyle w:val="P68B1DB1-Normal55"/>
              <w:keepNext/>
              <w:spacing w:before="40" w:after="0" w:line="240" w:lineRule="auto"/>
              <w:jc w:val="both"/>
              <w:rPr>
                <w:noProof/>
              </w:rPr>
            </w:pPr>
            <w:r>
              <w:rPr>
                <w:noProof/>
              </w:rPr>
              <w:t>10 - 3.3. «Améliorer la résilience, l’accessibilité et la durabilité des soins de santé» - 16783_Mise en œuvre du programme national de prévention de la santé publique «Spiros Doxiadis» (NPP’SD)</w:t>
            </w:r>
          </w:p>
        </w:tc>
        <w:tc>
          <w:tcPr>
            <w:tcW w:w="1417" w:type="dxa"/>
            <w:tcBorders>
              <w:top w:val="nil"/>
              <w:left w:val="nil"/>
              <w:bottom w:val="single" w:sz="4" w:space="0" w:color="auto"/>
              <w:right w:val="single" w:sz="4" w:space="0" w:color="auto"/>
            </w:tcBorders>
            <w:shd w:val="clear" w:color="auto" w:fill="C6EFCE"/>
            <w:noWrap/>
            <w:vAlign w:val="center"/>
          </w:tcPr>
          <w:p w14:paraId="4F214B27" w14:textId="77777777" w:rsidR="00A00259" w:rsidRDefault="00371282">
            <w:pPr>
              <w:pStyle w:val="P68B1DB1-Normal55"/>
              <w:keepNext/>
              <w:spacing w:before="40" w:after="0" w:line="240" w:lineRule="auto"/>
              <w:jc w:val="both"/>
              <w:rPr>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tcPr>
          <w:p w14:paraId="4B4CEE29" w14:textId="77777777" w:rsidR="00A00259" w:rsidRDefault="00371282">
            <w:pPr>
              <w:pStyle w:val="P68B1DB1-Normal55"/>
              <w:keepNext/>
              <w:spacing w:before="40" w:after="0" w:line="240" w:lineRule="auto"/>
              <w:jc w:val="both"/>
              <w:rPr>
                <w:noProof/>
              </w:rPr>
            </w:pPr>
            <w:r>
              <w:rPr>
                <w:noProof/>
              </w:rPr>
              <w:t>Surveillance de la santé</w:t>
            </w:r>
          </w:p>
        </w:tc>
      </w:tr>
      <w:tr w:rsidR="00A00259" w14:paraId="131DAB93"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36899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166b</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A4998F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10 - 3.3. Améliorer la résilience, l'accessibilité et la durabilité des soins de santé - 16755_Investissements verts - Réforme du système de soins de santé primaires</w:t>
            </w:r>
          </w:p>
        </w:tc>
        <w:tc>
          <w:tcPr>
            <w:tcW w:w="1417" w:type="dxa"/>
            <w:tcBorders>
              <w:top w:val="nil"/>
              <w:left w:val="nil"/>
              <w:bottom w:val="single" w:sz="4" w:space="0" w:color="auto"/>
              <w:right w:val="single" w:sz="4" w:space="0" w:color="auto"/>
            </w:tcBorders>
            <w:shd w:val="clear" w:color="auto" w:fill="C6EFCE"/>
            <w:noWrap/>
            <w:vAlign w:val="center"/>
            <w:hideMark/>
          </w:tcPr>
          <w:p w14:paraId="647CE74F" w14:textId="77777777" w:rsidR="00A00259" w:rsidRDefault="00371282">
            <w:pPr>
              <w:pStyle w:val="P68B1DB1-Normal55"/>
              <w:keepNext/>
              <w:spacing w:before="40" w:after="0" w:line="240" w:lineRule="auto"/>
              <w:jc w:val="both"/>
              <w:rPr>
                <w:rFonts w:eastAsia="Times New Roman" w:cs="Times New Roman"/>
                <w:noProof/>
                <w:szCs w:val="18"/>
              </w:rPr>
            </w:pPr>
            <w:r>
              <w:rPr>
                <w:noProof/>
              </w:rPr>
              <w:t>Objectif</w:t>
            </w:r>
          </w:p>
        </w:tc>
        <w:tc>
          <w:tcPr>
            <w:tcW w:w="3292" w:type="dxa"/>
            <w:tcBorders>
              <w:top w:val="nil"/>
              <w:left w:val="nil"/>
              <w:bottom w:val="single" w:sz="4" w:space="0" w:color="auto"/>
              <w:right w:val="single" w:sz="4" w:space="0" w:color="auto"/>
            </w:tcBorders>
            <w:shd w:val="clear" w:color="auto" w:fill="C6EFCE"/>
            <w:noWrap/>
            <w:vAlign w:val="center"/>
            <w:hideMark/>
          </w:tcPr>
          <w:p w14:paraId="26C29D6A" w14:textId="77777777" w:rsidR="00A00259" w:rsidRDefault="00371282">
            <w:pPr>
              <w:pStyle w:val="P68B1DB1-Normal36"/>
              <w:keepNext/>
              <w:spacing w:before="40" w:after="0" w:line="240" w:lineRule="auto"/>
              <w:jc w:val="both"/>
              <w:rPr>
                <w:rFonts w:ascii="Times New Roman" w:eastAsia="Times New Roman" w:hAnsi="Times New Roman" w:cs="Times New Roman"/>
                <w:noProof/>
                <w:szCs w:val="18"/>
              </w:rPr>
            </w:pPr>
            <w:r>
              <w:rPr>
                <w:rFonts w:ascii="Times New Roman" w:hAnsi="Times New Roman"/>
                <w:noProof/>
              </w:rPr>
              <w:t>SSP – Unités de soins de santé</w:t>
            </w:r>
            <w:r>
              <w:rPr>
                <w:rFonts w:ascii="Times New Roman" w:hAnsi="Times New Roman" w:cs="Times New Roman"/>
                <w:noProof/>
                <w:color w:val="000000"/>
                <w:szCs w:val="18"/>
              </w:rPr>
              <w:t xml:space="preserve"> </w:t>
            </w:r>
            <w:r>
              <w:rPr>
                <w:rFonts w:ascii="Times New Roman" w:hAnsi="Times New Roman"/>
                <w:noProof/>
              </w:rPr>
              <w:t>primaires dont l’infrastructure a été rénovée – étape 3</w:t>
            </w:r>
          </w:p>
        </w:tc>
      </w:tr>
      <w:tr w:rsidR="00A00259" w14:paraId="4D338679"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4BE57D" w14:textId="77777777" w:rsidR="00A00259" w:rsidRDefault="00371282">
            <w:pPr>
              <w:pStyle w:val="P68B1DB1-Normal55"/>
              <w:keepNext/>
              <w:spacing w:before="40" w:after="0" w:line="240" w:lineRule="auto"/>
              <w:jc w:val="both"/>
              <w:rPr>
                <w:noProof/>
              </w:rPr>
            </w:pPr>
            <w:r>
              <w:rPr>
                <w:noProof/>
              </w:rPr>
              <w:t>166c</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1EAFEA5E" w14:textId="77777777" w:rsidR="00A00259" w:rsidRDefault="00371282">
            <w:pPr>
              <w:pStyle w:val="P68B1DB1-Normal55"/>
              <w:keepNext/>
              <w:spacing w:before="40" w:after="0" w:line="240" w:lineRule="auto"/>
              <w:jc w:val="both"/>
              <w:rPr>
                <w:noProof/>
              </w:rPr>
            </w:pPr>
            <w:r>
              <w:rPr>
                <w:noProof/>
              </w:rPr>
              <w:t>10 - 3.3. Améliorer la résilience, l'accessibilité et la durabilité des soins de santé - 16755_Investissements verts - Réforme du système de soins de santé primaires</w:t>
            </w:r>
          </w:p>
        </w:tc>
        <w:tc>
          <w:tcPr>
            <w:tcW w:w="1417" w:type="dxa"/>
            <w:tcBorders>
              <w:top w:val="nil"/>
              <w:left w:val="nil"/>
              <w:bottom w:val="single" w:sz="4" w:space="0" w:color="auto"/>
              <w:right w:val="single" w:sz="4" w:space="0" w:color="auto"/>
            </w:tcBorders>
            <w:shd w:val="clear" w:color="auto" w:fill="C6EFCE"/>
            <w:noWrap/>
            <w:vAlign w:val="center"/>
          </w:tcPr>
          <w:p w14:paraId="5DBED8A9" w14:textId="77777777" w:rsidR="00A00259" w:rsidRDefault="00371282">
            <w:pPr>
              <w:pStyle w:val="P68B1DB1-Normal55"/>
              <w:keepNext/>
              <w:spacing w:before="40" w:after="0" w:line="240" w:lineRule="auto"/>
              <w:jc w:val="both"/>
              <w:rPr>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tcPr>
          <w:p w14:paraId="7D8AB44A" w14:textId="77777777" w:rsidR="00A00259" w:rsidRDefault="00371282">
            <w:pPr>
              <w:pStyle w:val="P68B1DB1-Normal55"/>
              <w:keepNext/>
              <w:spacing w:before="40" w:after="0" w:line="240" w:lineRule="auto"/>
              <w:jc w:val="both"/>
              <w:rPr>
                <w:noProof/>
              </w:rPr>
            </w:pPr>
            <w:r>
              <w:rPr>
                <w:noProof/>
              </w:rPr>
              <w:t>PHC – matériel médical</w:t>
            </w:r>
          </w:p>
        </w:tc>
      </w:tr>
      <w:tr w:rsidR="00A00259" w14:paraId="66B5A185"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BAB915" w14:textId="77777777" w:rsidR="00A00259" w:rsidRDefault="00371282">
            <w:pPr>
              <w:pStyle w:val="P68B1DB1-Normal55"/>
              <w:keepNext/>
              <w:spacing w:before="40" w:after="0" w:line="240" w:lineRule="auto"/>
              <w:jc w:val="both"/>
              <w:rPr>
                <w:noProof/>
              </w:rPr>
            </w:pPr>
            <w:r>
              <w:rPr>
                <w:noProof/>
              </w:rPr>
              <w:t>166d</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325B2E66" w14:textId="77777777" w:rsidR="00A00259" w:rsidRDefault="00371282">
            <w:pPr>
              <w:pStyle w:val="P68B1DB1-Normal55"/>
              <w:keepNext/>
              <w:spacing w:before="40" w:after="0" w:line="240" w:lineRule="auto"/>
              <w:jc w:val="both"/>
              <w:rPr>
                <w:noProof/>
              </w:rPr>
            </w:pPr>
            <w:r>
              <w:rPr>
                <w:noProof/>
              </w:rPr>
              <w:t>10 - 3.3. Améliorer la résilience, l'accessibilité et la durabilité des soins de santé - 16755_Investissements verts - Réforme du système de soins de santé primaires</w:t>
            </w:r>
          </w:p>
        </w:tc>
        <w:tc>
          <w:tcPr>
            <w:tcW w:w="1417" w:type="dxa"/>
            <w:tcBorders>
              <w:top w:val="nil"/>
              <w:left w:val="nil"/>
              <w:bottom w:val="single" w:sz="4" w:space="0" w:color="auto"/>
              <w:right w:val="single" w:sz="4" w:space="0" w:color="auto"/>
            </w:tcBorders>
            <w:shd w:val="clear" w:color="auto" w:fill="C6EFCE"/>
            <w:noWrap/>
            <w:vAlign w:val="center"/>
          </w:tcPr>
          <w:p w14:paraId="6F0FDBBD" w14:textId="77777777" w:rsidR="00A00259" w:rsidRDefault="00371282">
            <w:pPr>
              <w:pStyle w:val="P68B1DB1-Normal55"/>
              <w:keepNext/>
              <w:spacing w:before="40" w:after="0" w:line="240" w:lineRule="auto"/>
              <w:jc w:val="both"/>
              <w:rPr>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tcPr>
          <w:p w14:paraId="4E6DD5F3" w14:textId="77777777" w:rsidR="00A00259" w:rsidRDefault="00371282">
            <w:pPr>
              <w:pStyle w:val="P68B1DB1-Normal55"/>
              <w:keepNext/>
              <w:spacing w:before="40" w:after="0" w:line="240" w:lineRule="auto"/>
              <w:jc w:val="both"/>
              <w:rPr>
                <w:noProof/>
              </w:rPr>
            </w:pPr>
            <w:r>
              <w:rPr>
                <w:noProof/>
              </w:rPr>
              <w:t>SSP – Réforme et formation</w:t>
            </w:r>
          </w:p>
        </w:tc>
      </w:tr>
      <w:tr w:rsidR="00A00259" w14:paraId="1DFF4E45"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0247C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170c</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F887CAE" w14:textId="77777777" w:rsidR="00A00259" w:rsidRDefault="00371282">
            <w:pPr>
              <w:pStyle w:val="P68B1DB1-Normal11"/>
              <w:keepNext/>
              <w:spacing w:before="40" w:after="0" w:line="240" w:lineRule="auto"/>
              <w:jc w:val="both"/>
              <w:rPr>
                <w:rFonts w:eastAsia="Times New Roman" w:cs="Times New Roman"/>
                <w:bCs/>
                <w:noProof/>
              </w:rPr>
            </w:pPr>
            <w:r>
              <w:rPr>
                <w:noProof/>
              </w:rPr>
              <w:t>10 - 3.3. Améliorer la résilience, l'accessibilité et la durabilité des soins de santé - 16795_Infrastructures de santé</w:t>
            </w:r>
          </w:p>
        </w:tc>
        <w:tc>
          <w:tcPr>
            <w:tcW w:w="1417" w:type="dxa"/>
            <w:tcBorders>
              <w:top w:val="nil"/>
              <w:left w:val="nil"/>
              <w:bottom w:val="single" w:sz="4" w:space="0" w:color="auto"/>
              <w:right w:val="single" w:sz="4" w:space="0" w:color="auto"/>
            </w:tcBorders>
            <w:shd w:val="clear" w:color="auto" w:fill="C6EFCE"/>
            <w:noWrap/>
            <w:vAlign w:val="center"/>
            <w:hideMark/>
          </w:tcPr>
          <w:p w14:paraId="2223DB75" w14:textId="77777777" w:rsidR="00A00259" w:rsidRDefault="00371282">
            <w:pPr>
              <w:pStyle w:val="P68B1DB1-Normal55"/>
              <w:keepNext/>
              <w:spacing w:before="40" w:after="0" w:line="240" w:lineRule="auto"/>
              <w:jc w:val="both"/>
              <w:rPr>
                <w:rFonts w:eastAsia="Times New Roman" w:cs="Times New Roman"/>
                <w:noProof/>
                <w:szCs w:val="18"/>
              </w:rPr>
            </w:pPr>
            <w:r>
              <w:rPr>
                <w:noProof/>
              </w:rPr>
              <w:t>Objectif</w:t>
            </w:r>
          </w:p>
        </w:tc>
        <w:tc>
          <w:tcPr>
            <w:tcW w:w="3292" w:type="dxa"/>
            <w:tcBorders>
              <w:top w:val="nil"/>
              <w:left w:val="nil"/>
              <w:bottom w:val="single" w:sz="4" w:space="0" w:color="auto"/>
              <w:right w:val="single" w:sz="4" w:space="0" w:color="auto"/>
            </w:tcBorders>
            <w:shd w:val="clear" w:color="auto" w:fill="C6EFCE"/>
            <w:noWrap/>
            <w:vAlign w:val="center"/>
            <w:hideMark/>
          </w:tcPr>
          <w:p w14:paraId="54A6CC7A" w14:textId="77777777" w:rsidR="00A00259" w:rsidRDefault="00371282">
            <w:pPr>
              <w:pStyle w:val="P68B1DB1-Normal55"/>
              <w:keepNext/>
              <w:spacing w:before="40" w:after="0" w:line="240" w:lineRule="auto"/>
              <w:jc w:val="both"/>
              <w:rPr>
                <w:rFonts w:eastAsia="Times New Roman" w:cs="Times New Roman"/>
                <w:noProof/>
                <w:szCs w:val="18"/>
              </w:rPr>
            </w:pPr>
            <w:r>
              <w:rPr>
                <w:noProof/>
              </w:rPr>
              <w:t>Mise à niveau de l’infrastructure du NHS – étape 4</w:t>
            </w:r>
          </w:p>
        </w:tc>
      </w:tr>
      <w:tr w:rsidR="00A00259" w14:paraId="0B0ECDDA"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6A80C2" w14:textId="77777777" w:rsidR="00A00259" w:rsidRDefault="00371282">
            <w:pPr>
              <w:pStyle w:val="P68B1DB1-Normal55"/>
              <w:keepNext/>
              <w:spacing w:before="40" w:after="0" w:line="240" w:lineRule="auto"/>
              <w:jc w:val="both"/>
              <w:rPr>
                <w:noProof/>
              </w:rPr>
            </w:pPr>
            <w:r>
              <w:rPr>
                <w:noProof/>
              </w:rPr>
              <w:t>170d</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1EDA8E8F" w14:textId="77777777" w:rsidR="00A00259" w:rsidRDefault="00371282">
            <w:pPr>
              <w:pStyle w:val="P68B1DB1-Normal11"/>
              <w:keepNext/>
              <w:spacing w:before="40" w:after="0" w:line="240" w:lineRule="auto"/>
              <w:jc w:val="both"/>
              <w:rPr>
                <w:noProof/>
              </w:rPr>
            </w:pPr>
            <w:r>
              <w:rPr>
                <w:noProof/>
              </w:rPr>
              <w:t>10 - 3.3. Améliorer la résilience, l'accessibilité et la durabilité des soins de santé - 16795_Infrastructures de santé</w:t>
            </w:r>
          </w:p>
        </w:tc>
        <w:tc>
          <w:tcPr>
            <w:tcW w:w="1417" w:type="dxa"/>
            <w:tcBorders>
              <w:top w:val="nil"/>
              <w:left w:val="nil"/>
              <w:bottom w:val="single" w:sz="4" w:space="0" w:color="auto"/>
              <w:right w:val="single" w:sz="4" w:space="0" w:color="auto"/>
            </w:tcBorders>
            <w:shd w:val="clear" w:color="auto" w:fill="C6EFCE"/>
            <w:noWrap/>
            <w:vAlign w:val="center"/>
          </w:tcPr>
          <w:p w14:paraId="419BD5FF" w14:textId="77777777" w:rsidR="00A00259" w:rsidRDefault="00371282">
            <w:pPr>
              <w:pStyle w:val="P68B1DB1-Normal55"/>
              <w:keepNext/>
              <w:spacing w:before="40" w:after="0" w:line="240" w:lineRule="auto"/>
              <w:jc w:val="both"/>
              <w:rPr>
                <w:noProof/>
              </w:rPr>
            </w:pPr>
            <w:r>
              <w:rPr>
                <w:noProof/>
              </w:rPr>
              <w:t>Objectif</w:t>
            </w:r>
          </w:p>
        </w:tc>
        <w:tc>
          <w:tcPr>
            <w:tcW w:w="3292" w:type="dxa"/>
            <w:tcBorders>
              <w:top w:val="nil"/>
              <w:left w:val="nil"/>
              <w:bottom w:val="single" w:sz="4" w:space="0" w:color="auto"/>
              <w:right w:val="single" w:sz="4" w:space="0" w:color="auto"/>
            </w:tcBorders>
            <w:shd w:val="clear" w:color="auto" w:fill="C6EFCE"/>
            <w:noWrap/>
            <w:vAlign w:val="center"/>
          </w:tcPr>
          <w:p w14:paraId="126D6D82" w14:textId="77777777" w:rsidR="00A00259" w:rsidRDefault="00371282">
            <w:pPr>
              <w:pStyle w:val="P68B1DB1-Normal55"/>
              <w:keepNext/>
              <w:spacing w:before="40" w:after="0" w:line="240" w:lineRule="auto"/>
              <w:jc w:val="both"/>
              <w:rPr>
                <w:noProof/>
              </w:rPr>
            </w:pPr>
            <w:r>
              <w:rPr>
                <w:noProof/>
              </w:rPr>
              <w:t>Mise à niveau de l’infrastructure du NHS – étape 5</w:t>
            </w:r>
          </w:p>
        </w:tc>
      </w:tr>
      <w:tr w:rsidR="00A00259" w14:paraId="3A95922B"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B0557D"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171</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ACC7ED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10 - 3.3. «Améliorer la résilience, l’accessibilité et la durabilité des soins de santé» - 16757_Création d’un centre de radiothérapie à la «Sotiria» Thoracic</w:t>
            </w:r>
          </w:p>
        </w:tc>
        <w:tc>
          <w:tcPr>
            <w:tcW w:w="1417" w:type="dxa"/>
            <w:tcBorders>
              <w:top w:val="nil"/>
              <w:left w:val="nil"/>
              <w:bottom w:val="single" w:sz="4" w:space="0" w:color="auto"/>
              <w:right w:val="single" w:sz="4" w:space="0" w:color="auto"/>
            </w:tcBorders>
            <w:shd w:val="clear" w:color="auto" w:fill="C6EFCE"/>
            <w:noWrap/>
            <w:vAlign w:val="center"/>
            <w:hideMark/>
          </w:tcPr>
          <w:p w14:paraId="622BD80C"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470C368D" w14:textId="77777777" w:rsidR="00A00259" w:rsidRDefault="00371282">
            <w:pPr>
              <w:pStyle w:val="P68B1DB1-Normal55"/>
              <w:keepNext/>
              <w:spacing w:before="40" w:after="0" w:line="240" w:lineRule="auto"/>
              <w:jc w:val="both"/>
              <w:rPr>
                <w:rFonts w:eastAsia="Times New Roman" w:cs="Times New Roman"/>
                <w:noProof/>
                <w:szCs w:val="18"/>
              </w:rPr>
            </w:pPr>
            <w:r>
              <w:rPr>
                <w:noProof/>
              </w:rPr>
              <w:t>Centre de radiothérapie Sotiria</w:t>
            </w:r>
          </w:p>
        </w:tc>
      </w:tr>
      <w:tr w:rsidR="00A00259" w14:paraId="0A625D6E"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15586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8EC7C7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10 - 3.3. «Améliorer la résilience, l’accessibilité et la durabilité des soins de santé» - 16793_Cell &amp; Gene Therapies and Hematology Clinic Laboratories in the General Hospital of Thessaloniki “Papanikolaou”</w:t>
            </w:r>
          </w:p>
        </w:tc>
        <w:tc>
          <w:tcPr>
            <w:tcW w:w="1417" w:type="dxa"/>
            <w:tcBorders>
              <w:top w:val="nil"/>
              <w:left w:val="nil"/>
              <w:bottom w:val="single" w:sz="4" w:space="0" w:color="auto"/>
              <w:right w:val="single" w:sz="4" w:space="0" w:color="auto"/>
            </w:tcBorders>
            <w:shd w:val="clear" w:color="auto" w:fill="C6EFCE"/>
            <w:noWrap/>
            <w:vAlign w:val="center"/>
            <w:hideMark/>
          </w:tcPr>
          <w:p w14:paraId="1370E643"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6D3E4ECF" w14:textId="77777777" w:rsidR="00A00259" w:rsidRDefault="00371282">
            <w:pPr>
              <w:pStyle w:val="P68B1DB1-Normal55"/>
              <w:keepNext/>
              <w:spacing w:before="40" w:after="0" w:line="240" w:lineRule="auto"/>
              <w:jc w:val="both"/>
              <w:rPr>
                <w:rFonts w:eastAsia="Times New Roman" w:cs="Times New Roman"/>
                <w:noProof/>
                <w:szCs w:val="18"/>
              </w:rPr>
            </w:pPr>
            <w:r>
              <w:rPr>
                <w:noProof/>
              </w:rPr>
              <w:t xml:space="preserve">Hôpital de Papanikolaou </w:t>
            </w:r>
          </w:p>
        </w:tc>
      </w:tr>
      <w:tr w:rsidR="00A00259" w14:paraId="0926A83A"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A6ECB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0D5468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10 - 3.3. Améliorer la résilience, l'accessibilité et la durabilité des soins de santé - 16752_Transformation numérique de la santé (DigHealth)</w:t>
            </w:r>
          </w:p>
        </w:tc>
        <w:tc>
          <w:tcPr>
            <w:tcW w:w="1417" w:type="dxa"/>
            <w:tcBorders>
              <w:top w:val="nil"/>
              <w:left w:val="nil"/>
              <w:bottom w:val="single" w:sz="4" w:space="0" w:color="auto"/>
              <w:right w:val="single" w:sz="4" w:space="0" w:color="auto"/>
            </w:tcBorders>
            <w:shd w:val="clear" w:color="auto" w:fill="C6EFCE"/>
            <w:noWrap/>
            <w:vAlign w:val="center"/>
            <w:hideMark/>
          </w:tcPr>
          <w:p w14:paraId="40FFC605"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2F5C75F9" w14:textId="77777777" w:rsidR="00A00259" w:rsidRDefault="00371282">
            <w:pPr>
              <w:pStyle w:val="P68B1DB1-Normal11"/>
              <w:keepNext/>
              <w:spacing w:before="40" w:after="0" w:line="240" w:lineRule="auto"/>
              <w:jc w:val="both"/>
              <w:rPr>
                <w:rFonts w:eastAsia="Times New Roman" w:cs="Times New Roman"/>
                <w:noProof/>
              </w:rPr>
            </w:pPr>
            <w:r>
              <w:rPr>
                <w:noProof/>
              </w:rPr>
              <w:t>Transformation numérique – tous les sous-projets livrés, étape 1</w:t>
            </w:r>
          </w:p>
        </w:tc>
      </w:tr>
      <w:tr w:rsidR="00A00259" w14:paraId="5D3BA359"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107996" w14:textId="77777777" w:rsidR="00A00259" w:rsidRDefault="00371282">
            <w:pPr>
              <w:pStyle w:val="P68B1DB1-Normal11"/>
              <w:spacing w:line="240" w:lineRule="auto"/>
              <w:jc w:val="both"/>
              <w:rPr>
                <w:noProof/>
              </w:rPr>
            </w:pPr>
            <w:r>
              <w:rPr>
                <w:noProof/>
              </w:rPr>
              <w:t>173 bis</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2153208" w14:textId="77777777" w:rsidR="00A00259" w:rsidRDefault="00371282">
            <w:pPr>
              <w:pStyle w:val="P68B1DB1-Normal11"/>
              <w:keepNext/>
              <w:spacing w:before="40" w:after="0" w:line="240" w:lineRule="auto"/>
              <w:jc w:val="both"/>
              <w:rPr>
                <w:rFonts w:eastAsia="Times New Roman" w:cs="Times New Roman"/>
                <w:noProof/>
              </w:rPr>
            </w:pPr>
            <w:r>
              <w:rPr>
                <w:noProof/>
              </w:rPr>
              <w:t>10 - 3.3. Améliorer la résilience, l'accessibilité et la durabilité des soins de santé - 16752_Transformation numérique de la santé (DigHealth)</w:t>
            </w:r>
          </w:p>
        </w:tc>
        <w:tc>
          <w:tcPr>
            <w:tcW w:w="1417" w:type="dxa"/>
            <w:tcBorders>
              <w:top w:val="nil"/>
              <w:left w:val="nil"/>
              <w:bottom w:val="single" w:sz="4" w:space="0" w:color="auto"/>
              <w:right w:val="single" w:sz="4" w:space="0" w:color="auto"/>
            </w:tcBorders>
            <w:shd w:val="clear" w:color="auto" w:fill="C6EFCE"/>
            <w:noWrap/>
            <w:vAlign w:val="center"/>
            <w:hideMark/>
          </w:tcPr>
          <w:p w14:paraId="722D1BC5" w14:textId="77777777" w:rsidR="00A00259" w:rsidRDefault="00371282">
            <w:pPr>
              <w:pStyle w:val="P68B1DB1-Normal11"/>
              <w:keepNext/>
              <w:spacing w:before="40" w:after="0" w:line="240" w:lineRule="auto"/>
              <w:jc w:val="both"/>
              <w:rPr>
                <w:rFonts w:eastAsia="Times New Roman" w:cs="Times New Roman"/>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478F3D9E" w14:textId="77777777" w:rsidR="00A00259" w:rsidRDefault="00371282">
            <w:pPr>
              <w:pStyle w:val="P68B1DB1-Normal11"/>
              <w:keepNext/>
              <w:spacing w:before="40" w:after="0" w:line="240" w:lineRule="auto"/>
              <w:jc w:val="both"/>
              <w:rPr>
                <w:noProof/>
              </w:rPr>
            </w:pPr>
            <w:r>
              <w:rPr>
                <w:noProof/>
              </w:rPr>
              <w:t>Transformation numérique – tous les sous-projets livrés, étape 2</w:t>
            </w:r>
          </w:p>
        </w:tc>
      </w:tr>
      <w:tr w:rsidR="00A00259" w14:paraId="24CBF592"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F67C13" w14:textId="77777777" w:rsidR="00A00259" w:rsidRDefault="00371282">
            <w:pPr>
              <w:pStyle w:val="P68B1DB1-Normal11"/>
              <w:spacing w:line="240" w:lineRule="auto"/>
              <w:jc w:val="both"/>
              <w:rPr>
                <w:noProof/>
              </w:rPr>
            </w:pPr>
            <w:r>
              <w:rPr>
                <w:noProof/>
              </w:rPr>
              <w:t>173b</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202D093" w14:textId="77777777" w:rsidR="00A00259" w:rsidRDefault="00371282">
            <w:pPr>
              <w:pStyle w:val="P68B1DB1-Normal11"/>
              <w:keepNext/>
              <w:spacing w:before="40" w:after="0" w:line="240" w:lineRule="auto"/>
              <w:jc w:val="both"/>
              <w:rPr>
                <w:rFonts w:eastAsia="Times New Roman" w:cs="Times New Roman"/>
                <w:noProof/>
              </w:rPr>
            </w:pPr>
            <w:r>
              <w:rPr>
                <w:noProof/>
              </w:rPr>
              <w:t>10 - 3.3. Améliorer la résilience, l'accessibilité et la durabilité des soins de santé - 16752_Transformation numérique de la santé (DigHealth)</w:t>
            </w:r>
          </w:p>
        </w:tc>
        <w:tc>
          <w:tcPr>
            <w:tcW w:w="1417" w:type="dxa"/>
            <w:tcBorders>
              <w:top w:val="nil"/>
              <w:left w:val="nil"/>
              <w:bottom w:val="single" w:sz="4" w:space="0" w:color="auto"/>
              <w:right w:val="single" w:sz="4" w:space="0" w:color="auto"/>
            </w:tcBorders>
            <w:shd w:val="clear" w:color="auto" w:fill="C6EFCE"/>
            <w:noWrap/>
            <w:vAlign w:val="center"/>
            <w:hideMark/>
          </w:tcPr>
          <w:p w14:paraId="310871EB" w14:textId="77777777" w:rsidR="00A00259" w:rsidRDefault="00371282">
            <w:pPr>
              <w:pStyle w:val="P68B1DB1-Normal11"/>
              <w:keepNext/>
              <w:spacing w:before="40" w:after="0" w:line="240" w:lineRule="auto"/>
              <w:jc w:val="both"/>
              <w:rPr>
                <w:rFonts w:eastAsia="Times New Roman" w:cs="Times New Roman"/>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2C070808" w14:textId="77777777" w:rsidR="00A00259" w:rsidRDefault="00371282">
            <w:pPr>
              <w:pStyle w:val="P68B1DB1-Normal11"/>
              <w:keepNext/>
              <w:spacing w:before="40" w:after="0" w:line="240" w:lineRule="auto"/>
              <w:jc w:val="both"/>
              <w:rPr>
                <w:noProof/>
              </w:rPr>
            </w:pPr>
            <w:r>
              <w:rPr>
                <w:noProof/>
              </w:rPr>
              <w:t>Transformation numérique – tous les sous-projets livrés, étape 3</w:t>
            </w:r>
          </w:p>
        </w:tc>
      </w:tr>
      <w:tr w:rsidR="00A00259" w14:paraId="2B20ADCD"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3F98B3A3" w14:textId="77777777" w:rsidR="00A00259" w:rsidRDefault="00371282">
            <w:pPr>
              <w:pStyle w:val="P68B1DB1-Normal11"/>
              <w:keepNext/>
              <w:spacing w:before="40" w:after="0" w:line="240" w:lineRule="auto"/>
              <w:jc w:val="both"/>
              <w:rPr>
                <w:noProof/>
              </w:rPr>
            </w:pPr>
            <w:r>
              <w:rPr>
                <w:noProof/>
              </w:rPr>
              <w:t>174 bis</w:t>
            </w:r>
          </w:p>
        </w:tc>
        <w:tc>
          <w:tcPr>
            <w:tcW w:w="4820" w:type="dxa"/>
            <w:tcBorders>
              <w:top w:val="nil"/>
              <w:left w:val="single" w:sz="4" w:space="0" w:color="auto"/>
              <w:bottom w:val="single" w:sz="4" w:space="0" w:color="auto"/>
              <w:right w:val="single" w:sz="4" w:space="0" w:color="auto"/>
            </w:tcBorders>
            <w:shd w:val="clear" w:color="auto" w:fill="C6EFCE"/>
            <w:noWrap/>
            <w:hideMark/>
          </w:tcPr>
          <w:p w14:paraId="603046A2" w14:textId="5386780B" w:rsidR="00A00259" w:rsidRDefault="00371282">
            <w:pPr>
              <w:pStyle w:val="P68B1DB1-Normal11"/>
              <w:keepNext/>
              <w:spacing w:before="40" w:after="0" w:line="240" w:lineRule="auto"/>
              <w:jc w:val="both"/>
              <w:rPr>
                <w:noProof/>
              </w:rPr>
            </w:pPr>
            <w:r>
              <w:rPr>
                <w:noProof/>
              </w:rPr>
              <w:t>11 - 3.4. Accroître l'accès à des politiques sociales efficaces et inclusives - 16904_ Accessibilité et soutien aux infrastructures Interventions en faveur de la petite enfance, déploiement national permanent du programme d'aide aux personnes handicapées</w:t>
            </w:r>
          </w:p>
        </w:tc>
        <w:tc>
          <w:tcPr>
            <w:tcW w:w="1417" w:type="dxa"/>
            <w:tcBorders>
              <w:top w:val="nil"/>
              <w:left w:val="nil"/>
              <w:bottom w:val="single" w:sz="4" w:space="0" w:color="auto"/>
              <w:right w:val="single" w:sz="4" w:space="0" w:color="auto"/>
            </w:tcBorders>
            <w:shd w:val="clear" w:color="auto" w:fill="C6EFCE"/>
            <w:noWrap/>
            <w:hideMark/>
          </w:tcPr>
          <w:p w14:paraId="3712AD90" w14:textId="77777777" w:rsidR="00A00259" w:rsidRDefault="00371282">
            <w:pPr>
              <w:pStyle w:val="P68B1DB1-Normal11"/>
              <w:keepNext/>
              <w:spacing w:before="40" w:after="0" w:line="240" w:lineRule="auto"/>
              <w:jc w:val="both"/>
              <w:rPr>
                <w:rFonts w:cs="Times New Roman"/>
                <w:noProof/>
              </w:rPr>
            </w:pPr>
            <w:r>
              <w:rPr>
                <w:noProof/>
              </w:rPr>
              <w:t>Étape</w:t>
            </w:r>
          </w:p>
        </w:tc>
        <w:tc>
          <w:tcPr>
            <w:tcW w:w="3292" w:type="dxa"/>
            <w:tcBorders>
              <w:top w:val="nil"/>
              <w:left w:val="nil"/>
              <w:bottom w:val="single" w:sz="4" w:space="0" w:color="auto"/>
              <w:right w:val="single" w:sz="4" w:space="0" w:color="auto"/>
            </w:tcBorders>
            <w:shd w:val="clear" w:color="auto" w:fill="C6EFCE"/>
            <w:noWrap/>
            <w:hideMark/>
          </w:tcPr>
          <w:p w14:paraId="629938B0" w14:textId="78BE386E" w:rsidR="00A00259" w:rsidRDefault="00371282">
            <w:pPr>
              <w:pStyle w:val="P68B1DB1-Normal11"/>
              <w:keepNext/>
              <w:spacing w:before="40" w:after="0" w:line="240" w:lineRule="auto"/>
              <w:jc w:val="both"/>
              <w:rPr>
                <w:rFonts w:cs="Times New Roman"/>
                <w:noProof/>
              </w:rPr>
            </w:pPr>
            <w:r>
              <w:rPr>
                <w:noProof/>
              </w:rPr>
              <w:t>Infrastructures d’accessibilité et de soutien, interventions en faveur de la petite enfance, déploiement national permanent du régime d’aide aux personnes handicapées</w:t>
            </w:r>
          </w:p>
        </w:tc>
      </w:tr>
      <w:tr w:rsidR="00A00259" w14:paraId="173E8D1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B86099" w14:textId="77777777" w:rsidR="00A00259" w:rsidRDefault="00371282">
            <w:pPr>
              <w:pStyle w:val="P68B1DB1-Normal55"/>
              <w:keepNext/>
              <w:spacing w:before="40" w:after="0" w:line="240" w:lineRule="auto"/>
              <w:jc w:val="both"/>
              <w:rPr>
                <w:noProof/>
              </w:rPr>
            </w:pPr>
            <w:r>
              <w:rPr>
                <w:noProof/>
              </w:rPr>
              <w:t>178</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7F5EA039" w14:textId="77777777" w:rsidR="00A00259" w:rsidRDefault="00371282">
            <w:pPr>
              <w:pStyle w:val="P68B1DB1-Normal55"/>
              <w:keepNext/>
              <w:spacing w:before="40" w:after="0" w:line="240" w:lineRule="auto"/>
              <w:jc w:val="both"/>
              <w:rPr>
                <w:noProof/>
              </w:rPr>
            </w:pPr>
            <w:r>
              <w:rPr>
                <w:noProof/>
              </w:rPr>
              <w:t>11 - 3.4. Accroître l'accès à des politiques sociales efficaces et inclusives - 16919_Protection de l'enfance</w:t>
            </w:r>
          </w:p>
        </w:tc>
        <w:tc>
          <w:tcPr>
            <w:tcW w:w="1417" w:type="dxa"/>
            <w:tcBorders>
              <w:top w:val="nil"/>
              <w:left w:val="nil"/>
              <w:bottom w:val="single" w:sz="4" w:space="0" w:color="auto"/>
              <w:right w:val="single" w:sz="4" w:space="0" w:color="auto"/>
            </w:tcBorders>
            <w:shd w:val="clear" w:color="auto" w:fill="C6EFCE"/>
            <w:noWrap/>
            <w:vAlign w:val="center"/>
          </w:tcPr>
          <w:p w14:paraId="6C35B852" w14:textId="77777777" w:rsidR="00A00259" w:rsidRDefault="00371282">
            <w:pPr>
              <w:pStyle w:val="P68B1DB1-Normal55"/>
              <w:keepNext/>
              <w:spacing w:before="40" w:after="0" w:line="240" w:lineRule="auto"/>
              <w:jc w:val="both"/>
              <w:rPr>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tcPr>
          <w:p w14:paraId="63ED0751" w14:textId="77777777" w:rsidR="00A00259" w:rsidRDefault="00371282">
            <w:pPr>
              <w:pStyle w:val="P68B1DB1-Normal55"/>
              <w:keepNext/>
              <w:spacing w:before="40" w:after="0" w:line="240" w:lineRule="auto"/>
              <w:jc w:val="both"/>
              <w:rPr>
                <w:noProof/>
              </w:rPr>
            </w:pPr>
            <w:r>
              <w:rPr>
                <w:noProof/>
              </w:rPr>
              <w:t>Appartements indépendants pour la désinstitutionnalisation des personnes jusqu'à 26 ans</w:t>
            </w:r>
          </w:p>
        </w:tc>
      </w:tr>
      <w:tr w:rsidR="00A00259" w14:paraId="4A1AC60B"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66219" w14:textId="77777777" w:rsidR="00A00259" w:rsidRDefault="00371282">
            <w:pPr>
              <w:pStyle w:val="P68B1DB1-Normal55"/>
              <w:keepNext/>
              <w:spacing w:before="40" w:after="0" w:line="240" w:lineRule="auto"/>
              <w:jc w:val="both"/>
              <w:rPr>
                <w:noProof/>
              </w:rPr>
            </w:pPr>
            <w:r>
              <w:rPr>
                <w:noProof/>
              </w:rPr>
              <w:t>179</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50DE3744" w14:textId="77777777" w:rsidR="00A00259" w:rsidRDefault="00371282">
            <w:pPr>
              <w:pStyle w:val="P68B1DB1-Normal55"/>
              <w:keepNext/>
              <w:spacing w:before="40" w:after="0" w:line="240" w:lineRule="auto"/>
              <w:jc w:val="both"/>
              <w:rPr>
                <w:noProof/>
              </w:rPr>
            </w:pPr>
            <w:r>
              <w:rPr>
                <w:noProof/>
              </w:rPr>
              <w:t>11 - 3.4. Accroître l'accès à des politiques sociales efficaces et inclusives - 16904_Disability</w:t>
            </w:r>
          </w:p>
        </w:tc>
        <w:tc>
          <w:tcPr>
            <w:tcW w:w="1417" w:type="dxa"/>
            <w:tcBorders>
              <w:top w:val="nil"/>
              <w:left w:val="nil"/>
              <w:bottom w:val="single" w:sz="4" w:space="0" w:color="auto"/>
              <w:right w:val="single" w:sz="4" w:space="0" w:color="auto"/>
            </w:tcBorders>
            <w:shd w:val="clear" w:color="auto" w:fill="C6EFCE"/>
            <w:noWrap/>
            <w:vAlign w:val="center"/>
          </w:tcPr>
          <w:p w14:paraId="77FB11E7" w14:textId="77777777" w:rsidR="00A00259" w:rsidRDefault="00371282">
            <w:pPr>
              <w:pStyle w:val="P68B1DB1-Normal55"/>
              <w:keepNext/>
              <w:spacing w:before="40" w:after="0" w:line="240" w:lineRule="auto"/>
              <w:jc w:val="both"/>
              <w:rPr>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tcPr>
          <w:p w14:paraId="75EAC1D4" w14:textId="26778F40" w:rsidR="00A00259" w:rsidRDefault="00371282">
            <w:pPr>
              <w:pStyle w:val="P68B1DB1-Normal11"/>
              <w:keepNext/>
              <w:spacing w:before="40" w:after="0" w:line="240" w:lineRule="auto"/>
              <w:jc w:val="both"/>
              <w:rPr>
                <w:noProof/>
              </w:rPr>
            </w:pPr>
            <w:r>
              <w:rPr>
                <w:noProof/>
              </w:rPr>
              <w:t>Déploiement national du programme d ' aide aux personnes handicapées et évaluation du programme pilote</w:t>
            </w:r>
          </w:p>
        </w:tc>
      </w:tr>
      <w:tr w:rsidR="00A00259" w14:paraId="6306FC9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tcPr>
          <w:p w14:paraId="002C80B9" w14:textId="77777777" w:rsidR="00A00259" w:rsidRDefault="00371282">
            <w:pPr>
              <w:pStyle w:val="P68B1DB1-Normal55"/>
              <w:keepNext/>
              <w:spacing w:before="40" w:after="0" w:line="240" w:lineRule="auto"/>
              <w:jc w:val="both"/>
              <w:rPr>
                <w:noProof/>
              </w:rPr>
            </w:pPr>
            <w:r>
              <w:rPr>
                <w:noProof/>
              </w:rPr>
              <w:t>181</w:t>
            </w:r>
          </w:p>
        </w:tc>
        <w:tc>
          <w:tcPr>
            <w:tcW w:w="4820" w:type="dxa"/>
            <w:tcBorders>
              <w:top w:val="nil"/>
              <w:left w:val="single" w:sz="4" w:space="0" w:color="auto"/>
              <w:bottom w:val="single" w:sz="4" w:space="0" w:color="auto"/>
              <w:right w:val="single" w:sz="4" w:space="0" w:color="auto"/>
            </w:tcBorders>
            <w:shd w:val="clear" w:color="auto" w:fill="C6EFCE"/>
            <w:noWrap/>
          </w:tcPr>
          <w:p w14:paraId="4652DBD3" w14:textId="77777777" w:rsidR="00A00259" w:rsidRDefault="00371282">
            <w:pPr>
              <w:pStyle w:val="P68B1DB1-Normal55"/>
              <w:keepNext/>
              <w:spacing w:before="40" w:after="0" w:line="240" w:lineRule="auto"/>
              <w:jc w:val="both"/>
              <w:rPr>
                <w:noProof/>
              </w:rPr>
            </w:pPr>
            <w:r>
              <w:rPr>
                <w:noProof/>
              </w:rPr>
              <w:t>11 – 3.4 Accroître l’accès à des politiques sociales efficaces et inclusives – 16402_Logement social et abordable</w:t>
            </w:r>
          </w:p>
        </w:tc>
        <w:tc>
          <w:tcPr>
            <w:tcW w:w="1417" w:type="dxa"/>
            <w:tcBorders>
              <w:top w:val="nil"/>
              <w:left w:val="nil"/>
              <w:bottom w:val="single" w:sz="4" w:space="0" w:color="auto"/>
              <w:right w:val="single" w:sz="4" w:space="0" w:color="auto"/>
            </w:tcBorders>
            <w:shd w:val="clear" w:color="auto" w:fill="C6EFCE"/>
            <w:noWrap/>
          </w:tcPr>
          <w:p w14:paraId="73C80458" w14:textId="77777777" w:rsidR="00A00259" w:rsidRDefault="00371282">
            <w:pPr>
              <w:pStyle w:val="P68B1DB1-Normal55"/>
              <w:keepNext/>
              <w:spacing w:before="40" w:after="0" w:line="240" w:lineRule="auto"/>
              <w:jc w:val="both"/>
              <w:rPr>
                <w:noProof/>
              </w:rPr>
            </w:pPr>
            <w:r>
              <w:rPr>
                <w:noProof/>
              </w:rPr>
              <w:t>Étape</w:t>
            </w:r>
          </w:p>
        </w:tc>
        <w:tc>
          <w:tcPr>
            <w:tcW w:w="3292" w:type="dxa"/>
            <w:tcBorders>
              <w:top w:val="nil"/>
              <w:left w:val="nil"/>
              <w:bottom w:val="single" w:sz="4" w:space="0" w:color="auto"/>
              <w:right w:val="single" w:sz="4" w:space="0" w:color="auto"/>
            </w:tcBorders>
            <w:shd w:val="clear" w:color="auto" w:fill="C6EFCE"/>
            <w:noWrap/>
          </w:tcPr>
          <w:p w14:paraId="5B5B9243" w14:textId="77777777" w:rsidR="00A00259" w:rsidRDefault="00371282">
            <w:pPr>
              <w:pStyle w:val="P68B1DB1-Normal55"/>
              <w:keepNext/>
              <w:spacing w:before="40" w:after="0" w:line="240" w:lineRule="auto"/>
              <w:jc w:val="both"/>
              <w:rPr>
                <w:noProof/>
              </w:rPr>
            </w:pPr>
            <w:r>
              <w:rPr>
                <w:noProof/>
              </w:rPr>
              <w:t>Stratégie nationale sur le logement</w:t>
            </w:r>
          </w:p>
        </w:tc>
      </w:tr>
      <w:tr w:rsidR="00A00259" w14:paraId="7FA682A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1E14138E" w14:textId="77777777" w:rsidR="00A00259" w:rsidRDefault="00371282">
            <w:pPr>
              <w:pStyle w:val="P68B1DB1-Normal55"/>
              <w:keepNext/>
              <w:spacing w:before="40" w:after="0" w:line="240" w:lineRule="auto"/>
              <w:jc w:val="both"/>
              <w:rPr>
                <w:rFonts w:cs="Times New Roman"/>
                <w:noProof/>
                <w:szCs w:val="18"/>
              </w:rPr>
            </w:pPr>
            <w:r>
              <w:rPr>
                <w:noProof/>
              </w:rPr>
              <w:t>182a</w:t>
            </w:r>
          </w:p>
        </w:tc>
        <w:tc>
          <w:tcPr>
            <w:tcW w:w="4820" w:type="dxa"/>
            <w:tcBorders>
              <w:top w:val="nil"/>
              <w:left w:val="single" w:sz="4" w:space="0" w:color="auto"/>
              <w:bottom w:val="single" w:sz="4" w:space="0" w:color="auto"/>
              <w:right w:val="single" w:sz="4" w:space="0" w:color="auto"/>
            </w:tcBorders>
            <w:shd w:val="clear" w:color="auto" w:fill="C6EFCE"/>
            <w:noWrap/>
            <w:hideMark/>
          </w:tcPr>
          <w:p w14:paraId="033EF001" w14:textId="77777777" w:rsidR="00A00259" w:rsidRDefault="00371282">
            <w:pPr>
              <w:pStyle w:val="P68B1DB1-Normal55"/>
              <w:keepNext/>
              <w:spacing w:before="40" w:after="0" w:line="240" w:lineRule="auto"/>
              <w:jc w:val="both"/>
              <w:rPr>
                <w:rFonts w:cs="Times New Roman"/>
                <w:noProof/>
                <w:szCs w:val="18"/>
              </w:rPr>
            </w:pPr>
            <w:r>
              <w:rPr>
                <w:noProof/>
              </w:rPr>
              <w:t>11 - 3.4. Améliorer l'accès à des politiques sociales efficaces et inclusives - 16925_Transformation numérique du système de soutien social</w:t>
            </w:r>
          </w:p>
        </w:tc>
        <w:tc>
          <w:tcPr>
            <w:tcW w:w="1417" w:type="dxa"/>
            <w:tcBorders>
              <w:top w:val="nil"/>
              <w:left w:val="nil"/>
              <w:bottom w:val="single" w:sz="4" w:space="0" w:color="auto"/>
              <w:right w:val="single" w:sz="4" w:space="0" w:color="auto"/>
            </w:tcBorders>
            <w:shd w:val="clear" w:color="auto" w:fill="C6EFCE"/>
            <w:noWrap/>
            <w:hideMark/>
          </w:tcPr>
          <w:p w14:paraId="2089F96F" w14:textId="77777777" w:rsidR="00A00259" w:rsidRDefault="00371282">
            <w:pPr>
              <w:pStyle w:val="P68B1DB1-Normal55"/>
              <w:keepNext/>
              <w:spacing w:before="40" w:after="0" w:line="240" w:lineRule="auto"/>
              <w:jc w:val="both"/>
              <w:rPr>
                <w:rFonts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hideMark/>
          </w:tcPr>
          <w:p w14:paraId="6832CB1A" w14:textId="77777777" w:rsidR="00A00259" w:rsidRDefault="00371282">
            <w:pPr>
              <w:pStyle w:val="P68B1DB1-Normal55"/>
              <w:keepNext/>
              <w:spacing w:before="40" w:after="0" w:line="240" w:lineRule="auto"/>
              <w:jc w:val="both"/>
              <w:rPr>
                <w:rFonts w:cs="Times New Roman"/>
                <w:noProof/>
                <w:szCs w:val="18"/>
              </w:rPr>
            </w:pPr>
            <w:r>
              <w:rPr>
                <w:noProof/>
              </w:rPr>
              <w:t>Portail national du handicap</w:t>
            </w:r>
          </w:p>
        </w:tc>
      </w:tr>
      <w:tr w:rsidR="00A00259" w14:paraId="1505A32A"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EE40B1" w14:textId="77777777" w:rsidR="00A00259" w:rsidRDefault="00371282">
            <w:pPr>
              <w:pStyle w:val="P68B1DB1-Normal55"/>
              <w:keepNext/>
              <w:spacing w:before="40" w:after="0" w:line="240" w:lineRule="auto"/>
              <w:jc w:val="both"/>
              <w:rPr>
                <w:rFonts w:cs="Times New Roman"/>
                <w:noProof/>
                <w:szCs w:val="18"/>
              </w:rPr>
            </w:pPr>
            <w:r>
              <w:rPr>
                <w:noProof/>
              </w:rPr>
              <w:t>182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C3496DA" w14:textId="77777777" w:rsidR="00A00259" w:rsidRDefault="00371282">
            <w:pPr>
              <w:pStyle w:val="P68B1DB1-Normal55"/>
              <w:keepNext/>
              <w:spacing w:before="40" w:after="0" w:line="240" w:lineRule="auto"/>
              <w:jc w:val="both"/>
              <w:rPr>
                <w:rFonts w:cs="Times New Roman"/>
                <w:noProof/>
                <w:szCs w:val="18"/>
              </w:rPr>
            </w:pPr>
            <w:r>
              <w:rPr>
                <w:noProof/>
              </w:rPr>
              <w:t>11 - 3.4. Améliorer l'accès à des politiques sociales efficaces et inclusives - 16925_Transformation numérique du système de soutien social</w:t>
            </w:r>
          </w:p>
        </w:tc>
        <w:tc>
          <w:tcPr>
            <w:tcW w:w="1417" w:type="dxa"/>
            <w:tcBorders>
              <w:top w:val="nil"/>
              <w:left w:val="nil"/>
              <w:bottom w:val="single" w:sz="4" w:space="0" w:color="auto"/>
              <w:right w:val="single" w:sz="4" w:space="0" w:color="auto"/>
            </w:tcBorders>
            <w:shd w:val="clear" w:color="auto" w:fill="C6EFCE"/>
            <w:noWrap/>
            <w:vAlign w:val="center"/>
            <w:hideMark/>
          </w:tcPr>
          <w:p w14:paraId="288BE6CA" w14:textId="77777777" w:rsidR="00A00259" w:rsidRDefault="00371282">
            <w:pPr>
              <w:pStyle w:val="P68B1DB1-Normal55"/>
              <w:keepNext/>
              <w:spacing w:before="40" w:after="0" w:line="240" w:lineRule="auto"/>
              <w:jc w:val="both"/>
              <w:rPr>
                <w:rFonts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1A2192B3" w14:textId="77777777" w:rsidR="00A00259" w:rsidRDefault="00371282">
            <w:pPr>
              <w:pStyle w:val="P68B1DB1-Normal55"/>
              <w:keepNext/>
              <w:spacing w:before="40" w:after="0" w:line="240" w:lineRule="auto"/>
              <w:jc w:val="both"/>
              <w:rPr>
                <w:rFonts w:cs="Times New Roman"/>
                <w:noProof/>
                <w:szCs w:val="18"/>
              </w:rPr>
            </w:pPr>
            <w:r>
              <w:rPr>
                <w:noProof/>
              </w:rPr>
              <w:t>Délivrance de cartes d'invalidité aux bénéficiaires</w:t>
            </w:r>
          </w:p>
        </w:tc>
      </w:tr>
      <w:tr w:rsidR="00A00259" w14:paraId="689F9546"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54FADB4D" w14:textId="77777777" w:rsidR="00A00259" w:rsidRDefault="00371282">
            <w:pPr>
              <w:pStyle w:val="P68B1DB1-Normal55"/>
              <w:keepNext/>
              <w:spacing w:before="40" w:after="0" w:line="240" w:lineRule="auto"/>
              <w:jc w:val="both"/>
              <w:rPr>
                <w:rFonts w:cs="Times New Roman"/>
                <w:noProof/>
                <w:szCs w:val="18"/>
              </w:rPr>
            </w:pPr>
            <w:r>
              <w:rPr>
                <w:noProof/>
              </w:rPr>
              <w:t>186a</w:t>
            </w:r>
          </w:p>
        </w:tc>
        <w:tc>
          <w:tcPr>
            <w:tcW w:w="4820" w:type="dxa"/>
            <w:tcBorders>
              <w:top w:val="nil"/>
              <w:left w:val="single" w:sz="4" w:space="0" w:color="auto"/>
              <w:bottom w:val="single" w:sz="4" w:space="0" w:color="auto"/>
              <w:right w:val="single" w:sz="4" w:space="0" w:color="auto"/>
            </w:tcBorders>
            <w:shd w:val="clear" w:color="auto" w:fill="C6EFCE"/>
            <w:noWrap/>
            <w:hideMark/>
          </w:tcPr>
          <w:p w14:paraId="36BC08D7" w14:textId="77777777" w:rsidR="00A00259" w:rsidRDefault="00371282">
            <w:pPr>
              <w:pStyle w:val="P68B1DB1-Normal55"/>
              <w:keepNext/>
              <w:spacing w:before="40" w:after="0" w:line="240" w:lineRule="auto"/>
              <w:jc w:val="both"/>
              <w:rPr>
                <w:rFonts w:cs="Times New Roman"/>
                <w:noProof/>
                <w:szCs w:val="18"/>
              </w:rPr>
            </w:pPr>
            <w:r>
              <w:rPr>
                <w:noProof/>
              </w:rPr>
              <w:t>11 - 3.4. Accroître l'accès à des politiques sociales efficaces et inclusives - 16922_Intégration sociale</w:t>
            </w:r>
          </w:p>
        </w:tc>
        <w:tc>
          <w:tcPr>
            <w:tcW w:w="1417" w:type="dxa"/>
            <w:tcBorders>
              <w:top w:val="nil"/>
              <w:left w:val="nil"/>
              <w:bottom w:val="single" w:sz="4" w:space="0" w:color="auto"/>
              <w:right w:val="single" w:sz="4" w:space="0" w:color="auto"/>
            </w:tcBorders>
            <w:shd w:val="clear" w:color="auto" w:fill="C6EFCE"/>
            <w:noWrap/>
            <w:hideMark/>
          </w:tcPr>
          <w:p w14:paraId="66AC0136" w14:textId="77777777" w:rsidR="00A00259" w:rsidRDefault="00371282">
            <w:pPr>
              <w:pStyle w:val="P68B1DB1-Normal55"/>
              <w:keepNext/>
              <w:spacing w:before="40" w:after="0" w:line="240" w:lineRule="auto"/>
              <w:jc w:val="both"/>
              <w:rPr>
                <w:rFonts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hideMark/>
          </w:tcPr>
          <w:p w14:paraId="6FB75E0A" w14:textId="77777777" w:rsidR="00A00259" w:rsidRDefault="00371282">
            <w:pPr>
              <w:pStyle w:val="P68B1DB1-Normal55"/>
              <w:keepNext/>
              <w:spacing w:before="40" w:after="0" w:line="240" w:lineRule="auto"/>
              <w:jc w:val="both"/>
              <w:rPr>
                <w:rFonts w:cs="Times New Roman"/>
                <w:noProof/>
                <w:szCs w:val="18"/>
              </w:rPr>
            </w:pPr>
            <w:r>
              <w:rPr>
                <w:noProof/>
              </w:rPr>
              <w:t>Intégration sociale des groupes vulnérables, formation numérique</w:t>
            </w:r>
          </w:p>
        </w:tc>
      </w:tr>
      <w:tr w:rsidR="00A00259" w14:paraId="115F908A"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2E9125" w14:textId="77777777" w:rsidR="00A00259" w:rsidRDefault="00371282">
            <w:pPr>
              <w:pStyle w:val="P68B1DB1-Normal55"/>
              <w:keepNext/>
              <w:spacing w:before="40" w:after="0" w:line="240" w:lineRule="auto"/>
              <w:jc w:val="both"/>
              <w:rPr>
                <w:rFonts w:cs="Times New Roman"/>
                <w:noProof/>
                <w:szCs w:val="18"/>
              </w:rPr>
            </w:pPr>
            <w:r>
              <w:rPr>
                <w:noProof/>
              </w:rPr>
              <w:t>187</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E8315CE" w14:textId="77777777" w:rsidR="00A00259" w:rsidRDefault="00371282">
            <w:pPr>
              <w:pStyle w:val="P68B1DB1-Normal55"/>
              <w:keepNext/>
              <w:spacing w:before="40" w:after="0" w:line="240" w:lineRule="auto"/>
              <w:jc w:val="both"/>
              <w:rPr>
                <w:rFonts w:cs="Times New Roman"/>
                <w:noProof/>
                <w:szCs w:val="18"/>
              </w:rPr>
            </w:pPr>
            <w:r>
              <w:rPr>
                <w:noProof/>
              </w:rPr>
              <w:t>11 - 3.4. Accroître l'accès à des politiques sociales efficaces et inclusives - 16688: Promouvoir l'intégration de la population réfugiée sur le marché du travail </w:t>
            </w:r>
          </w:p>
        </w:tc>
        <w:tc>
          <w:tcPr>
            <w:tcW w:w="1417" w:type="dxa"/>
            <w:tcBorders>
              <w:top w:val="nil"/>
              <w:left w:val="nil"/>
              <w:bottom w:val="single" w:sz="4" w:space="0" w:color="auto"/>
              <w:right w:val="single" w:sz="4" w:space="0" w:color="auto"/>
            </w:tcBorders>
            <w:shd w:val="clear" w:color="auto" w:fill="C6EFCE"/>
            <w:noWrap/>
            <w:vAlign w:val="center"/>
            <w:hideMark/>
          </w:tcPr>
          <w:p w14:paraId="55E83FC0" w14:textId="77777777" w:rsidR="00A00259" w:rsidRDefault="00371282">
            <w:pPr>
              <w:pStyle w:val="P68B1DB1-Normal55"/>
              <w:keepNext/>
              <w:spacing w:before="40" w:after="0" w:line="240" w:lineRule="auto"/>
              <w:jc w:val="both"/>
              <w:rPr>
                <w:rFonts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49E28044" w14:textId="77777777" w:rsidR="00A00259" w:rsidRDefault="00371282">
            <w:pPr>
              <w:pStyle w:val="P68B1DB1-Normal55"/>
              <w:keepNext/>
              <w:spacing w:before="40" w:after="0" w:line="240" w:lineRule="auto"/>
              <w:jc w:val="both"/>
              <w:rPr>
                <w:rFonts w:cs="Times New Roman"/>
                <w:noProof/>
                <w:szCs w:val="18"/>
              </w:rPr>
            </w:pPr>
            <w:r>
              <w:rPr>
                <w:noProof/>
              </w:rPr>
              <w:t>Intégration des réfugiés sur le marché du travail</w:t>
            </w:r>
          </w:p>
        </w:tc>
      </w:tr>
      <w:tr w:rsidR="00A00259" w14:paraId="31FC3434"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38BDD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194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DD70A44"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12 - 4.1. Rendre les impôts plus propices à la croissance et améliorer l'administration fiscale et la perception des impôts - 16611_Transformation numérique des contrôles fiscaux</w:t>
            </w:r>
          </w:p>
        </w:tc>
        <w:tc>
          <w:tcPr>
            <w:tcW w:w="1417" w:type="dxa"/>
            <w:tcBorders>
              <w:top w:val="nil"/>
              <w:left w:val="nil"/>
              <w:bottom w:val="single" w:sz="4" w:space="0" w:color="auto"/>
              <w:right w:val="single" w:sz="4" w:space="0" w:color="auto"/>
            </w:tcBorders>
            <w:shd w:val="clear" w:color="auto" w:fill="C6EFCE"/>
            <w:noWrap/>
            <w:vAlign w:val="center"/>
            <w:hideMark/>
          </w:tcPr>
          <w:p w14:paraId="0DB1988A"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7135A4B2" w14:textId="77777777" w:rsidR="00A00259" w:rsidRDefault="00371282">
            <w:pPr>
              <w:pStyle w:val="P68B1DB1-Normal55"/>
              <w:keepNext/>
              <w:spacing w:before="40" w:after="0" w:line="240" w:lineRule="auto"/>
              <w:jc w:val="both"/>
              <w:rPr>
                <w:rFonts w:eastAsia="Times New Roman" w:cs="Times New Roman"/>
                <w:noProof/>
                <w:szCs w:val="18"/>
              </w:rPr>
            </w:pPr>
            <w:r>
              <w:rPr>
                <w:noProof/>
              </w:rPr>
              <w:t>Livraison et mise en service de systèmes relatifs à la transformation numérique des audits fiscaux</w:t>
            </w:r>
          </w:p>
        </w:tc>
      </w:tr>
      <w:tr w:rsidR="00A00259" w14:paraId="12AAF019"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6B8C54"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195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FF3396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12 - 4.1. Rendre les impôts plus propices à la croissance et améliorer l'administration fiscale et la perception des impôts - 16291_Transformation numérique de l'administration fiscale et douanière</w:t>
            </w:r>
          </w:p>
        </w:tc>
        <w:tc>
          <w:tcPr>
            <w:tcW w:w="1417" w:type="dxa"/>
            <w:tcBorders>
              <w:top w:val="nil"/>
              <w:left w:val="nil"/>
              <w:bottom w:val="single" w:sz="4" w:space="0" w:color="auto"/>
              <w:right w:val="single" w:sz="4" w:space="0" w:color="auto"/>
            </w:tcBorders>
            <w:shd w:val="clear" w:color="auto" w:fill="C6EFCE"/>
            <w:noWrap/>
            <w:vAlign w:val="center"/>
            <w:hideMark/>
          </w:tcPr>
          <w:p w14:paraId="70EDD172"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hideMark/>
          </w:tcPr>
          <w:p w14:paraId="2D809BF2" w14:textId="77777777" w:rsidR="00A00259" w:rsidRDefault="00371282">
            <w:pPr>
              <w:pStyle w:val="P68B1DB1-Normal55"/>
              <w:keepNext/>
              <w:spacing w:before="40" w:after="0" w:line="240" w:lineRule="auto"/>
              <w:jc w:val="both"/>
              <w:rPr>
                <w:noProof/>
              </w:rPr>
            </w:pPr>
            <w:r>
              <w:rPr>
                <w:noProof/>
              </w:rPr>
              <w:t>Mise en œuvre de la première phase de l’environnement informatique intégré en matière de fiscalité et d’audit de l’Autorité indépendante des recettes publiques</w:t>
            </w:r>
          </w:p>
          <w:p w14:paraId="39EB69D5" w14:textId="77777777" w:rsidR="00A00259" w:rsidRDefault="00A00259">
            <w:pPr>
              <w:keepNext/>
              <w:spacing w:before="40" w:after="0" w:line="240" w:lineRule="auto"/>
              <w:jc w:val="both"/>
              <w:rPr>
                <w:rFonts w:ascii="Times New Roman" w:hAnsi="Times New Roman"/>
                <w:noProof/>
                <w:sz w:val="18"/>
              </w:rPr>
            </w:pPr>
          </w:p>
          <w:p w14:paraId="317939CB" w14:textId="1747DED5" w:rsidR="00A00259" w:rsidRDefault="00371282">
            <w:pPr>
              <w:pStyle w:val="P68B1DB1-Normal55"/>
              <w:keepNext/>
              <w:spacing w:before="40" w:after="0" w:line="240" w:lineRule="auto"/>
              <w:jc w:val="both"/>
              <w:rPr>
                <w:rFonts w:eastAsia="Times New Roman" w:cs="Times New Roman"/>
                <w:noProof/>
                <w:szCs w:val="18"/>
                <w:highlight w:val="yellow"/>
                <w:u w:val="single"/>
              </w:rPr>
            </w:pPr>
            <w:r>
              <w:rPr>
                <w:noProof/>
              </w:rPr>
              <w:t>Réalisation de sous-projets dans le cadre de la transformation numérique de l’IAPR</w:t>
            </w:r>
          </w:p>
        </w:tc>
      </w:tr>
      <w:tr w:rsidR="00A00259" w14:paraId="08E0430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DB8E8" w14:textId="1376003E" w:rsidR="00A00259" w:rsidRDefault="00371282">
            <w:pPr>
              <w:pStyle w:val="P68B1DB1-Normal55"/>
              <w:keepNext/>
              <w:spacing w:before="40" w:after="0" w:line="240" w:lineRule="auto"/>
              <w:jc w:val="both"/>
              <w:rPr>
                <w:noProof/>
              </w:rPr>
            </w:pPr>
            <w:r>
              <w:rPr>
                <w:noProof/>
              </w:rPr>
              <w:t>204 bis</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2E0B7081" w14:textId="30F402F2" w:rsidR="00A00259" w:rsidRDefault="00371282">
            <w:pPr>
              <w:pStyle w:val="P68B1DB1-Normal55"/>
              <w:keepNext/>
              <w:spacing w:before="40" w:after="0" w:line="240" w:lineRule="auto"/>
              <w:jc w:val="both"/>
              <w:rPr>
                <w:noProof/>
              </w:rPr>
            </w:pPr>
            <w:r>
              <w:rPr>
                <w:noProof/>
              </w:rPr>
              <w:t>12 - 4.1. Rendre les impôts plus propices à la croissance et améliorer l'administration fiscale et le recouvrement des impôts – 16643_Codification et simplification de la législation fiscale</w:t>
            </w:r>
          </w:p>
        </w:tc>
        <w:tc>
          <w:tcPr>
            <w:tcW w:w="1417" w:type="dxa"/>
            <w:tcBorders>
              <w:top w:val="nil"/>
              <w:left w:val="nil"/>
              <w:bottom w:val="single" w:sz="4" w:space="0" w:color="auto"/>
              <w:right w:val="single" w:sz="4" w:space="0" w:color="auto"/>
            </w:tcBorders>
            <w:shd w:val="clear" w:color="auto" w:fill="C6EFCE"/>
            <w:noWrap/>
            <w:vAlign w:val="center"/>
          </w:tcPr>
          <w:p w14:paraId="07E7BEA3" w14:textId="1C21CF24" w:rsidR="00A00259" w:rsidRDefault="00371282">
            <w:pPr>
              <w:pStyle w:val="P68B1DB1-Normal55"/>
              <w:keepNext/>
              <w:spacing w:before="40" w:after="0" w:line="240" w:lineRule="auto"/>
              <w:jc w:val="both"/>
              <w:rPr>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tcPr>
          <w:p w14:paraId="6089286A" w14:textId="581447A8" w:rsidR="00A00259" w:rsidRDefault="00371282">
            <w:pPr>
              <w:pStyle w:val="P68B1DB1-Normal55"/>
              <w:keepNext/>
              <w:spacing w:before="40" w:after="0" w:line="240" w:lineRule="auto"/>
              <w:jc w:val="both"/>
              <w:rPr>
                <w:noProof/>
              </w:rPr>
            </w:pPr>
            <w:r>
              <w:rPr>
                <w:noProof/>
              </w:rPr>
              <w:t>Publication du droit primaire et du droit dérivé sur le site web du contribuable</w:t>
            </w:r>
          </w:p>
        </w:tc>
      </w:tr>
      <w:tr w:rsidR="00A00259" w14:paraId="639BC78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B44B45" w14:textId="77777777" w:rsidR="00A00259" w:rsidRDefault="00371282">
            <w:pPr>
              <w:pStyle w:val="P68B1DB1-Normal55"/>
              <w:keepNext/>
              <w:spacing w:before="40" w:after="0" w:line="240" w:lineRule="auto"/>
              <w:jc w:val="both"/>
              <w:rPr>
                <w:noProof/>
              </w:rPr>
            </w:pPr>
            <w:r>
              <w:rPr>
                <w:noProof/>
              </w:rPr>
              <w:t>211 bis</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69B87479" w14:textId="77777777" w:rsidR="00A00259" w:rsidRDefault="00371282">
            <w:pPr>
              <w:pStyle w:val="P68B1DB1-Normal55"/>
              <w:keepNext/>
              <w:spacing w:before="40" w:after="0" w:line="240" w:lineRule="auto"/>
              <w:jc w:val="both"/>
              <w:rPr>
                <w:noProof/>
              </w:rPr>
            </w:pPr>
            <w:r>
              <w:rPr>
                <w:noProof/>
              </w:rPr>
              <w:t>13 - 4.2. Moderniser l'administration publique, notamment en accélérant la mise en œuvre des investissements publics, en améliorant le cadre des marchés publics, les mesures de renforcement des capacités et en luttant contre la corruption - 16952_Renforcer le cadre national de lutte contre la corruption au moyen d'interventions ciblées dans les domaines de la détection, de la prévention et de la sensibilisation</w:t>
            </w:r>
          </w:p>
        </w:tc>
        <w:tc>
          <w:tcPr>
            <w:tcW w:w="1417" w:type="dxa"/>
            <w:tcBorders>
              <w:top w:val="nil"/>
              <w:left w:val="nil"/>
              <w:bottom w:val="single" w:sz="4" w:space="0" w:color="auto"/>
              <w:right w:val="single" w:sz="4" w:space="0" w:color="auto"/>
            </w:tcBorders>
            <w:shd w:val="clear" w:color="auto" w:fill="C6EFCE"/>
            <w:noWrap/>
            <w:vAlign w:val="center"/>
          </w:tcPr>
          <w:p w14:paraId="64594110" w14:textId="77777777" w:rsidR="00A00259" w:rsidRDefault="00371282">
            <w:pPr>
              <w:pStyle w:val="P68B1DB1-Normal55"/>
              <w:keepNext/>
              <w:spacing w:before="40" w:after="0" w:line="240" w:lineRule="auto"/>
              <w:jc w:val="both"/>
              <w:rPr>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tcPr>
          <w:p w14:paraId="4F21ED5C" w14:textId="09A0A059" w:rsidR="00A00259" w:rsidRDefault="00371282">
            <w:pPr>
              <w:pStyle w:val="P68B1DB1-Normal55"/>
              <w:keepNext/>
              <w:spacing w:before="40" w:after="0" w:line="240" w:lineRule="auto"/>
              <w:jc w:val="both"/>
              <w:rPr>
                <w:noProof/>
              </w:rPr>
            </w:pPr>
            <w:r>
              <w:rPr>
                <w:noProof/>
              </w:rPr>
              <w:t>Réalisation de projets d’investissement visant à soutenir les capacités numériques et d’infrastructure de l’autorité nationale de transparence</w:t>
            </w:r>
          </w:p>
        </w:tc>
      </w:tr>
      <w:tr w:rsidR="00A00259" w14:paraId="3018221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F671F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220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C7E9E5D"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13 - 4.2. Moderniser l'administration publique, notamment en accélérant la mise en œuvre des investissements publics, en améliorant le cadre des marchés publics, les mesures de renforcement des capacités et en luttant contre la corruption - 16705_Transformation numérique de la gestion et du contrôle budgétaires dans le domaine de la gouvernance &amp; Facturation électronique</w:t>
            </w:r>
          </w:p>
        </w:tc>
        <w:tc>
          <w:tcPr>
            <w:tcW w:w="1417" w:type="dxa"/>
            <w:tcBorders>
              <w:top w:val="nil"/>
              <w:left w:val="nil"/>
              <w:bottom w:val="single" w:sz="4" w:space="0" w:color="auto"/>
              <w:right w:val="single" w:sz="4" w:space="0" w:color="auto"/>
            </w:tcBorders>
            <w:shd w:val="clear" w:color="auto" w:fill="C6EFCE"/>
            <w:noWrap/>
            <w:vAlign w:val="center"/>
            <w:hideMark/>
          </w:tcPr>
          <w:p w14:paraId="508E583C"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7FDBD8C6" w14:textId="77777777" w:rsidR="00A00259" w:rsidRDefault="00371282">
            <w:pPr>
              <w:pStyle w:val="P68B1DB1-Normal55"/>
              <w:keepNext/>
              <w:spacing w:before="40" w:after="0" w:line="240" w:lineRule="auto"/>
              <w:jc w:val="both"/>
              <w:rPr>
                <w:rFonts w:eastAsia="Times New Roman" w:cs="Times New Roman"/>
                <w:noProof/>
                <w:szCs w:val="18"/>
              </w:rPr>
            </w:pPr>
            <w:r>
              <w:rPr>
                <w:noProof/>
              </w:rPr>
              <w:t>Planification des ressources de l'entreprise gouvernementale (GovERP)</w:t>
            </w:r>
          </w:p>
        </w:tc>
      </w:tr>
      <w:tr w:rsidR="00A00259" w14:paraId="209BFF9E"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03EB6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237</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576A654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14 - 4.3. Améliorer l'efficacité du système judiciaire - 16292_Nouveaux bâtiments judiciaires</w:t>
            </w:r>
          </w:p>
        </w:tc>
        <w:tc>
          <w:tcPr>
            <w:tcW w:w="1417" w:type="dxa"/>
            <w:tcBorders>
              <w:top w:val="nil"/>
              <w:left w:val="nil"/>
              <w:bottom w:val="single" w:sz="4" w:space="0" w:color="auto"/>
              <w:right w:val="single" w:sz="4" w:space="0" w:color="auto"/>
            </w:tcBorders>
            <w:shd w:val="clear" w:color="auto" w:fill="C6EFCE"/>
            <w:noWrap/>
            <w:vAlign w:val="center"/>
            <w:hideMark/>
          </w:tcPr>
          <w:p w14:paraId="27BBF144"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70239870" w14:textId="77777777" w:rsidR="00A00259" w:rsidRDefault="00371282">
            <w:pPr>
              <w:pStyle w:val="P68B1DB1-Normal55"/>
              <w:keepNext/>
              <w:spacing w:before="40" w:after="0" w:line="240" w:lineRule="auto"/>
              <w:jc w:val="both"/>
              <w:rPr>
                <w:rFonts w:eastAsia="Times New Roman" w:cs="Times New Roman"/>
                <w:noProof/>
                <w:szCs w:val="18"/>
              </w:rPr>
            </w:pPr>
            <w:r>
              <w:rPr>
                <w:noProof/>
              </w:rPr>
              <w:t xml:space="preserve">Travaux de construction et de rénovation terminés – Identité électronique – Certificats délivrés </w:t>
            </w:r>
          </w:p>
        </w:tc>
      </w:tr>
      <w:tr w:rsidR="00A00259" w14:paraId="0226C447"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A821B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239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B21A0B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14 - 4.3. «Améliorer l'efficacité du système judiciaire» - 16727_Transformation numérique de la justice (E-Justice)</w:t>
            </w:r>
          </w:p>
        </w:tc>
        <w:tc>
          <w:tcPr>
            <w:tcW w:w="1417" w:type="dxa"/>
            <w:tcBorders>
              <w:top w:val="nil"/>
              <w:left w:val="nil"/>
              <w:bottom w:val="single" w:sz="4" w:space="0" w:color="auto"/>
              <w:right w:val="single" w:sz="4" w:space="0" w:color="auto"/>
            </w:tcBorders>
            <w:shd w:val="clear" w:color="auto" w:fill="C6EFCE"/>
            <w:noWrap/>
            <w:vAlign w:val="center"/>
            <w:hideMark/>
          </w:tcPr>
          <w:p w14:paraId="741FCB18"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02BF5B86" w14:textId="77777777" w:rsidR="00A00259" w:rsidRDefault="00371282">
            <w:pPr>
              <w:pStyle w:val="P68B1DB1-Normal55"/>
              <w:keepNext/>
              <w:spacing w:before="40" w:after="0" w:line="240" w:lineRule="auto"/>
              <w:jc w:val="both"/>
              <w:rPr>
                <w:rFonts w:eastAsia="Times New Roman" w:cs="Times New Roman"/>
                <w:noProof/>
                <w:szCs w:val="18"/>
              </w:rPr>
            </w:pPr>
            <w:r>
              <w:rPr>
                <w:noProof/>
              </w:rPr>
              <w:t>Tenue de registres et mises à niveau informatiques</w:t>
            </w:r>
          </w:p>
        </w:tc>
      </w:tr>
      <w:tr w:rsidR="00A00259" w14:paraId="0C30CA34"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E9B7E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243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C40F30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15 - 4.4. Renforcer le secteur financier et les marchés des capitaux - 16581_Amélioration de la surveillance et de la fiabilité des marchés des capitaux</w:t>
            </w:r>
          </w:p>
        </w:tc>
        <w:tc>
          <w:tcPr>
            <w:tcW w:w="1417" w:type="dxa"/>
            <w:tcBorders>
              <w:top w:val="nil"/>
              <w:left w:val="nil"/>
              <w:bottom w:val="single" w:sz="4" w:space="0" w:color="auto"/>
              <w:right w:val="single" w:sz="4" w:space="0" w:color="auto"/>
            </w:tcBorders>
            <w:shd w:val="clear" w:color="auto" w:fill="C6EFCE"/>
            <w:noWrap/>
            <w:vAlign w:val="center"/>
            <w:hideMark/>
          </w:tcPr>
          <w:p w14:paraId="32B94DA2"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09E408C3" w14:textId="77777777" w:rsidR="00A00259" w:rsidRDefault="00371282">
            <w:pPr>
              <w:pStyle w:val="P68B1DB1-Normal55"/>
              <w:keepNext/>
              <w:spacing w:before="40" w:after="0" w:line="240" w:lineRule="auto"/>
              <w:jc w:val="both"/>
              <w:rPr>
                <w:rFonts w:eastAsia="Times New Roman" w:cs="Times New Roman"/>
                <w:noProof/>
                <w:szCs w:val="18"/>
              </w:rPr>
            </w:pPr>
            <w:r>
              <w:rPr>
                <w:noProof/>
              </w:rPr>
              <w:t>Numérisation du processus de surveillance de la Commission grecque des marchés des capitaux</w:t>
            </w:r>
          </w:p>
        </w:tc>
      </w:tr>
      <w:tr w:rsidR="00A00259" w14:paraId="349CB7A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C9EA8E" w14:textId="77777777" w:rsidR="00A00259" w:rsidRDefault="00371282">
            <w:pPr>
              <w:pStyle w:val="P68B1DB1-Normal55"/>
              <w:keepNext/>
              <w:spacing w:before="40" w:after="0" w:line="240" w:lineRule="auto"/>
              <w:jc w:val="both"/>
              <w:rPr>
                <w:rFonts w:cs="Times New Roman"/>
                <w:noProof/>
                <w:szCs w:val="18"/>
              </w:rPr>
            </w:pPr>
            <w:r>
              <w:rPr>
                <w:noProof/>
              </w:rPr>
              <w:t>244c</w:t>
            </w:r>
          </w:p>
        </w:tc>
        <w:tc>
          <w:tcPr>
            <w:tcW w:w="4820" w:type="dxa"/>
            <w:tcBorders>
              <w:top w:val="nil"/>
              <w:left w:val="single" w:sz="4" w:space="0" w:color="auto"/>
              <w:bottom w:val="single" w:sz="4" w:space="0" w:color="auto"/>
              <w:right w:val="single" w:sz="4" w:space="0" w:color="auto"/>
            </w:tcBorders>
            <w:shd w:val="clear" w:color="auto" w:fill="C6EFCE"/>
            <w:noWrap/>
            <w:hideMark/>
          </w:tcPr>
          <w:p w14:paraId="4B38363B" w14:textId="77777777" w:rsidR="00A00259" w:rsidRDefault="00371282">
            <w:pPr>
              <w:pStyle w:val="P68B1DB1-Normal55"/>
              <w:keepNext/>
              <w:spacing w:before="40" w:after="0" w:line="240" w:lineRule="auto"/>
              <w:jc w:val="both"/>
              <w:rPr>
                <w:rFonts w:cs="Times New Roman"/>
                <w:noProof/>
                <w:szCs w:val="18"/>
              </w:rPr>
            </w:pPr>
            <w:r>
              <w:rPr>
                <w:noProof/>
              </w:rPr>
              <w:t>15 - 4.4. 16957_Renforcer la capacité du système financier à relever les défis hérités du passé et à financer l'économie réelle</w:t>
            </w:r>
          </w:p>
        </w:tc>
        <w:tc>
          <w:tcPr>
            <w:tcW w:w="1417" w:type="dxa"/>
            <w:tcBorders>
              <w:top w:val="nil"/>
              <w:left w:val="nil"/>
              <w:bottom w:val="single" w:sz="4" w:space="0" w:color="auto"/>
              <w:right w:val="single" w:sz="4" w:space="0" w:color="auto"/>
            </w:tcBorders>
            <w:shd w:val="clear" w:color="auto" w:fill="C6EFCE"/>
            <w:noWrap/>
            <w:hideMark/>
          </w:tcPr>
          <w:p w14:paraId="46855DCF" w14:textId="77777777" w:rsidR="00A00259" w:rsidRDefault="00371282">
            <w:pPr>
              <w:pStyle w:val="P68B1DB1-Normal55"/>
              <w:keepNext/>
              <w:spacing w:before="40" w:after="0" w:line="240" w:lineRule="auto"/>
              <w:jc w:val="both"/>
              <w:rPr>
                <w:rFonts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hideMark/>
          </w:tcPr>
          <w:p w14:paraId="056CA904" w14:textId="3CBA680B" w:rsidR="00A00259" w:rsidRDefault="00371282">
            <w:pPr>
              <w:pStyle w:val="P68B1DB1-Normal11"/>
              <w:keepNext/>
              <w:spacing w:before="40" w:after="0" w:line="240" w:lineRule="auto"/>
              <w:jc w:val="both"/>
              <w:rPr>
                <w:noProof/>
                <w:highlight w:val="yellow"/>
              </w:rPr>
            </w:pPr>
            <w:r>
              <w:rPr>
                <w:noProof/>
              </w:rPr>
              <w:t>Mise à disposition de systèmes informatiques et de modèles de données, entrée en vigueur d’actes juridiques sur le traitement des affaires et réduction de l’arriéré dans les procédures d’exécution</w:t>
            </w:r>
          </w:p>
        </w:tc>
      </w:tr>
      <w:tr w:rsidR="00A00259" w14:paraId="6F809CFD"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3D3F4D"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249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7B2666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16 - 4.5. Promouvoir la recherche et l'innovation - 16624_Création - Expansion - Mise à niveau des infrastructures des centres de recherche supervisée par le Secrétariat général à la recherche et à l'innovation (GSRI)</w:t>
            </w:r>
          </w:p>
        </w:tc>
        <w:tc>
          <w:tcPr>
            <w:tcW w:w="1417" w:type="dxa"/>
            <w:tcBorders>
              <w:top w:val="nil"/>
              <w:left w:val="nil"/>
              <w:bottom w:val="single" w:sz="4" w:space="0" w:color="auto"/>
              <w:right w:val="single" w:sz="4" w:space="0" w:color="auto"/>
            </w:tcBorders>
            <w:shd w:val="clear" w:color="auto" w:fill="C6EFCE"/>
            <w:noWrap/>
            <w:vAlign w:val="center"/>
            <w:hideMark/>
          </w:tcPr>
          <w:p w14:paraId="121074BD"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1C5B23FF" w14:textId="79C8442E" w:rsidR="00A00259" w:rsidRDefault="00371282">
            <w:pPr>
              <w:keepNext/>
              <w:spacing w:before="40" w:after="0" w:line="240" w:lineRule="auto"/>
              <w:jc w:val="both"/>
              <w:rPr>
                <w:rFonts w:ascii="Times New Roman" w:eastAsia="Times New Roman" w:hAnsi="Times New Roman" w:cs="Times New Roman"/>
                <w:noProof/>
                <w:sz w:val="18"/>
                <w:szCs w:val="18"/>
              </w:rPr>
            </w:pPr>
            <w:r>
              <w:rPr>
                <w:rFonts w:ascii="Times New Roman" w:hAnsi="Times New Roman"/>
                <w:noProof/>
                <w:sz w:val="18"/>
              </w:rPr>
              <w:t>Réalisation de projets concernant des centres de recherche</w:t>
            </w:r>
            <w:r>
              <w:rPr>
                <w:noProof/>
              </w:rPr>
              <w:t xml:space="preserve"> </w:t>
            </w:r>
          </w:p>
        </w:tc>
      </w:tr>
      <w:tr w:rsidR="00A00259" w14:paraId="61D21904"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138E5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250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D47B5B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16 - 4.5. Promouvoir la recherche et l'innovation - 16618_Basic &amp; Recherche appliquée</w:t>
            </w:r>
          </w:p>
        </w:tc>
        <w:tc>
          <w:tcPr>
            <w:tcW w:w="1417" w:type="dxa"/>
            <w:tcBorders>
              <w:top w:val="nil"/>
              <w:left w:val="nil"/>
              <w:bottom w:val="single" w:sz="4" w:space="0" w:color="auto"/>
              <w:right w:val="single" w:sz="4" w:space="0" w:color="auto"/>
            </w:tcBorders>
            <w:shd w:val="clear" w:color="auto" w:fill="C6EFCE"/>
            <w:noWrap/>
            <w:vAlign w:val="center"/>
            <w:hideMark/>
          </w:tcPr>
          <w:p w14:paraId="7313ADE2"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5502A71E" w14:textId="52B5485C" w:rsidR="00A00259" w:rsidRDefault="00371282">
            <w:pPr>
              <w:pStyle w:val="P68B1DB1-Normal55"/>
              <w:keepNext/>
              <w:spacing w:before="40" w:after="0" w:line="240" w:lineRule="auto"/>
              <w:jc w:val="both"/>
              <w:rPr>
                <w:rFonts w:eastAsia="Times New Roman" w:cs="Times New Roman"/>
                <w:noProof/>
                <w:szCs w:val="18"/>
              </w:rPr>
            </w:pPr>
            <w:r>
              <w:rPr>
                <w:noProof/>
              </w:rPr>
              <w:t>Livraison de projets de recherche fondamentale &amp; appliquée</w:t>
            </w:r>
          </w:p>
        </w:tc>
      </w:tr>
      <w:tr w:rsidR="00A00259" w14:paraId="00707C06"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16969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251</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19C7E3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16 - 4.5. Promouvoir la recherche et l'innovation - 16654_TH 2 ORAX: Trellis Holistic &amp; Système eXemplaire autonome robuste et opérationnel hybride</w:t>
            </w:r>
          </w:p>
        </w:tc>
        <w:tc>
          <w:tcPr>
            <w:tcW w:w="1417" w:type="dxa"/>
            <w:tcBorders>
              <w:top w:val="nil"/>
              <w:left w:val="nil"/>
              <w:bottom w:val="single" w:sz="4" w:space="0" w:color="auto"/>
              <w:right w:val="single" w:sz="4" w:space="0" w:color="auto"/>
            </w:tcBorders>
            <w:shd w:val="clear" w:color="auto" w:fill="C6EFCE"/>
            <w:noWrap/>
            <w:vAlign w:val="center"/>
            <w:hideMark/>
          </w:tcPr>
          <w:p w14:paraId="6BA2EFE0"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64D953CB" w14:textId="77777777" w:rsidR="00A00259" w:rsidRDefault="00371282">
            <w:pPr>
              <w:pStyle w:val="P68B1DB1-Normal55"/>
              <w:keepNext/>
              <w:spacing w:before="40" w:after="0" w:line="240" w:lineRule="auto"/>
              <w:jc w:val="both"/>
              <w:rPr>
                <w:rFonts w:eastAsia="Times New Roman" w:cs="Times New Roman"/>
                <w:noProof/>
                <w:szCs w:val="18"/>
              </w:rPr>
            </w:pPr>
            <w:r>
              <w:rPr>
                <w:noProof/>
              </w:rPr>
              <w:t>Exécution du projet TH²ORAX</w:t>
            </w:r>
          </w:p>
        </w:tc>
      </w:tr>
      <w:tr w:rsidR="00A00259" w14:paraId="683C9BF5"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ADCB238" w14:textId="77777777" w:rsidR="00A00259" w:rsidRDefault="00371282">
            <w:pPr>
              <w:pStyle w:val="P68B1DB1-Normal55"/>
              <w:keepNext/>
              <w:spacing w:before="40" w:after="0" w:line="240" w:lineRule="auto"/>
              <w:jc w:val="both"/>
              <w:rPr>
                <w:rFonts w:cs="Times New Roman"/>
                <w:noProof/>
                <w:szCs w:val="18"/>
              </w:rPr>
            </w:pPr>
            <w:r>
              <w:rPr>
                <w:noProof/>
              </w:rPr>
              <w:t>256</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FADCBEF" w14:textId="09C544F2" w:rsidR="00A00259" w:rsidRDefault="00371282">
            <w:pPr>
              <w:pStyle w:val="P68B1DB1-Normal55"/>
              <w:keepNext/>
              <w:spacing w:before="40" w:after="0" w:line="240" w:lineRule="auto"/>
              <w:jc w:val="both"/>
              <w:rPr>
                <w:noProof/>
              </w:rPr>
            </w:pPr>
            <w:r>
              <w:rPr>
                <w:noProof/>
              </w:rPr>
              <w:t>17 - 4.6. Moderniser et améliorer la résilience des secteurs économiques clés – 16628</w:t>
            </w:r>
          </w:p>
          <w:p w14:paraId="59757580" w14:textId="77777777" w:rsidR="00A00259" w:rsidRDefault="00371282">
            <w:pPr>
              <w:pStyle w:val="P68B1DB1-Normal55"/>
              <w:keepNext/>
              <w:spacing w:before="40" w:after="0" w:line="240" w:lineRule="auto"/>
              <w:jc w:val="both"/>
              <w:rPr>
                <w:rFonts w:cs="Times New Roman"/>
                <w:noProof/>
                <w:szCs w:val="18"/>
              </w:rPr>
            </w:pPr>
            <w:r>
              <w:rPr>
                <w:b/>
                <w:noProof/>
              </w:rPr>
              <w:t>«_</w:t>
            </w:r>
            <w:r>
              <w:rPr>
                <w:noProof/>
              </w:rPr>
              <w:t xml:space="preserve"> Central Greece Highway E-65» (autoroute E-65 de la Grèce centrale): Section Trikala-Egnatia</w:t>
            </w:r>
          </w:p>
        </w:tc>
        <w:tc>
          <w:tcPr>
            <w:tcW w:w="1417" w:type="dxa"/>
            <w:tcBorders>
              <w:top w:val="nil"/>
              <w:left w:val="nil"/>
              <w:bottom w:val="single" w:sz="4" w:space="0" w:color="auto"/>
              <w:right w:val="single" w:sz="4" w:space="0" w:color="auto"/>
            </w:tcBorders>
            <w:shd w:val="clear" w:color="auto" w:fill="C6EFCE"/>
            <w:noWrap/>
            <w:vAlign w:val="center"/>
            <w:hideMark/>
          </w:tcPr>
          <w:p w14:paraId="0A299C00" w14:textId="77777777" w:rsidR="00A00259" w:rsidRDefault="00371282">
            <w:pPr>
              <w:pStyle w:val="P68B1DB1-Normal55"/>
              <w:keepNext/>
              <w:spacing w:before="40" w:after="0" w:line="240" w:lineRule="auto"/>
              <w:jc w:val="both"/>
              <w:rPr>
                <w:rFonts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79526012" w14:textId="77777777" w:rsidR="00A00259" w:rsidRDefault="00371282">
            <w:pPr>
              <w:pStyle w:val="P68B1DB1-Normal55"/>
              <w:keepNext/>
              <w:spacing w:before="40" w:after="0" w:line="240" w:lineRule="auto"/>
              <w:jc w:val="both"/>
              <w:rPr>
                <w:rFonts w:cs="Times New Roman"/>
                <w:noProof/>
                <w:szCs w:val="18"/>
              </w:rPr>
            </w:pPr>
            <w:r>
              <w:rPr>
                <w:noProof/>
              </w:rPr>
              <w:t>Travaux E-65 — Achèvement</w:t>
            </w:r>
          </w:p>
        </w:tc>
      </w:tr>
      <w:tr w:rsidR="00A00259" w14:paraId="0747FF11"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37E4E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262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356AA59" w14:textId="6FF2B115"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- 16630_Cretan Northern Highway (Β.Ο.Α.Κ.)</w:t>
            </w:r>
          </w:p>
        </w:tc>
        <w:tc>
          <w:tcPr>
            <w:tcW w:w="1417" w:type="dxa"/>
            <w:tcBorders>
              <w:top w:val="nil"/>
              <w:left w:val="nil"/>
              <w:bottom w:val="single" w:sz="4" w:space="0" w:color="auto"/>
              <w:right w:val="single" w:sz="4" w:space="0" w:color="auto"/>
            </w:tcBorders>
            <w:shd w:val="clear" w:color="auto" w:fill="C6EFCE"/>
            <w:noWrap/>
            <w:vAlign w:val="center"/>
            <w:hideMark/>
          </w:tcPr>
          <w:p w14:paraId="7ED1E62E"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55786859" w14:textId="77777777" w:rsidR="00A00259" w:rsidRDefault="00371282">
            <w:pPr>
              <w:pStyle w:val="P68B1DB1-Normal55"/>
              <w:keepNext/>
              <w:spacing w:before="40" w:after="0" w:line="240" w:lineRule="auto"/>
              <w:jc w:val="both"/>
              <w:rPr>
                <w:rFonts w:eastAsia="Times New Roman" w:cs="Times New Roman"/>
                <w:noProof/>
                <w:szCs w:val="18"/>
              </w:rPr>
            </w:pPr>
            <w:r>
              <w:rPr>
                <w:noProof/>
              </w:rPr>
              <w:t>Travaux exécutés financés par la FRR</w:t>
            </w:r>
          </w:p>
        </w:tc>
      </w:tr>
      <w:tr w:rsidR="00A00259" w14:paraId="422B7B06"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10F5C1" w14:textId="77777777" w:rsidR="00A00259" w:rsidRDefault="00371282">
            <w:pPr>
              <w:pStyle w:val="P68B1DB1-Normal55"/>
              <w:keepNext/>
              <w:spacing w:before="40" w:after="0" w:line="240" w:lineRule="auto"/>
              <w:jc w:val="both"/>
              <w:rPr>
                <w:noProof/>
              </w:rPr>
            </w:pPr>
            <w:r>
              <w:rPr>
                <w:noProof/>
              </w:rPr>
              <w:t>262a</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55B0F15C" w14:textId="77777777" w:rsidR="00A00259" w:rsidRDefault="00371282">
            <w:pPr>
              <w:pStyle w:val="P68B1DB1-Normal55"/>
              <w:keepNext/>
              <w:spacing w:before="40" w:after="0" w:line="240" w:lineRule="auto"/>
              <w:jc w:val="both"/>
              <w:rPr>
                <w:noProof/>
              </w:rPr>
            </w:pPr>
            <w:r>
              <w:rPr>
                <w:noProof/>
              </w:rPr>
              <w:t>17 - 4.6. Moderniser et améliorer la résilience des secteurs économiques clés - 16630_Cretan Northern Highway (Β.Ο.Α.Κ.)</w:t>
            </w:r>
          </w:p>
        </w:tc>
        <w:tc>
          <w:tcPr>
            <w:tcW w:w="1417" w:type="dxa"/>
            <w:tcBorders>
              <w:top w:val="nil"/>
              <w:left w:val="nil"/>
              <w:bottom w:val="single" w:sz="4" w:space="0" w:color="auto"/>
              <w:right w:val="single" w:sz="4" w:space="0" w:color="auto"/>
            </w:tcBorders>
            <w:shd w:val="clear" w:color="auto" w:fill="C6EFCE"/>
            <w:noWrap/>
            <w:vAlign w:val="center"/>
          </w:tcPr>
          <w:p w14:paraId="00284731" w14:textId="77777777" w:rsidR="00A00259" w:rsidRDefault="00371282">
            <w:pPr>
              <w:pStyle w:val="P68B1DB1-Normal55"/>
              <w:keepNext/>
              <w:spacing w:before="40" w:after="0" w:line="240" w:lineRule="auto"/>
              <w:jc w:val="both"/>
              <w:rPr>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tcPr>
          <w:p w14:paraId="243FE471" w14:textId="77777777" w:rsidR="00A00259" w:rsidRDefault="00371282">
            <w:pPr>
              <w:pStyle w:val="P68B1DB1-Normal55"/>
              <w:keepNext/>
              <w:spacing w:before="40" w:after="0" w:line="240" w:lineRule="auto"/>
              <w:jc w:val="both"/>
              <w:rPr>
                <w:noProof/>
              </w:rPr>
            </w:pPr>
            <w:r>
              <w:rPr>
                <w:noProof/>
              </w:rPr>
              <w:t>Travaux exécutés financés par la FRR</w:t>
            </w:r>
          </w:p>
        </w:tc>
      </w:tr>
      <w:tr w:rsidR="00A00259" w14:paraId="51FF0938"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1B7158" w14:textId="77777777" w:rsidR="00A00259" w:rsidRDefault="00371282">
            <w:pPr>
              <w:pStyle w:val="P68B1DB1-Normal55"/>
              <w:keepNext/>
              <w:spacing w:before="40" w:after="0" w:line="240" w:lineRule="auto"/>
              <w:jc w:val="both"/>
              <w:rPr>
                <w:rFonts w:cs="Times New Roman"/>
                <w:noProof/>
                <w:szCs w:val="18"/>
              </w:rPr>
            </w:pPr>
            <w:r>
              <w:rPr>
                <w:noProof/>
              </w:rPr>
              <w:t>268c</w:t>
            </w:r>
          </w:p>
        </w:tc>
        <w:tc>
          <w:tcPr>
            <w:tcW w:w="4820" w:type="dxa"/>
            <w:tcBorders>
              <w:top w:val="nil"/>
              <w:left w:val="single" w:sz="4" w:space="0" w:color="auto"/>
              <w:bottom w:val="single" w:sz="4" w:space="0" w:color="auto"/>
              <w:right w:val="single" w:sz="4" w:space="0" w:color="auto"/>
            </w:tcBorders>
            <w:shd w:val="clear" w:color="auto" w:fill="C6EFCE"/>
            <w:noWrap/>
            <w:hideMark/>
          </w:tcPr>
          <w:p w14:paraId="4CD8007B" w14:textId="77777777" w:rsidR="00A00259" w:rsidRDefault="00371282">
            <w:pPr>
              <w:pStyle w:val="P68B1DB1-Normal55"/>
              <w:keepNext/>
              <w:spacing w:before="40" w:after="0" w:line="240" w:lineRule="auto"/>
              <w:jc w:val="both"/>
              <w:rPr>
                <w:rFonts w:cs="Times New Roman"/>
                <w:noProof/>
                <w:szCs w:val="18"/>
              </w:rPr>
            </w:pPr>
            <w:r>
              <w:rPr>
                <w:noProof/>
              </w:rPr>
              <w:t>17 - 4.6. Moderniser et améliorer la résilience des secteurs économiques clés - 16982_Réforme organisationnelle dans le secteur ferroviaire</w:t>
            </w:r>
          </w:p>
        </w:tc>
        <w:tc>
          <w:tcPr>
            <w:tcW w:w="1417" w:type="dxa"/>
            <w:tcBorders>
              <w:top w:val="nil"/>
              <w:left w:val="nil"/>
              <w:bottom w:val="single" w:sz="4" w:space="0" w:color="auto"/>
              <w:right w:val="single" w:sz="4" w:space="0" w:color="auto"/>
            </w:tcBorders>
            <w:shd w:val="clear" w:color="auto" w:fill="C6EFCE"/>
            <w:noWrap/>
            <w:hideMark/>
          </w:tcPr>
          <w:p w14:paraId="15973B6A" w14:textId="77777777" w:rsidR="00A00259" w:rsidRDefault="00371282">
            <w:pPr>
              <w:pStyle w:val="P68B1DB1-Normal55"/>
              <w:keepNext/>
              <w:spacing w:before="40" w:after="0" w:line="240" w:lineRule="auto"/>
              <w:jc w:val="both"/>
              <w:rPr>
                <w:rFonts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hideMark/>
          </w:tcPr>
          <w:p w14:paraId="65CF04FB" w14:textId="6316639E" w:rsidR="00A00259" w:rsidRDefault="00371282">
            <w:pPr>
              <w:pStyle w:val="P68B1DB1-Normal11"/>
              <w:keepNext/>
              <w:spacing w:before="40" w:after="0" w:line="240" w:lineRule="auto"/>
              <w:jc w:val="both"/>
              <w:rPr>
                <w:rFonts w:cs="Times New Roman"/>
                <w:noProof/>
              </w:rPr>
            </w:pPr>
            <w:r>
              <w:rPr>
                <w:noProof/>
              </w:rPr>
              <w:t>Nouvelle structure organisationnelle</w:t>
            </w:r>
          </w:p>
        </w:tc>
      </w:tr>
      <w:tr w:rsidR="00A00259" w14:paraId="380624BA"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1182BC" w14:textId="77777777" w:rsidR="00A00259" w:rsidRDefault="00371282">
            <w:pPr>
              <w:pStyle w:val="P68B1DB1-Normal55"/>
              <w:keepNext/>
              <w:spacing w:before="40" w:after="0" w:line="240" w:lineRule="auto"/>
              <w:jc w:val="both"/>
              <w:rPr>
                <w:rFonts w:cs="Times New Roman"/>
                <w:noProof/>
                <w:szCs w:val="18"/>
              </w:rPr>
            </w:pPr>
            <w:r>
              <w:rPr>
                <w:noProof/>
              </w:rPr>
              <w:t>269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AD13485" w14:textId="56364609" w:rsidR="00A00259" w:rsidRDefault="00371282">
            <w:pPr>
              <w:pStyle w:val="P68B1DB1-Normal11"/>
              <w:keepNext/>
              <w:spacing w:before="40" w:after="0" w:line="240" w:lineRule="auto"/>
              <w:jc w:val="both"/>
              <w:rPr>
                <w:rFonts w:cs="Times New Roman"/>
                <w:noProof/>
              </w:rPr>
            </w:pPr>
            <w:r>
              <w:rPr>
                <w:noProof/>
              </w:rPr>
              <w:t>17 - 4.6. Moderniser et améliorer la résilience des secteurs économiques clés – 16833_Amélioration des aéroports régionaux – Retrait du DAAD</w:t>
            </w:r>
          </w:p>
        </w:tc>
        <w:tc>
          <w:tcPr>
            <w:tcW w:w="1417" w:type="dxa"/>
            <w:tcBorders>
              <w:top w:val="nil"/>
              <w:left w:val="nil"/>
              <w:bottom w:val="single" w:sz="4" w:space="0" w:color="auto"/>
              <w:right w:val="single" w:sz="4" w:space="0" w:color="auto"/>
            </w:tcBorders>
            <w:shd w:val="clear" w:color="auto" w:fill="C6EFCE"/>
            <w:noWrap/>
            <w:vAlign w:val="center"/>
            <w:hideMark/>
          </w:tcPr>
          <w:p w14:paraId="46D8C46F" w14:textId="77777777" w:rsidR="00A00259" w:rsidRDefault="00371282">
            <w:pPr>
              <w:pStyle w:val="P68B1DB1-Normal55"/>
              <w:keepNext/>
              <w:spacing w:before="40" w:after="0" w:line="240" w:lineRule="auto"/>
              <w:jc w:val="both"/>
              <w:rPr>
                <w:rFonts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04F4A261" w14:textId="77777777" w:rsidR="00A00259" w:rsidRDefault="00371282">
            <w:pPr>
              <w:pStyle w:val="P68B1DB1-Normal16"/>
              <w:keepNext/>
              <w:spacing w:before="40" w:after="0" w:line="240" w:lineRule="auto"/>
              <w:jc w:val="both"/>
              <w:rPr>
                <w:rFonts w:eastAsiaTheme="minorEastAsia"/>
                <w:noProof/>
              </w:rPr>
            </w:pPr>
            <w:r>
              <w:rPr>
                <w:noProof/>
              </w:rPr>
              <w:t xml:space="preserve">Retrait des documents d'acceptation et d'action de déviation (DAAD) </w:t>
            </w:r>
          </w:p>
        </w:tc>
      </w:tr>
      <w:tr w:rsidR="00A00259" w14:paraId="06ACD38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01B4D0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272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5265EB1D"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- 16949_Smart Bridges</w:t>
            </w:r>
          </w:p>
        </w:tc>
        <w:tc>
          <w:tcPr>
            <w:tcW w:w="1417" w:type="dxa"/>
            <w:tcBorders>
              <w:top w:val="nil"/>
              <w:left w:val="nil"/>
              <w:bottom w:val="single" w:sz="4" w:space="0" w:color="auto"/>
              <w:right w:val="single" w:sz="4" w:space="0" w:color="auto"/>
            </w:tcBorders>
            <w:shd w:val="clear" w:color="auto" w:fill="C6EFCE"/>
            <w:noWrap/>
            <w:vAlign w:val="center"/>
            <w:hideMark/>
          </w:tcPr>
          <w:p w14:paraId="2AF9A9E1"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46F6D742" w14:textId="7B29B184" w:rsidR="00A00259" w:rsidRDefault="00371282">
            <w:pPr>
              <w:pStyle w:val="P68B1DB1-Normal11"/>
              <w:keepNext/>
              <w:spacing w:before="40" w:after="0" w:line="240" w:lineRule="auto"/>
              <w:jc w:val="both"/>
              <w:rPr>
                <w:rFonts w:eastAsia="Times New Roman" w:cs="Times New Roman"/>
                <w:noProof/>
              </w:rPr>
            </w:pPr>
            <w:r>
              <w:rPr>
                <w:noProof/>
              </w:rPr>
              <w:t>Installation d'équipements de ponts intelligents</w:t>
            </w:r>
          </w:p>
        </w:tc>
      </w:tr>
      <w:tr w:rsidR="00A00259" w14:paraId="29985E79"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DEEFBF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274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444A984" w14:textId="77777777" w:rsidR="00A00259" w:rsidRDefault="00371282">
            <w:pPr>
              <w:pStyle w:val="P68B1DB1-Normal11"/>
              <w:keepNext/>
              <w:spacing w:before="40" w:after="0" w:line="240" w:lineRule="auto"/>
              <w:jc w:val="both"/>
              <w:rPr>
                <w:rFonts w:eastAsia="Times New Roman" w:cs="Times New Roman"/>
                <w:bCs/>
                <w:noProof/>
              </w:rPr>
            </w:pPr>
            <w:r>
              <w:rPr>
                <w:noProof/>
              </w:rPr>
              <w:t>17 - 4.6. Moderniser et améliorer la résilience des secteurs économiques clés - 16959_Transformation numérique des chemins de fer grecs</w:t>
            </w:r>
          </w:p>
        </w:tc>
        <w:tc>
          <w:tcPr>
            <w:tcW w:w="1417" w:type="dxa"/>
            <w:tcBorders>
              <w:top w:val="nil"/>
              <w:left w:val="nil"/>
              <w:bottom w:val="single" w:sz="4" w:space="0" w:color="auto"/>
              <w:right w:val="single" w:sz="4" w:space="0" w:color="auto"/>
            </w:tcBorders>
            <w:shd w:val="clear" w:color="auto" w:fill="C6EFCE"/>
            <w:noWrap/>
            <w:vAlign w:val="center"/>
            <w:hideMark/>
          </w:tcPr>
          <w:p w14:paraId="7927F9AD"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0DA2620E" w14:textId="77777777" w:rsidR="00A00259" w:rsidRDefault="00371282">
            <w:pPr>
              <w:pStyle w:val="P68B1DB1-Normal11"/>
              <w:keepNext/>
              <w:spacing w:before="40" w:after="0" w:line="240" w:lineRule="auto"/>
              <w:jc w:val="both"/>
              <w:rPr>
                <w:noProof/>
              </w:rPr>
            </w:pPr>
            <w:r>
              <w:rPr>
                <w:noProof/>
              </w:rPr>
              <w:t>Projets, systèmes, équipements et services numériques</w:t>
            </w:r>
          </w:p>
        </w:tc>
      </w:tr>
      <w:tr w:rsidR="00A00259" w14:paraId="05806E6D"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6D01F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275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51F0B7B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- 16960_Infrastructure intelligente axée sur l'environnement et la culture</w:t>
            </w:r>
          </w:p>
        </w:tc>
        <w:tc>
          <w:tcPr>
            <w:tcW w:w="1417" w:type="dxa"/>
            <w:tcBorders>
              <w:top w:val="nil"/>
              <w:left w:val="nil"/>
              <w:bottom w:val="single" w:sz="4" w:space="0" w:color="auto"/>
              <w:right w:val="single" w:sz="4" w:space="0" w:color="auto"/>
            </w:tcBorders>
            <w:shd w:val="clear" w:color="auto" w:fill="C6EFCE"/>
            <w:noWrap/>
            <w:vAlign w:val="center"/>
            <w:hideMark/>
          </w:tcPr>
          <w:p w14:paraId="1AC5E684"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35291E69" w14:textId="77777777" w:rsidR="00A00259" w:rsidRDefault="00371282">
            <w:pPr>
              <w:pStyle w:val="P68B1DB1-Normal55"/>
              <w:keepNext/>
              <w:spacing w:before="40" w:after="0" w:line="240" w:lineRule="auto"/>
              <w:jc w:val="both"/>
              <w:rPr>
                <w:rFonts w:eastAsia="Times New Roman" w:cs="Times New Roman"/>
                <w:noProof/>
                <w:szCs w:val="18"/>
              </w:rPr>
            </w:pPr>
            <w:r>
              <w:rPr>
                <w:noProof/>
              </w:rPr>
              <w:t>Réalisation d'un projet d'infrastructure intelligente</w:t>
            </w:r>
          </w:p>
        </w:tc>
      </w:tr>
      <w:tr w:rsidR="00A00259" w14:paraId="61D36E25"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A551A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283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D3A941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- 16293_La culture comme moteur de croissance</w:t>
            </w:r>
          </w:p>
        </w:tc>
        <w:tc>
          <w:tcPr>
            <w:tcW w:w="1417" w:type="dxa"/>
            <w:tcBorders>
              <w:top w:val="nil"/>
              <w:left w:val="nil"/>
              <w:bottom w:val="single" w:sz="4" w:space="0" w:color="auto"/>
              <w:right w:val="single" w:sz="4" w:space="0" w:color="auto"/>
            </w:tcBorders>
            <w:shd w:val="clear" w:color="auto" w:fill="C6EFCE"/>
            <w:noWrap/>
            <w:vAlign w:val="center"/>
            <w:hideMark/>
          </w:tcPr>
          <w:p w14:paraId="3B500C13"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08EC06F4" w14:textId="0C418D6F" w:rsidR="00A00259" w:rsidRDefault="00371282">
            <w:pPr>
              <w:pStyle w:val="P68B1DB1-Normal55"/>
              <w:keepNext/>
              <w:spacing w:before="40" w:after="0" w:line="240" w:lineRule="auto"/>
              <w:jc w:val="both"/>
              <w:rPr>
                <w:rFonts w:eastAsia="Times New Roman" w:cs="Times New Roman"/>
                <w:noProof/>
                <w:szCs w:val="18"/>
              </w:rPr>
            </w:pPr>
            <w:r>
              <w:rPr>
                <w:noProof/>
              </w:rPr>
              <w:t>Plans directeurs et travaux culturels</w:t>
            </w:r>
          </w:p>
        </w:tc>
      </w:tr>
      <w:tr w:rsidR="00A00259" w14:paraId="6722C8B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735616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284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5E7603A" w14:textId="71AEB61B" w:rsidR="00A00259" w:rsidRDefault="00371282">
            <w:pPr>
              <w:pStyle w:val="P68B1DB1-Normal11"/>
              <w:keepNext/>
              <w:spacing w:before="40" w:after="0" w:line="240" w:lineRule="auto"/>
              <w:jc w:val="both"/>
              <w:rPr>
                <w:rFonts w:eastAsia="Times New Roman" w:cs="Times New Roman"/>
                <w:noProof/>
              </w:rPr>
            </w:pPr>
            <w:r>
              <w:rPr>
                <w:noProof/>
              </w:rPr>
              <w:t xml:space="preserve">17 - 4.6. Moderniser et améliorer la résilience des secteurs économiques clés - 16536_Mise à niveau des infrastructures et des équipements des magasins HOCRED </w:t>
            </w:r>
          </w:p>
        </w:tc>
        <w:tc>
          <w:tcPr>
            <w:tcW w:w="1417" w:type="dxa"/>
            <w:tcBorders>
              <w:top w:val="nil"/>
              <w:left w:val="nil"/>
              <w:bottom w:val="single" w:sz="4" w:space="0" w:color="auto"/>
              <w:right w:val="single" w:sz="4" w:space="0" w:color="auto"/>
            </w:tcBorders>
            <w:shd w:val="clear" w:color="auto" w:fill="C6EFCE"/>
            <w:noWrap/>
            <w:vAlign w:val="center"/>
            <w:hideMark/>
          </w:tcPr>
          <w:p w14:paraId="38634B71" w14:textId="77777777" w:rsidR="00A00259" w:rsidRDefault="00371282">
            <w:pPr>
              <w:pStyle w:val="P68B1DB1-Normal11"/>
              <w:keepNext/>
              <w:spacing w:before="40" w:after="0" w:line="240" w:lineRule="auto"/>
              <w:jc w:val="both"/>
              <w:rPr>
                <w:rFonts w:eastAsia="Times New Roman" w:cs="Times New Roman"/>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5451F4A2" w14:textId="77777777" w:rsidR="00A00259" w:rsidRDefault="00371282">
            <w:pPr>
              <w:pStyle w:val="P68B1DB1-Normal11"/>
              <w:keepNext/>
              <w:spacing w:before="40" w:after="0" w:line="240" w:lineRule="auto"/>
              <w:jc w:val="both"/>
              <w:rPr>
                <w:rFonts w:eastAsia="Times New Roman" w:cs="Times New Roman"/>
                <w:noProof/>
              </w:rPr>
            </w:pPr>
            <w:r>
              <w:rPr>
                <w:noProof/>
              </w:rPr>
              <w:t xml:space="preserve">Mise à niveau de l'Organisation hellénique de développement des ressources culturelles (HOCRED) </w:t>
            </w:r>
          </w:p>
        </w:tc>
      </w:tr>
      <w:tr w:rsidR="00A00259" w14:paraId="47E3E58F"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7BC4FD"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285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340FEF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- 16725_Améliorer l'enseignement supérieur des arts</w:t>
            </w:r>
          </w:p>
        </w:tc>
        <w:tc>
          <w:tcPr>
            <w:tcW w:w="1417" w:type="dxa"/>
            <w:tcBorders>
              <w:top w:val="nil"/>
              <w:left w:val="nil"/>
              <w:bottom w:val="single" w:sz="4" w:space="0" w:color="auto"/>
              <w:right w:val="single" w:sz="4" w:space="0" w:color="auto"/>
            </w:tcBorders>
            <w:shd w:val="clear" w:color="auto" w:fill="C6EFCE"/>
            <w:noWrap/>
            <w:vAlign w:val="center"/>
            <w:hideMark/>
          </w:tcPr>
          <w:p w14:paraId="1F814602"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3D678847" w14:textId="77777777" w:rsidR="00A00259" w:rsidRDefault="00371282">
            <w:pPr>
              <w:pStyle w:val="P68B1DB1-Normal55"/>
              <w:keepNext/>
              <w:spacing w:before="40" w:after="0" w:line="240" w:lineRule="auto"/>
              <w:jc w:val="both"/>
              <w:rPr>
                <w:rFonts w:eastAsia="Times New Roman" w:cs="Times New Roman"/>
                <w:noProof/>
                <w:szCs w:val="18"/>
              </w:rPr>
            </w:pPr>
            <w:r>
              <w:rPr>
                <w:noProof/>
              </w:rPr>
              <w:t>Amélioration de l'enseignement supérieur des arts</w:t>
            </w:r>
          </w:p>
        </w:tc>
      </w:tr>
      <w:tr w:rsidR="00A00259" w14:paraId="35B04113"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CEA69A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287</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7E4092E" w14:textId="77777777" w:rsidR="00A00259" w:rsidRDefault="00371282">
            <w:pPr>
              <w:pStyle w:val="P68B1DB1-Normal11"/>
              <w:keepNext/>
              <w:spacing w:before="40" w:after="0" w:line="240" w:lineRule="auto"/>
              <w:jc w:val="both"/>
              <w:rPr>
                <w:rFonts w:eastAsia="Times New Roman" w:cs="Times New Roman"/>
                <w:noProof/>
              </w:rPr>
            </w:pPr>
            <w:r>
              <w:rPr>
                <w:noProof/>
              </w:rPr>
              <w:t>17 - 4.6. Moderniser et améliorer la résilience des secteurs économiques clés - 16486_Musée des antiquités sous-marines</w:t>
            </w:r>
          </w:p>
        </w:tc>
        <w:tc>
          <w:tcPr>
            <w:tcW w:w="1417" w:type="dxa"/>
            <w:tcBorders>
              <w:top w:val="nil"/>
              <w:left w:val="nil"/>
              <w:bottom w:val="single" w:sz="4" w:space="0" w:color="auto"/>
              <w:right w:val="single" w:sz="4" w:space="0" w:color="auto"/>
            </w:tcBorders>
            <w:shd w:val="clear" w:color="auto" w:fill="C6EFCE"/>
            <w:noWrap/>
            <w:vAlign w:val="center"/>
            <w:hideMark/>
          </w:tcPr>
          <w:p w14:paraId="2240F790" w14:textId="7F19D0C0" w:rsidR="00A00259" w:rsidRDefault="00371282">
            <w:pPr>
              <w:pStyle w:val="P68B1DB1-Normal11"/>
              <w:keepNext/>
              <w:spacing w:before="40" w:after="0" w:line="240" w:lineRule="auto"/>
              <w:jc w:val="both"/>
              <w:rPr>
                <w:rFonts w:eastAsia="Times New Roman" w:cs="Times New Roman"/>
                <w:noProof/>
              </w:rPr>
            </w:pPr>
            <w:r>
              <w:rPr>
                <w:noProof/>
              </w:rPr>
              <w:t>Objectif</w:t>
            </w:r>
          </w:p>
        </w:tc>
        <w:tc>
          <w:tcPr>
            <w:tcW w:w="3292" w:type="dxa"/>
            <w:tcBorders>
              <w:top w:val="nil"/>
              <w:left w:val="nil"/>
              <w:bottom w:val="single" w:sz="4" w:space="0" w:color="auto"/>
              <w:right w:val="single" w:sz="4" w:space="0" w:color="auto"/>
            </w:tcBorders>
            <w:shd w:val="clear" w:color="auto" w:fill="C6EFCE"/>
            <w:noWrap/>
            <w:vAlign w:val="center"/>
            <w:hideMark/>
          </w:tcPr>
          <w:p w14:paraId="31661E96" w14:textId="77777777" w:rsidR="00A00259" w:rsidRDefault="00371282">
            <w:pPr>
              <w:pStyle w:val="P68B1DB1-Normal11"/>
              <w:keepNext/>
              <w:spacing w:before="40" w:after="0" w:line="240" w:lineRule="auto"/>
              <w:jc w:val="both"/>
              <w:rPr>
                <w:rFonts w:eastAsia="Times New Roman" w:cs="Times New Roman"/>
                <w:noProof/>
              </w:rPr>
            </w:pPr>
            <w:r>
              <w:rPr>
                <w:noProof/>
              </w:rPr>
              <w:t>Musée des antiquités sous-marines</w:t>
            </w:r>
          </w:p>
        </w:tc>
      </w:tr>
      <w:tr w:rsidR="00A00259" w14:paraId="2B11E747"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5BD54E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288</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B6F54C6" w14:textId="732AFAE0" w:rsidR="00A00259" w:rsidRDefault="00371282">
            <w:pPr>
              <w:pStyle w:val="P68B1DB1-Normal11"/>
              <w:keepNext/>
              <w:spacing w:before="40" w:after="0" w:line="240" w:lineRule="auto"/>
              <w:jc w:val="both"/>
              <w:rPr>
                <w:rFonts w:eastAsia="Times New Roman" w:cs="Times New Roman"/>
                <w:bCs/>
                <w:noProof/>
              </w:rPr>
            </w:pPr>
            <w:r>
              <w:rPr>
                <w:noProof/>
              </w:rPr>
              <w:t>17 - 4.6. Moderniser et améliorer la résilience des secteurs économiques clés - 16485_Itinéraires culturels dans les sites et monuments archéologiques</w:t>
            </w:r>
          </w:p>
        </w:tc>
        <w:tc>
          <w:tcPr>
            <w:tcW w:w="1417" w:type="dxa"/>
            <w:tcBorders>
              <w:top w:val="nil"/>
              <w:left w:val="nil"/>
              <w:bottom w:val="single" w:sz="4" w:space="0" w:color="auto"/>
              <w:right w:val="single" w:sz="4" w:space="0" w:color="auto"/>
            </w:tcBorders>
            <w:shd w:val="clear" w:color="auto" w:fill="C6EFCE"/>
            <w:noWrap/>
            <w:vAlign w:val="center"/>
            <w:hideMark/>
          </w:tcPr>
          <w:p w14:paraId="4913F982"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1E57D84E" w14:textId="3DA0EC12" w:rsidR="00A00259" w:rsidRDefault="00371282">
            <w:pPr>
              <w:pStyle w:val="P68B1DB1-Normal11"/>
              <w:keepNext/>
              <w:spacing w:before="40" w:after="0" w:line="240" w:lineRule="auto"/>
              <w:jc w:val="both"/>
              <w:rPr>
                <w:rFonts w:eastAsia="Times New Roman" w:cs="Times New Roman"/>
                <w:noProof/>
              </w:rPr>
            </w:pPr>
            <w:r>
              <w:rPr>
                <w:noProof/>
              </w:rPr>
              <w:t>Itinéraires culturels sur les sites archéologiques</w:t>
            </w:r>
          </w:p>
        </w:tc>
      </w:tr>
      <w:tr w:rsidR="00A00259" w14:paraId="56CF314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E2587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289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E67FC75" w14:textId="7ABCD398" w:rsidR="00A00259" w:rsidRDefault="00371282">
            <w:pPr>
              <w:keepNext/>
              <w:spacing w:before="40" w:after="0" w:line="240" w:lineRule="auto"/>
              <w:jc w:val="both"/>
              <w:rPr>
                <w:rFonts w:ascii="Times New Roman" w:eastAsia="Times New Roman" w:hAnsi="Times New Roman" w:cs="Times New Roman"/>
                <w:bCs/>
                <w:noProof/>
                <w:sz w:val="18"/>
                <w:szCs w:val="18"/>
              </w:rPr>
            </w:pPr>
            <w:r>
              <w:rPr>
                <w:rFonts w:ascii="Times New Roman" w:hAnsi="Times New Roman"/>
                <w:noProof/>
                <w:sz w:val="18"/>
              </w:rPr>
              <w:t>17 - 4.6. «Moderniser et améliorer la résilience des secteurs économiques clés» - 16735_</w:t>
            </w:r>
            <w:r>
              <w:rPr>
                <w:noProof/>
              </w:rPr>
              <w:t xml:space="preserve"> </w:t>
            </w:r>
            <w:r>
              <w:rPr>
                <w:rFonts w:ascii="Times New Roman" w:hAnsi="Times New Roman"/>
                <w:noProof/>
                <w:sz w:val="18"/>
              </w:rPr>
              <w:t>Utiliser des «actions pilotes de prescription culturelle», promouvoir la cohésion sociale et tirer parti de l’économie de l’argent</w:t>
            </w:r>
          </w:p>
        </w:tc>
        <w:tc>
          <w:tcPr>
            <w:tcW w:w="1417" w:type="dxa"/>
            <w:tcBorders>
              <w:top w:val="nil"/>
              <w:left w:val="nil"/>
              <w:bottom w:val="single" w:sz="4" w:space="0" w:color="auto"/>
              <w:right w:val="single" w:sz="4" w:space="0" w:color="auto"/>
            </w:tcBorders>
            <w:shd w:val="clear" w:color="auto" w:fill="C6EFCE"/>
            <w:noWrap/>
            <w:vAlign w:val="center"/>
            <w:hideMark/>
          </w:tcPr>
          <w:p w14:paraId="064CF5B1"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517A2AF7" w14:textId="22EF95E8" w:rsidR="00A00259" w:rsidRDefault="00371282">
            <w:pPr>
              <w:pStyle w:val="P68B1DB1-Normal11"/>
              <w:keepNext/>
              <w:spacing w:before="40" w:after="0" w:line="240" w:lineRule="auto"/>
              <w:jc w:val="both"/>
              <w:rPr>
                <w:rFonts w:eastAsia="Times New Roman" w:cs="Times New Roman"/>
                <w:noProof/>
              </w:rPr>
            </w:pPr>
            <w:r>
              <w:rPr>
                <w:noProof/>
              </w:rPr>
              <w:t xml:space="preserve"> Programme « Action pilote de prescription culturelle » et travaux d’infrastructure </w:t>
            </w:r>
          </w:p>
        </w:tc>
      </w:tr>
      <w:tr w:rsidR="00A00259" w14:paraId="1BCD1517"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A1573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290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99ABEB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16433_Protection des monuments culturels et des sites archéologiques contre le changement climatique</w:t>
            </w:r>
          </w:p>
        </w:tc>
        <w:tc>
          <w:tcPr>
            <w:tcW w:w="1417" w:type="dxa"/>
            <w:tcBorders>
              <w:top w:val="nil"/>
              <w:left w:val="nil"/>
              <w:bottom w:val="single" w:sz="4" w:space="0" w:color="auto"/>
              <w:right w:val="single" w:sz="4" w:space="0" w:color="auto"/>
            </w:tcBorders>
            <w:shd w:val="clear" w:color="auto" w:fill="C6EFCE"/>
            <w:noWrap/>
            <w:vAlign w:val="center"/>
            <w:hideMark/>
          </w:tcPr>
          <w:p w14:paraId="4092D94E" w14:textId="77777777" w:rsidR="00A00259" w:rsidRDefault="00371282">
            <w:pPr>
              <w:pStyle w:val="P68B1DB1-Normal55"/>
              <w:keepNext/>
              <w:spacing w:before="40" w:after="0" w:line="240" w:lineRule="auto"/>
              <w:jc w:val="both"/>
              <w:rPr>
                <w:rFonts w:eastAsia="Times New Roman" w:cs="Times New Roman"/>
                <w:noProof/>
                <w:szCs w:val="18"/>
              </w:rPr>
            </w:pPr>
            <w:r>
              <w:rPr>
                <w:noProof/>
              </w:rPr>
              <w:t xml:space="preserve">Étape </w:t>
            </w:r>
          </w:p>
        </w:tc>
        <w:tc>
          <w:tcPr>
            <w:tcW w:w="3292" w:type="dxa"/>
            <w:tcBorders>
              <w:top w:val="nil"/>
              <w:left w:val="nil"/>
              <w:bottom w:val="single" w:sz="4" w:space="0" w:color="auto"/>
              <w:right w:val="single" w:sz="4" w:space="0" w:color="auto"/>
            </w:tcBorders>
            <w:shd w:val="clear" w:color="auto" w:fill="C6EFCE"/>
            <w:noWrap/>
            <w:vAlign w:val="center"/>
            <w:hideMark/>
          </w:tcPr>
          <w:p w14:paraId="5CA75DFA" w14:textId="77777777" w:rsidR="00A00259" w:rsidRDefault="00371282">
            <w:pPr>
              <w:pStyle w:val="P68B1DB1-Normal55"/>
              <w:keepNext/>
              <w:spacing w:before="40" w:after="0" w:line="240" w:lineRule="auto"/>
              <w:jc w:val="both"/>
              <w:rPr>
                <w:rFonts w:eastAsia="Times New Roman" w:cs="Times New Roman"/>
                <w:noProof/>
                <w:szCs w:val="18"/>
              </w:rPr>
            </w:pPr>
            <w:r>
              <w:rPr>
                <w:noProof/>
              </w:rPr>
              <w:t>Protection des monuments culturels contre le changement climatique</w:t>
            </w:r>
          </w:p>
        </w:tc>
      </w:tr>
      <w:tr w:rsidR="00A00259" w14:paraId="5294E12B"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AEE1F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291</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11F3C3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- 16435_Restauration - Conservation- Mise en valeur des monuments de l'Acropole</w:t>
            </w:r>
          </w:p>
        </w:tc>
        <w:tc>
          <w:tcPr>
            <w:tcW w:w="1417" w:type="dxa"/>
            <w:tcBorders>
              <w:top w:val="nil"/>
              <w:left w:val="nil"/>
              <w:bottom w:val="single" w:sz="4" w:space="0" w:color="auto"/>
              <w:right w:val="single" w:sz="4" w:space="0" w:color="auto"/>
            </w:tcBorders>
            <w:shd w:val="clear" w:color="auto" w:fill="C6EFCE"/>
            <w:noWrap/>
            <w:vAlign w:val="center"/>
            <w:hideMark/>
          </w:tcPr>
          <w:p w14:paraId="6656A788"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2565EF2A" w14:textId="77777777" w:rsidR="00A00259" w:rsidRDefault="00371282">
            <w:pPr>
              <w:pStyle w:val="P68B1DB1-Normal55"/>
              <w:keepNext/>
              <w:spacing w:before="40" w:after="0" w:line="240" w:lineRule="auto"/>
              <w:jc w:val="both"/>
              <w:rPr>
                <w:rFonts w:eastAsia="Times New Roman" w:cs="Times New Roman"/>
                <w:noProof/>
                <w:szCs w:val="18"/>
              </w:rPr>
            </w:pPr>
            <w:r>
              <w:rPr>
                <w:noProof/>
              </w:rPr>
              <w:t>Restauration - Conservation - Mise en valeur de l'Acropole</w:t>
            </w:r>
          </w:p>
        </w:tc>
      </w:tr>
      <w:tr w:rsidR="00A00259" w14:paraId="273FC686"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8F1054"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297</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F723AF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- 16931_Tourisme Développement</w:t>
            </w:r>
          </w:p>
        </w:tc>
        <w:tc>
          <w:tcPr>
            <w:tcW w:w="1417" w:type="dxa"/>
            <w:tcBorders>
              <w:top w:val="nil"/>
              <w:left w:val="nil"/>
              <w:bottom w:val="single" w:sz="4" w:space="0" w:color="auto"/>
              <w:right w:val="single" w:sz="4" w:space="0" w:color="auto"/>
            </w:tcBorders>
            <w:shd w:val="clear" w:color="auto" w:fill="C6EFCE"/>
            <w:noWrap/>
            <w:vAlign w:val="center"/>
            <w:hideMark/>
          </w:tcPr>
          <w:p w14:paraId="0C4CBE0C"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77237B58" w14:textId="77777777" w:rsidR="00A00259" w:rsidRDefault="00371282">
            <w:pPr>
              <w:pStyle w:val="P68B1DB1-Normal55"/>
              <w:keepNext/>
              <w:spacing w:before="40" w:after="0" w:line="240" w:lineRule="auto"/>
              <w:jc w:val="both"/>
              <w:rPr>
                <w:rFonts w:eastAsia="Times New Roman" w:cs="Times New Roman"/>
                <w:noProof/>
                <w:szCs w:val="18"/>
              </w:rPr>
            </w:pPr>
            <w:r>
              <w:rPr>
                <w:noProof/>
              </w:rPr>
              <w:t>Projets touristiques</w:t>
            </w:r>
          </w:p>
        </w:tc>
      </w:tr>
      <w:tr w:rsidR="00A00259" w14:paraId="7922732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AFB75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298</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419EC2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- 16975_Mise à niveau des interventions pour les ports régionaux</w:t>
            </w:r>
          </w:p>
        </w:tc>
        <w:tc>
          <w:tcPr>
            <w:tcW w:w="1417" w:type="dxa"/>
            <w:tcBorders>
              <w:top w:val="nil"/>
              <w:left w:val="nil"/>
              <w:bottom w:val="single" w:sz="4" w:space="0" w:color="auto"/>
              <w:right w:val="single" w:sz="4" w:space="0" w:color="auto"/>
            </w:tcBorders>
            <w:shd w:val="clear" w:color="auto" w:fill="C6EFCE"/>
            <w:noWrap/>
            <w:vAlign w:val="center"/>
            <w:hideMark/>
          </w:tcPr>
          <w:p w14:paraId="2184B888" w14:textId="77777777" w:rsidR="00A00259" w:rsidRDefault="00371282">
            <w:pPr>
              <w:pStyle w:val="P68B1DB1-Normal11"/>
              <w:keepNext/>
              <w:spacing w:before="40" w:after="0" w:line="240" w:lineRule="auto"/>
              <w:jc w:val="both"/>
              <w:rPr>
                <w:rFonts w:eastAsia="Times New Roman" w:cs="Times New Roman"/>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7BA80DB2" w14:textId="77777777" w:rsidR="00A00259" w:rsidRDefault="00371282">
            <w:pPr>
              <w:pStyle w:val="P68B1DB1-Normal11"/>
              <w:keepNext/>
              <w:spacing w:before="40" w:after="0" w:line="240" w:lineRule="auto"/>
              <w:jc w:val="both"/>
              <w:rPr>
                <w:rFonts w:eastAsia="Times New Roman" w:cs="Times New Roman"/>
                <w:noProof/>
              </w:rPr>
            </w:pPr>
            <w:r>
              <w:rPr>
                <w:noProof/>
              </w:rPr>
              <w:t>Construction de travaux d'infrastructure dans les ports</w:t>
            </w:r>
          </w:p>
        </w:tc>
      </w:tr>
      <w:tr w:rsidR="00A00259" w14:paraId="71ED9DE9"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A7906E"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307</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C5CA4E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- 16634_Parcs industriels</w:t>
            </w:r>
          </w:p>
        </w:tc>
        <w:tc>
          <w:tcPr>
            <w:tcW w:w="1417" w:type="dxa"/>
            <w:tcBorders>
              <w:top w:val="nil"/>
              <w:left w:val="nil"/>
              <w:bottom w:val="single" w:sz="4" w:space="0" w:color="auto"/>
              <w:right w:val="single" w:sz="4" w:space="0" w:color="auto"/>
            </w:tcBorders>
            <w:shd w:val="clear" w:color="auto" w:fill="C6EFCE"/>
            <w:noWrap/>
            <w:vAlign w:val="center"/>
            <w:hideMark/>
          </w:tcPr>
          <w:p w14:paraId="392EFCB2"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5AA11D4B" w14:textId="77777777" w:rsidR="00A00259" w:rsidRDefault="00371282">
            <w:pPr>
              <w:pStyle w:val="P68B1DB1-Normal55"/>
              <w:keepNext/>
              <w:spacing w:before="40" w:after="0" w:line="240" w:lineRule="auto"/>
              <w:jc w:val="both"/>
              <w:rPr>
                <w:rFonts w:eastAsia="Times New Roman" w:cs="Times New Roman"/>
                <w:noProof/>
                <w:szCs w:val="18"/>
              </w:rPr>
            </w:pPr>
            <w:r>
              <w:rPr>
                <w:noProof/>
              </w:rPr>
              <w:t>Parcs industriels — exécution de plans d’investissement</w:t>
            </w:r>
          </w:p>
        </w:tc>
      </w:tr>
      <w:tr w:rsidR="00A00259" w14:paraId="0C940D4B"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CFE16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308</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9077D6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- 16593_Modification du cadre juridique visant à attirer les investissements stratégiques</w:t>
            </w:r>
          </w:p>
        </w:tc>
        <w:tc>
          <w:tcPr>
            <w:tcW w:w="1417" w:type="dxa"/>
            <w:tcBorders>
              <w:top w:val="nil"/>
              <w:left w:val="nil"/>
              <w:bottom w:val="single" w:sz="4" w:space="0" w:color="auto"/>
              <w:right w:val="single" w:sz="4" w:space="0" w:color="auto"/>
            </w:tcBorders>
            <w:shd w:val="clear" w:color="auto" w:fill="C6EFCE"/>
            <w:noWrap/>
            <w:vAlign w:val="center"/>
            <w:hideMark/>
          </w:tcPr>
          <w:p w14:paraId="4F625605"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0A8ADEDA" w14:textId="77777777" w:rsidR="00A00259" w:rsidRDefault="00371282">
            <w:pPr>
              <w:pStyle w:val="P68B1DB1-Normal55"/>
              <w:keepNext/>
              <w:spacing w:before="40" w:after="0" w:line="240" w:lineRule="auto"/>
              <w:jc w:val="both"/>
              <w:rPr>
                <w:rFonts w:eastAsia="Times New Roman" w:cs="Times New Roman"/>
                <w:noProof/>
                <w:szCs w:val="18"/>
              </w:rPr>
            </w:pPr>
            <w:r>
              <w:rPr>
                <w:noProof/>
              </w:rPr>
              <w:t>Investissements stratégiques – exécution des plans d’investissement</w:t>
            </w:r>
          </w:p>
        </w:tc>
      </w:tr>
      <w:tr w:rsidR="00A00259" w14:paraId="14AAA67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CE9D4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309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5F74C55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- 16721_Accélération de la fabrication intelligente</w:t>
            </w:r>
          </w:p>
        </w:tc>
        <w:tc>
          <w:tcPr>
            <w:tcW w:w="1417" w:type="dxa"/>
            <w:tcBorders>
              <w:top w:val="nil"/>
              <w:left w:val="nil"/>
              <w:bottom w:val="single" w:sz="4" w:space="0" w:color="auto"/>
              <w:right w:val="single" w:sz="4" w:space="0" w:color="auto"/>
            </w:tcBorders>
            <w:shd w:val="clear" w:color="auto" w:fill="C6EFCE"/>
            <w:noWrap/>
            <w:vAlign w:val="center"/>
            <w:hideMark/>
          </w:tcPr>
          <w:p w14:paraId="1DC3BA48"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78CE128D" w14:textId="77777777" w:rsidR="00A00259" w:rsidRDefault="00371282">
            <w:pPr>
              <w:pStyle w:val="P68B1DB1-Normal55"/>
              <w:keepNext/>
              <w:spacing w:before="40" w:after="0" w:line="240" w:lineRule="auto"/>
              <w:jc w:val="both"/>
              <w:rPr>
                <w:rFonts w:eastAsia="Times New Roman" w:cs="Times New Roman"/>
                <w:noProof/>
                <w:szCs w:val="18"/>
              </w:rPr>
            </w:pPr>
            <w:r>
              <w:rPr>
                <w:noProof/>
              </w:rPr>
              <w:t>Secteur manufacturier – exécution de plans d’investissement</w:t>
            </w:r>
          </w:p>
        </w:tc>
      </w:tr>
      <w:tr w:rsidR="00A00259" w14:paraId="629A4C75"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C18EE1" w14:textId="77777777" w:rsidR="00A00259" w:rsidRDefault="00371282">
            <w:pPr>
              <w:pStyle w:val="P68B1DB1-Normal55"/>
              <w:keepNext/>
              <w:spacing w:before="40" w:after="0" w:line="240" w:lineRule="auto"/>
              <w:jc w:val="both"/>
              <w:rPr>
                <w:noProof/>
              </w:rPr>
            </w:pPr>
            <w:r>
              <w:rPr>
                <w:noProof/>
              </w:rPr>
              <w:t>313a</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993318B" w14:textId="77777777" w:rsidR="00A00259" w:rsidRDefault="00371282">
            <w:pPr>
              <w:pStyle w:val="P68B1DB1-Normal55"/>
              <w:keepNext/>
              <w:spacing w:before="40" w:after="0" w:line="240" w:lineRule="auto"/>
              <w:jc w:val="both"/>
              <w:rPr>
                <w:noProof/>
              </w:rPr>
            </w:pPr>
            <w:r>
              <w:rPr>
                <w:noProof/>
              </w:rPr>
              <w:t>17 - 4.6. Moderniser et améliorer la résilience des secteurs économiques clés - 16653_Transformation numérique du secteur agroalimentaire</w:t>
            </w:r>
          </w:p>
        </w:tc>
        <w:tc>
          <w:tcPr>
            <w:tcW w:w="1417" w:type="dxa"/>
            <w:tcBorders>
              <w:top w:val="nil"/>
              <w:left w:val="nil"/>
              <w:bottom w:val="single" w:sz="4" w:space="0" w:color="auto"/>
              <w:right w:val="single" w:sz="4" w:space="0" w:color="auto"/>
            </w:tcBorders>
            <w:shd w:val="clear" w:color="auto" w:fill="C6EFCE"/>
            <w:noWrap/>
            <w:vAlign w:val="center"/>
            <w:hideMark/>
          </w:tcPr>
          <w:p w14:paraId="0EE0793E" w14:textId="77777777" w:rsidR="00A00259" w:rsidRDefault="00371282">
            <w:pPr>
              <w:pStyle w:val="P68B1DB1-Normal55"/>
              <w:keepNext/>
              <w:spacing w:before="40" w:after="0" w:line="240" w:lineRule="auto"/>
              <w:jc w:val="both"/>
              <w:rPr>
                <w:noProof/>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5497E789" w14:textId="77777777" w:rsidR="00A00259" w:rsidRDefault="00371282">
            <w:pPr>
              <w:pStyle w:val="P68B1DB1-Normal55"/>
              <w:keepNext/>
              <w:spacing w:before="40" w:after="0" w:line="240" w:lineRule="auto"/>
              <w:jc w:val="both"/>
              <w:rPr>
                <w:noProof/>
              </w:rPr>
            </w:pPr>
            <w:r>
              <w:rPr>
                <w:noProof/>
              </w:rPr>
              <w:t>Mise en œuvre de la transformation numérique des projets du secteur agroalimentaire</w:t>
            </w:r>
          </w:p>
        </w:tc>
      </w:tr>
      <w:tr w:rsidR="00A00259" w14:paraId="13B2EB9E"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740E9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314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3610B95" w14:textId="3F5957F9" w:rsidR="00A00259" w:rsidRDefault="00371282">
            <w:pPr>
              <w:pStyle w:val="P68B1DB1-Normal55"/>
              <w:keepNext/>
              <w:spacing w:before="40" w:after="0" w:line="240" w:lineRule="auto"/>
              <w:jc w:val="both"/>
              <w:rPr>
                <w:rFonts w:eastAsia="Times New Roman" w:cs="Times New Roman"/>
                <w:bCs/>
                <w:noProof/>
                <w:szCs w:val="18"/>
              </w:rPr>
            </w:pPr>
            <w:r>
              <w:rPr>
                <w:noProof/>
              </w:rPr>
              <w:t>17 - 4.6. Moderniser et améliorer la résilience des secteurs économiques clés - 16626_Transformation économique des secteurs de l'agriculture et de l'aquaculture</w:t>
            </w:r>
          </w:p>
        </w:tc>
        <w:tc>
          <w:tcPr>
            <w:tcW w:w="1417" w:type="dxa"/>
            <w:tcBorders>
              <w:top w:val="nil"/>
              <w:left w:val="nil"/>
              <w:bottom w:val="single" w:sz="4" w:space="0" w:color="auto"/>
              <w:right w:val="single" w:sz="4" w:space="0" w:color="auto"/>
            </w:tcBorders>
            <w:shd w:val="clear" w:color="auto" w:fill="C6EFCE"/>
            <w:noWrap/>
            <w:vAlign w:val="center"/>
            <w:hideMark/>
          </w:tcPr>
          <w:p w14:paraId="3D05FA3E"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295DEF52" w14:textId="76831146" w:rsidR="00A00259" w:rsidRDefault="00371282">
            <w:pPr>
              <w:pStyle w:val="P68B1DB1-Normal58"/>
              <w:keepNext/>
              <w:spacing w:before="40" w:after="0" w:line="240" w:lineRule="auto"/>
              <w:jc w:val="both"/>
              <w:rPr>
                <w:noProof/>
              </w:rPr>
            </w:pPr>
            <w:r>
              <w:rPr>
                <w:noProof/>
              </w:rPr>
              <w:t>Réalisation de la transformation économique des projets agricoles et aquacoles</w:t>
            </w:r>
          </w:p>
        </w:tc>
      </w:tr>
      <w:tr w:rsidR="00A00259" w14:paraId="76DE18CE"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05C32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319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21D405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18 - 4.7. Améliorer la compétitivité et promouvoir les investissements privés et les exportations - 16543_Actions pour la simplification de l'environnement des entreprises et son amélioration en matière de qualité et de sécurité</w:t>
            </w:r>
          </w:p>
        </w:tc>
        <w:tc>
          <w:tcPr>
            <w:tcW w:w="1417" w:type="dxa"/>
            <w:tcBorders>
              <w:top w:val="nil"/>
              <w:left w:val="nil"/>
              <w:bottom w:val="single" w:sz="4" w:space="0" w:color="auto"/>
              <w:right w:val="single" w:sz="4" w:space="0" w:color="auto"/>
            </w:tcBorders>
            <w:shd w:val="clear" w:color="auto" w:fill="C6EFCE"/>
            <w:noWrap/>
            <w:vAlign w:val="center"/>
            <w:hideMark/>
          </w:tcPr>
          <w:p w14:paraId="773AC6EF"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24EEC3E6" w14:textId="77777777" w:rsidR="00A00259" w:rsidRDefault="00371282">
            <w:pPr>
              <w:pStyle w:val="P68B1DB1-Normal55"/>
              <w:keepNext/>
              <w:spacing w:before="40" w:after="0" w:line="240" w:lineRule="auto"/>
              <w:jc w:val="both"/>
              <w:rPr>
                <w:rFonts w:eastAsia="Times New Roman" w:cs="Times New Roman"/>
                <w:noProof/>
                <w:szCs w:val="18"/>
              </w:rPr>
            </w:pPr>
            <w:r>
              <w:rPr>
                <w:noProof/>
              </w:rPr>
              <w:t>Environnement des entreprises – simplification des licences et surveillance du marché</w:t>
            </w:r>
          </w:p>
        </w:tc>
      </w:tr>
      <w:tr w:rsidR="00A00259" w14:paraId="5BD9CA5F"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6A9743"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259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139CC1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 17 - 4.6. Moderniser et améliorer la résilience des secteurs économiques clés - 16631_Renforcement de la sécurité routière</w:t>
            </w:r>
          </w:p>
        </w:tc>
        <w:tc>
          <w:tcPr>
            <w:tcW w:w="1417" w:type="dxa"/>
            <w:tcBorders>
              <w:top w:val="nil"/>
              <w:left w:val="nil"/>
              <w:bottom w:val="single" w:sz="4" w:space="0" w:color="auto"/>
              <w:right w:val="single" w:sz="4" w:space="0" w:color="auto"/>
            </w:tcBorders>
            <w:shd w:val="clear" w:color="auto" w:fill="C6EFCE"/>
            <w:noWrap/>
            <w:vAlign w:val="center"/>
            <w:hideMark/>
          </w:tcPr>
          <w:p w14:paraId="11568324" w14:textId="77777777" w:rsidR="00A00259" w:rsidRDefault="00371282">
            <w:pPr>
              <w:pStyle w:val="P68B1DB1-Normal55"/>
              <w:keepNext/>
              <w:spacing w:before="40" w:after="0" w:line="240" w:lineRule="auto"/>
              <w:jc w:val="both"/>
              <w:rPr>
                <w:rFonts w:eastAsia="Times New Roman"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3EF1C32F" w14:textId="77777777" w:rsidR="00A00259" w:rsidRDefault="00371282">
            <w:pPr>
              <w:pStyle w:val="P68B1DB1-Normal55"/>
              <w:keepNext/>
              <w:spacing w:before="40" w:after="0" w:line="240" w:lineRule="auto"/>
              <w:jc w:val="both"/>
              <w:rPr>
                <w:rFonts w:eastAsia="Times New Roman" w:cs="Times New Roman"/>
                <w:noProof/>
                <w:szCs w:val="18"/>
              </w:rPr>
            </w:pPr>
            <w:r>
              <w:rPr>
                <w:noProof/>
              </w:rPr>
              <w:t>Achèvement du projet de sécurité routière</w:t>
            </w:r>
          </w:p>
        </w:tc>
      </w:tr>
      <w:tr w:rsidR="00A00259" w14:paraId="0B3CFFE5"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FB5FE8" w14:textId="77777777" w:rsidR="00A00259" w:rsidRDefault="00371282">
            <w:pPr>
              <w:pStyle w:val="P68B1DB1-Normal55"/>
              <w:keepNext/>
              <w:spacing w:before="40" w:after="0" w:line="240" w:lineRule="auto"/>
              <w:jc w:val="both"/>
              <w:rPr>
                <w:rFonts w:cs="Times New Roman"/>
                <w:noProof/>
                <w:szCs w:val="18"/>
              </w:rPr>
            </w:pPr>
            <w:r>
              <w:rPr>
                <w:noProof/>
              </w:rPr>
              <w:t>349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99B2BC3" w14:textId="20D42A08" w:rsidR="00A00259" w:rsidRDefault="00371282">
            <w:pPr>
              <w:pStyle w:val="P68B1DB1-Normal11"/>
              <w:keepNext/>
              <w:spacing w:before="40" w:after="0" w:line="240" w:lineRule="auto"/>
              <w:jc w:val="both"/>
              <w:rPr>
                <w:rFonts w:cs="Times New Roman"/>
                <w:noProof/>
              </w:rPr>
            </w:pPr>
            <w:r>
              <w:rPr>
                <w:noProof/>
              </w:rPr>
              <w:t>17 - 4.6. Moderniser et améliorer la résilience des secteurs économiques clés - 16999_Travaux de restauration à la suite des effets dévastateurs des tempêtes «DANIEL», «ELIAS» et «IANOS»</w:t>
            </w:r>
          </w:p>
        </w:tc>
        <w:tc>
          <w:tcPr>
            <w:tcW w:w="1417" w:type="dxa"/>
            <w:tcBorders>
              <w:top w:val="nil"/>
              <w:left w:val="nil"/>
              <w:bottom w:val="single" w:sz="4" w:space="0" w:color="auto"/>
              <w:right w:val="single" w:sz="4" w:space="0" w:color="auto"/>
            </w:tcBorders>
            <w:shd w:val="clear" w:color="auto" w:fill="C6EFCE"/>
            <w:noWrap/>
            <w:vAlign w:val="center"/>
            <w:hideMark/>
          </w:tcPr>
          <w:p w14:paraId="70EAA1A4" w14:textId="77777777" w:rsidR="00A00259" w:rsidRDefault="00371282">
            <w:pPr>
              <w:pStyle w:val="P68B1DB1-Normal55"/>
              <w:keepNext/>
              <w:spacing w:before="40" w:after="0" w:line="240" w:lineRule="auto"/>
              <w:jc w:val="both"/>
              <w:rPr>
                <w:rFonts w:cs="Times New Roman"/>
                <w:noProof/>
                <w:szCs w:val="18"/>
              </w:rPr>
            </w:pPr>
            <w:r>
              <w:rPr>
                <w:noProof/>
              </w:rPr>
              <w:t>Étape</w:t>
            </w:r>
          </w:p>
        </w:tc>
        <w:tc>
          <w:tcPr>
            <w:tcW w:w="3292" w:type="dxa"/>
            <w:tcBorders>
              <w:top w:val="nil"/>
              <w:left w:val="nil"/>
              <w:bottom w:val="single" w:sz="4" w:space="0" w:color="auto"/>
              <w:right w:val="single" w:sz="4" w:space="0" w:color="auto"/>
            </w:tcBorders>
            <w:shd w:val="clear" w:color="auto" w:fill="C6EFCE"/>
            <w:noWrap/>
            <w:vAlign w:val="center"/>
            <w:hideMark/>
          </w:tcPr>
          <w:p w14:paraId="74480D8E" w14:textId="77777777" w:rsidR="00A00259" w:rsidRDefault="00371282">
            <w:pPr>
              <w:pStyle w:val="P68B1DB1-Normal55"/>
              <w:keepNext/>
              <w:spacing w:before="40" w:after="0" w:line="240" w:lineRule="auto"/>
              <w:jc w:val="both"/>
              <w:rPr>
                <w:rFonts w:cs="Times New Roman"/>
                <w:noProof/>
                <w:szCs w:val="18"/>
              </w:rPr>
            </w:pPr>
            <w:r>
              <w:rPr>
                <w:noProof/>
              </w:rPr>
              <w:t>Construction de projets de remise en état de routes</w:t>
            </w:r>
          </w:p>
        </w:tc>
      </w:tr>
      <w:tr w:rsidR="00A00259" w14:paraId="068BBC82"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3198AF" w14:textId="77777777" w:rsidR="00A00259" w:rsidRDefault="00371282">
            <w:pPr>
              <w:pStyle w:val="P68B1DB1-Normal11"/>
              <w:keepNext/>
              <w:spacing w:before="40" w:after="0" w:line="240" w:lineRule="auto"/>
              <w:jc w:val="both"/>
              <w:rPr>
                <w:noProof/>
              </w:rPr>
            </w:pPr>
            <w:r>
              <w:rPr>
                <w:noProof/>
              </w:rPr>
              <w:t>350</w:t>
            </w:r>
          </w:p>
        </w:tc>
        <w:tc>
          <w:tcPr>
            <w:tcW w:w="482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BB36A9" w14:textId="3F89C1C6" w:rsidR="00A00259" w:rsidRDefault="00371282">
            <w:pPr>
              <w:pStyle w:val="P68B1DB1-Normal11"/>
              <w:keepNext/>
              <w:spacing w:before="40" w:after="0" w:line="240" w:lineRule="auto"/>
              <w:jc w:val="both"/>
              <w:rPr>
                <w:rFonts w:cs="Times New Roman"/>
                <w:noProof/>
              </w:rPr>
            </w:pPr>
            <w:r>
              <w:rPr>
                <w:noProof/>
              </w:rPr>
              <w:t>17 - 4.6. Moderniser et améliorer la résilience des secteurs économiques clés - 16999_Travaux de restauration à la suite des effets dévastateurs des tempêtes «DANIEL», «ELIAS» et «IANOS»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2CB701" w14:textId="77777777" w:rsidR="00A00259" w:rsidRDefault="00371282">
            <w:pPr>
              <w:pStyle w:val="P68B1DB1-Normal11"/>
              <w:keepNext/>
              <w:spacing w:before="40" w:after="0" w:line="240" w:lineRule="auto"/>
              <w:jc w:val="both"/>
              <w:rPr>
                <w:noProof/>
              </w:rPr>
            </w:pPr>
            <w:r>
              <w:rPr>
                <w:noProof/>
              </w:rPr>
              <w:t>Étape</w:t>
            </w:r>
          </w:p>
        </w:tc>
        <w:tc>
          <w:tcPr>
            <w:tcW w:w="32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757162" w14:textId="2B6A1406" w:rsidR="00A00259" w:rsidRDefault="00371282">
            <w:pPr>
              <w:pStyle w:val="P68B1DB1-Normal11"/>
              <w:keepNext/>
              <w:spacing w:before="40" w:after="0" w:line="240" w:lineRule="auto"/>
              <w:jc w:val="both"/>
              <w:rPr>
                <w:rFonts w:cs="Times New Roman"/>
                <w:noProof/>
              </w:rPr>
            </w:pPr>
            <w:r>
              <w:rPr>
                <w:noProof/>
              </w:rPr>
              <w:t>Travaux de restauration ferroviaire exécutés</w:t>
            </w:r>
          </w:p>
        </w:tc>
      </w:tr>
      <w:tr w:rsidR="00A00259" w14:paraId="368328A3"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CB7D1A" w14:textId="77777777" w:rsidR="00A00259" w:rsidRDefault="00371282">
            <w:pPr>
              <w:pStyle w:val="P68B1DB1-Normal11"/>
              <w:keepNext/>
              <w:spacing w:before="40" w:after="0" w:line="240" w:lineRule="auto"/>
              <w:jc w:val="both"/>
              <w:rPr>
                <w:noProof/>
              </w:rPr>
            </w:pPr>
            <w:r>
              <w:rPr>
                <w:noProof/>
              </w:rPr>
              <w:t>350a</w:t>
            </w:r>
          </w:p>
          <w:p w14:paraId="4E8B18EC" w14:textId="77777777" w:rsidR="00A00259" w:rsidRDefault="00A00259">
            <w:pPr>
              <w:keepNext/>
              <w:spacing w:before="40" w:after="0" w:line="240" w:lineRule="auto"/>
              <w:jc w:val="both"/>
              <w:rPr>
                <w:rFonts w:ascii="Times New Roman" w:hAnsi="Times New Roman"/>
                <w:noProof/>
                <w:sz w:val="18"/>
                <w:szCs w:val="18"/>
              </w:rPr>
            </w:pPr>
          </w:p>
        </w:tc>
        <w:tc>
          <w:tcPr>
            <w:tcW w:w="48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4804B4" w14:textId="5D9BC146" w:rsidR="00A00259" w:rsidRDefault="00371282">
            <w:pPr>
              <w:pStyle w:val="P68B1DB1-Normal11"/>
              <w:keepNext/>
              <w:spacing w:before="40" w:after="0" w:line="240" w:lineRule="auto"/>
              <w:jc w:val="both"/>
              <w:rPr>
                <w:noProof/>
              </w:rPr>
            </w:pPr>
            <w:r>
              <w:rPr>
                <w:noProof/>
              </w:rPr>
              <w:t>4.6. Moderniser et améliorer la résilience des secteurs économiques clés - 16999_Travaux de restauration à la suite des effets dévastateurs des tempêtes «DANIEL», «ELIAS» et «IANOS»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E9479A" w14:textId="77777777" w:rsidR="00A00259" w:rsidRDefault="00371282">
            <w:pPr>
              <w:pStyle w:val="P68B1DB1-Normal11"/>
              <w:keepNext/>
              <w:spacing w:before="40" w:after="0" w:line="240" w:lineRule="auto"/>
              <w:jc w:val="both"/>
              <w:rPr>
                <w:noProof/>
              </w:rPr>
            </w:pPr>
            <w:r>
              <w:rPr>
                <w:noProof/>
              </w:rPr>
              <w:t>Étape</w:t>
            </w:r>
          </w:p>
          <w:p w14:paraId="126CD376" w14:textId="77777777" w:rsidR="00A00259" w:rsidRDefault="00A00259">
            <w:pPr>
              <w:keepNext/>
              <w:spacing w:before="40" w:after="0" w:line="240" w:lineRule="auto"/>
              <w:jc w:val="both"/>
              <w:rPr>
                <w:rFonts w:ascii="Times New Roman" w:hAnsi="Times New Roman"/>
                <w:noProof/>
                <w:sz w:val="18"/>
                <w:szCs w:val="18"/>
              </w:rPr>
            </w:pPr>
          </w:p>
        </w:tc>
        <w:tc>
          <w:tcPr>
            <w:tcW w:w="32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F91AB9" w14:textId="4C7D6186" w:rsidR="00A00259" w:rsidRDefault="00371282">
            <w:pPr>
              <w:pStyle w:val="P68B1DB1-Normal11"/>
              <w:keepNext/>
              <w:spacing w:before="40" w:after="0" w:line="240" w:lineRule="auto"/>
              <w:jc w:val="both"/>
              <w:rPr>
                <w:noProof/>
              </w:rPr>
            </w:pPr>
            <w:r>
              <w:rPr>
                <w:noProof/>
              </w:rPr>
              <w:t>Systèmes de signalisation ferroviaire et de détection des trains et ETCS</w:t>
            </w:r>
          </w:p>
        </w:tc>
      </w:tr>
      <w:tr w:rsidR="00A00259" w14:paraId="6987245B"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tcPr>
          <w:p w14:paraId="60BAD1C0" w14:textId="77777777" w:rsidR="00A00259" w:rsidRDefault="00371282">
            <w:pPr>
              <w:pStyle w:val="P68B1DB1-Normal55"/>
              <w:keepNext/>
              <w:spacing w:before="40" w:after="0" w:line="240" w:lineRule="auto"/>
              <w:jc w:val="both"/>
              <w:rPr>
                <w:noProof/>
              </w:rPr>
            </w:pPr>
            <w:r>
              <w:rPr>
                <w:noProof/>
              </w:rPr>
              <w:t>354</w:t>
            </w:r>
          </w:p>
        </w:tc>
        <w:tc>
          <w:tcPr>
            <w:tcW w:w="4820" w:type="dxa"/>
            <w:tcBorders>
              <w:top w:val="single" w:sz="4" w:space="0" w:color="auto"/>
              <w:left w:val="single" w:sz="4" w:space="0" w:color="auto"/>
              <w:bottom w:val="single" w:sz="4" w:space="0" w:color="auto"/>
              <w:right w:val="single" w:sz="4" w:space="0" w:color="auto"/>
            </w:tcBorders>
            <w:shd w:val="clear" w:color="auto" w:fill="C6EFCE"/>
            <w:noWrap/>
          </w:tcPr>
          <w:p w14:paraId="7A0D9919" w14:textId="77777777" w:rsidR="00A00259" w:rsidRDefault="00371282">
            <w:pPr>
              <w:pStyle w:val="P68B1DB1-Normal55"/>
              <w:keepNext/>
              <w:spacing w:before="40" w:after="0" w:line="240" w:lineRule="auto"/>
              <w:jc w:val="both"/>
              <w:rPr>
                <w:noProof/>
              </w:rPr>
            </w:pPr>
            <w:r>
              <w:rPr>
                <w:noProof/>
              </w:rPr>
              <w:t>20 - 5.1. REPowerEU reforms - 16989_Optimisation de l'utilisation de l'espace terrestre et maritime pour le développement des énergies renouvelables et de l'énergie éolienne en mer</w:t>
            </w:r>
          </w:p>
        </w:tc>
        <w:tc>
          <w:tcPr>
            <w:tcW w:w="1417" w:type="dxa"/>
            <w:tcBorders>
              <w:top w:val="single" w:sz="4" w:space="0" w:color="auto"/>
              <w:left w:val="nil"/>
              <w:bottom w:val="single" w:sz="4" w:space="0" w:color="auto"/>
              <w:right w:val="single" w:sz="4" w:space="0" w:color="auto"/>
            </w:tcBorders>
            <w:shd w:val="clear" w:color="auto" w:fill="C6EFCE"/>
            <w:noWrap/>
          </w:tcPr>
          <w:p w14:paraId="76B758ED" w14:textId="77777777" w:rsidR="00A00259" w:rsidRDefault="00371282">
            <w:pPr>
              <w:pStyle w:val="P68B1DB1-Normal55"/>
              <w:keepNext/>
              <w:spacing w:before="40" w:after="0" w:line="240" w:lineRule="auto"/>
              <w:jc w:val="both"/>
              <w:rPr>
                <w:noProof/>
              </w:rPr>
            </w:pPr>
            <w:r>
              <w:rPr>
                <w:noProof/>
              </w:rPr>
              <w:t>Étape</w:t>
            </w:r>
          </w:p>
        </w:tc>
        <w:tc>
          <w:tcPr>
            <w:tcW w:w="3292" w:type="dxa"/>
            <w:tcBorders>
              <w:top w:val="single" w:sz="4" w:space="0" w:color="auto"/>
              <w:left w:val="nil"/>
              <w:bottom w:val="single" w:sz="4" w:space="0" w:color="auto"/>
              <w:right w:val="single" w:sz="4" w:space="0" w:color="auto"/>
            </w:tcBorders>
            <w:shd w:val="clear" w:color="auto" w:fill="C6EFCE"/>
            <w:noWrap/>
          </w:tcPr>
          <w:p w14:paraId="72DB7E3F" w14:textId="24DF2C2B" w:rsidR="00A00259" w:rsidRDefault="00371282">
            <w:pPr>
              <w:pStyle w:val="P68B1DB1-Normal55"/>
              <w:keepNext/>
              <w:spacing w:before="40" w:after="0" w:line="240" w:lineRule="auto"/>
              <w:jc w:val="both"/>
              <w:rPr>
                <w:noProof/>
              </w:rPr>
            </w:pPr>
            <w:r>
              <w:rPr>
                <w:noProof/>
              </w:rPr>
              <w:t>Acte(s) juridique(s) relatif(s) aux parcs éoliens en mer et aux sources d’énergie renouvelables</w:t>
            </w:r>
          </w:p>
        </w:tc>
      </w:tr>
      <w:tr w:rsidR="00A00259" w14:paraId="1375C10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47F4FF0E" w14:textId="77777777" w:rsidR="00A00259" w:rsidRDefault="00371282">
            <w:pPr>
              <w:pStyle w:val="P68B1DB1-Normal55"/>
              <w:keepNext/>
              <w:spacing w:before="40" w:after="0" w:line="256" w:lineRule="auto"/>
              <w:jc w:val="both"/>
              <w:rPr>
                <w:rFonts w:eastAsia="Times New Roman" w:cs="Times New Roman"/>
                <w:bCs/>
                <w:noProof/>
                <w:szCs w:val="18"/>
              </w:rPr>
            </w:pPr>
            <w:r>
              <w:rPr>
                <w:noProof/>
              </w:rPr>
              <w:t>369</w:t>
            </w:r>
          </w:p>
        </w:tc>
        <w:tc>
          <w:tcPr>
            <w:tcW w:w="4820" w:type="dxa"/>
            <w:tcBorders>
              <w:top w:val="single" w:sz="4" w:space="0" w:color="auto"/>
              <w:left w:val="single" w:sz="4" w:space="0" w:color="auto"/>
              <w:bottom w:val="single" w:sz="4" w:space="0" w:color="auto"/>
              <w:right w:val="single" w:sz="4" w:space="0" w:color="auto"/>
            </w:tcBorders>
            <w:shd w:val="clear" w:color="auto" w:fill="C6EFCE"/>
            <w:noWrap/>
            <w:hideMark/>
          </w:tcPr>
          <w:p w14:paraId="1CE99BC6" w14:textId="77777777" w:rsidR="00A00259" w:rsidRDefault="00371282">
            <w:pPr>
              <w:pStyle w:val="P68B1DB1-Normal55"/>
              <w:keepNext/>
              <w:spacing w:before="40" w:after="0" w:line="256" w:lineRule="auto"/>
              <w:jc w:val="both"/>
              <w:rPr>
                <w:rFonts w:eastAsia="Times New Roman" w:cs="Times New Roman"/>
                <w:bCs/>
                <w:noProof/>
                <w:szCs w:val="18"/>
              </w:rPr>
            </w:pPr>
            <w:r>
              <w:rPr>
                <w:noProof/>
              </w:rPr>
              <w:t>21 - 5.2 Investissements REPowerEU - 16994_Efficacité énergétique et promotion des SER pour l'autoconsommation</w:t>
            </w:r>
          </w:p>
        </w:tc>
        <w:tc>
          <w:tcPr>
            <w:tcW w:w="1417" w:type="dxa"/>
            <w:tcBorders>
              <w:top w:val="single" w:sz="4" w:space="0" w:color="auto"/>
              <w:left w:val="nil"/>
              <w:bottom w:val="single" w:sz="4" w:space="0" w:color="auto"/>
              <w:right w:val="single" w:sz="4" w:space="0" w:color="auto"/>
            </w:tcBorders>
            <w:shd w:val="clear" w:color="auto" w:fill="C6EFCE"/>
            <w:noWrap/>
            <w:hideMark/>
          </w:tcPr>
          <w:p w14:paraId="4909ACAF" w14:textId="77777777" w:rsidR="00A00259" w:rsidRDefault="00371282">
            <w:pPr>
              <w:pStyle w:val="P68B1DB1-Normal55"/>
              <w:keepNext/>
              <w:spacing w:before="40" w:after="0" w:line="256" w:lineRule="auto"/>
              <w:jc w:val="both"/>
              <w:rPr>
                <w:rFonts w:eastAsia="Times New Roman" w:cs="Times New Roman"/>
                <w:noProof/>
                <w:szCs w:val="18"/>
              </w:rPr>
            </w:pPr>
            <w:r>
              <w:rPr>
                <w:noProof/>
              </w:rPr>
              <w:t>Objectif</w:t>
            </w:r>
          </w:p>
        </w:tc>
        <w:tc>
          <w:tcPr>
            <w:tcW w:w="3292" w:type="dxa"/>
            <w:tcBorders>
              <w:top w:val="single" w:sz="4" w:space="0" w:color="auto"/>
              <w:left w:val="nil"/>
              <w:bottom w:val="single" w:sz="4" w:space="0" w:color="auto"/>
              <w:right w:val="single" w:sz="4" w:space="0" w:color="auto"/>
            </w:tcBorders>
            <w:shd w:val="clear" w:color="auto" w:fill="C6EFCE"/>
            <w:noWrap/>
            <w:hideMark/>
          </w:tcPr>
          <w:p w14:paraId="1332806E" w14:textId="42CFCF8E" w:rsidR="00A00259" w:rsidRDefault="00371282">
            <w:pPr>
              <w:pStyle w:val="P68B1DB1-Normal16"/>
              <w:keepNext/>
              <w:spacing w:before="40" w:after="0" w:line="256" w:lineRule="auto"/>
              <w:jc w:val="both"/>
              <w:rPr>
                <w:rFonts w:eastAsia="Times New Roman"/>
                <w:noProof/>
              </w:rPr>
            </w:pPr>
            <w:r>
              <w:rPr>
                <w:noProof/>
              </w:rPr>
              <w:t xml:space="preserve"> Sous-investissements dans l’installation de systèmes photovoltaïques pour la consommation automobile, les rénovations en matière d’efficacité énergétique, les chauffe-eau solaires et les pompes à chaleur</w:t>
            </w:r>
          </w:p>
        </w:tc>
      </w:tr>
      <w:tr w:rsidR="00A00259" w14:paraId="72250AB4"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277BAEF8" w14:textId="77777777" w:rsidR="00A00259" w:rsidRDefault="00371282">
            <w:pPr>
              <w:pStyle w:val="P68B1DB1-Normal55"/>
              <w:keepNext/>
              <w:spacing w:before="40" w:after="0" w:line="256" w:lineRule="auto"/>
              <w:jc w:val="both"/>
              <w:rPr>
                <w:rFonts w:eastAsia="Times New Roman" w:cs="Times New Roman"/>
                <w:bCs/>
                <w:noProof/>
                <w:szCs w:val="18"/>
              </w:rPr>
            </w:pPr>
            <w:r>
              <w:rPr>
                <w:noProof/>
              </w:rPr>
              <w:t>371</w:t>
            </w:r>
          </w:p>
        </w:tc>
        <w:tc>
          <w:tcPr>
            <w:tcW w:w="4820" w:type="dxa"/>
            <w:tcBorders>
              <w:top w:val="single" w:sz="4" w:space="0" w:color="auto"/>
              <w:left w:val="single" w:sz="4" w:space="0" w:color="auto"/>
              <w:bottom w:val="single" w:sz="4" w:space="0" w:color="auto"/>
              <w:right w:val="single" w:sz="4" w:space="0" w:color="auto"/>
            </w:tcBorders>
            <w:shd w:val="clear" w:color="auto" w:fill="C6EFCE"/>
            <w:noWrap/>
            <w:hideMark/>
          </w:tcPr>
          <w:p w14:paraId="4EF4301E" w14:textId="77777777" w:rsidR="00A00259" w:rsidRDefault="00371282">
            <w:pPr>
              <w:pStyle w:val="P68B1DB1-Normal36"/>
              <w:keepNext/>
              <w:spacing w:before="40" w:after="0" w:line="256" w:lineRule="auto"/>
              <w:jc w:val="both"/>
              <w:rPr>
                <w:rFonts w:ascii="Times New Roman" w:eastAsia="Times New Roman" w:hAnsi="Times New Roman" w:cs="Times New Roman"/>
                <w:bCs/>
                <w:noProof/>
                <w:szCs w:val="18"/>
              </w:rPr>
            </w:pPr>
            <w:r>
              <w:rPr>
                <w:rFonts w:ascii="Times New Roman" w:hAnsi="Times New Roman"/>
                <w:noProof/>
              </w:rPr>
              <w:t>21 - 5.2 Investissements REPowerEU - 16995_ Projet de production d'hydrogène</w:t>
            </w:r>
            <w:r>
              <w:rPr>
                <w:rFonts w:ascii="Times New Roman" w:hAnsi="Times New Roman" w:cs="Times New Roman"/>
                <w:noProof/>
                <w:szCs w:val="18"/>
              </w:rPr>
              <w:t xml:space="preserve"> </w:t>
            </w:r>
            <w:r>
              <w:rPr>
                <w:rFonts w:ascii="Times New Roman" w:hAnsi="Times New Roman"/>
                <w:noProof/>
              </w:rPr>
              <w:t>renouvelable</w:t>
            </w:r>
          </w:p>
        </w:tc>
        <w:tc>
          <w:tcPr>
            <w:tcW w:w="1417" w:type="dxa"/>
            <w:tcBorders>
              <w:top w:val="single" w:sz="4" w:space="0" w:color="auto"/>
              <w:left w:val="nil"/>
              <w:bottom w:val="single" w:sz="4" w:space="0" w:color="auto"/>
              <w:right w:val="single" w:sz="4" w:space="0" w:color="auto"/>
            </w:tcBorders>
            <w:shd w:val="clear" w:color="auto" w:fill="C6EFCE"/>
            <w:noWrap/>
            <w:hideMark/>
          </w:tcPr>
          <w:p w14:paraId="08E6C871" w14:textId="77777777" w:rsidR="00A00259" w:rsidRDefault="00371282">
            <w:pPr>
              <w:pStyle w:val="P68B1DB1-Normal55"/>
              <w:keepNext/>
              <w:spacing w:before="40" w:after="0" w:line="256" w:lineRule="auto"/>
              <w:jc w:val="both"/>
              <w:rPr>
                <w:rFonts w:eastAsia="Times New Roman" w:cs="Times New Roman"/>
                <w:noProof/>
                <w:szCs w:val="18"/>
              </w:rPr>
            </w:pPr>
            <w:r>
              <w:rPr>
                <w:noProof/>
              </w:rPr>
              <w:t>Étape</w:t>
            </w:r>
          </w:p>
        </w:tc>
        <w:tc>
          <w:tcPr>
            <w:tcW w:w="3292" w:type="dxa"/>
            <w:tcBorders>
              <w:top w:val="single" w:sz="4" w:space="0" w:color="auto"/>
              <w:left w:val="nil"/>
              <w:bottom w:val="single" w:sz="4" w:space="0" w:color="auto"/>
              <w:right w:val="single" w:sz="4" w:space="0" w:color="auto"/>
            </w:tcBorders>
            <w:shd w:val="clear" w:color="auto" w:fill="C6EFCE"/>
            <w:noWrap/>
            <w:hideMark/>
          </w:tcPr>
          <w:p w14:paraId="18A44CDA" w14:textId="77777777" w:rsidR="00A00259" w:rsidRDefault="00371282">
            <w:pPr>
              <w:pStyle w:val="P68B1DB1-Normal55"/>
              <w:keepNext/>
              <w:spacing w:before="40" w:after="0" w:line="256" w:lineRule="auto"/>
              <w:jc w:val="both"/>
              <w:rPr>
                <w:rFonts w:eastAsia="Times New Roman" w:cs="Times New Roman"/>
                <w:noProof/>
                <w:szCs w:val="18"/>
              </w:rPr>
            </w:pPr>
            <w:r>
              <w:rPr>
                <w:noProof/>
              </w:rPr>
              <w:t>Capacité de production d’hydrogène renouvelable</w:t>
            </w:r>
          </w:p>
        </w:tc>
      </w:tr>
      <w:tr w:rsidR="00A00259" w14:paraId="34B29256"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tcPr>
          <w:p w14:paraId="123D2501" w14:textId="4EC2238F" w:rsidR="00A00259" w:rsidRDefault="00371282">
            <w:pPr>
              <w:pStyle w:val="P68B1DB1-Normal55"/>
              <w:keepNext/>
              <w:spacing w:before="40" w:after="0" w:line="256" w:lineRule="auto"/>
              <w:jc w:val="both"/>
              <w:rPr>
                <w:noProof/>
              </w:rPr>
            </w:pPr>
            <w:r>
              <w:rPr>
                <w:noProof/>
              </w:rPr>
              <w:t>387</w:t>
            </w:r>
          </w:p>
        </w:tc>
        <w:tc>
          <w:tcPr>
            <w:tcW w:w="4820" w:type="dxa"/>
            <w:tcBorders>
              <w:top w:val="single" w:sz="4" w:space="0" w:color="auto"/>
              <w:left w:val="single" w:sz="4" w:space="0" w:color="auto"/>
              <w:bottom w:val="single" w:sz="4" w:space="0" w:color="auto"/>
              <w:right w:val="single" w:sz="4" w:space="0" w:color="auto"/>
            </w:tcBorders>
            <w:shd w:val="clear" w:color="auto" w:fill="C6EFCE"/>
            <w:noWrap/>
          </w:tcPr>
          <w:p w14:paraId="4EC153E8" w14:textId="310E9388" w:rsidR="00A00259" w:rsidRDefault="00371282">
            <w:pPr>
              <w:pStyle w:val="P68B1DB1-Normal55"/>
              <w:keepNext/>
              <w:spacing w:before="40" w:after="0" w:line="256" w:lineRule="auto"/>
              <w:jc w:val="both"/>
              <w:rPr>
                <w:noProof/>
              </w:rPr>
            </w:pPr>
            <w:r>
              <w:rPr>
                <w:noProof/>
              </w:rPr>
              <w:t>1 - 1.1 Power up- 16880_Contribution de DES ADMIE à l’augmentation de capital d’IPTO</w:t>
            </w:r>
          </w:p>
        </w:tc>
        <w:tc>
          <w:tcPr>
            <w:tcW w:w="1417" w:type="dxa"/>
            <w:tcBorders>
              <w:top w:val="single" w:sz="4" w:space="0" w:color="auto"/>
              <w:left w:val="nil"/>
              <w:bottom w:val="single" w:sz="4" w:space="0" w:color="auto"/>
              <w:right w:val="single" w:sz="4" w:space="0" w:color="auto"/>
            </w:tcBorders>
            <w:shd w:val="clear" w:color="auto" w:fill="C6EFCE"/>
            <w:noWrap/>
          </w:tcPr>
          <w:p w14:paraId="69BCBC20" w14:textId="0E651896" w:rsidR="00A00259" w:rsidRDefault="00371282">
            <w:pPr>
              <w:pStyle w:val="P68B1DB1-Normal55"/>
              <w:keepNext/>
              <w:spacing w:before="40" w:after="0" w:line="256" w:lineRule="auto"/>
              <w:jc w:val="both"/>
              <w:rPr>
                <w:noProof/>
              </w:rPr>
            </w:pPr>
            <w:r>
              <w:rPr>
                <w:noProof/>
              </w:rPr>
              <w:t>Étape</w:t>
            </w:r>
          </w:p>
        </w:tc>
        <w:tc>
          <w:tcPr>
            <w:tcW w:w="3292" w:type="dxa"/>
            <w:tcBorders>
              <w:top w:val="single" w:sz="4" w:space="0" w:color="auto"/>
              <w:left w:val="nil"/>
              <w:bottom w:val="single" w:sz="4" w:space="0" w:color="auto"/>
              <w:right w:val="single" w:sz="4" w:space="0" w:color="auto"/>
            </w:tcBorders>
            <w:shd w:val="clear" w:color="auto" w:fill="C6EFCE"/>
            <w:noWrap/>
          </w:tcPr>
          <w:p w14:paraId="088A1775" w14:textId="495EC7B0" w:rsidR="00A00259" w:rsidRDefault="00371282">
            <w:pPr>
              <w:pStyle w:val="P68B1DB1-Normal55"/>
              <w:keepNext/>
              <w:spacing w:before="40" w:after="0" w:line="256" w:lineRule="auto"/>
              <w:jc w:val="both"/>
              <w:rPr>
                <w:noProof/>
              </w:rPr>
            </w:pPr>
            <w:r>
              <w:rPr>
                <w:noProof/>
              </w:rPr>
              <w:t>Augmentation de capital d'IPTO</w:t>
            </w:r>
          </w:p>
        </w:tc>
      </w:tr>
      <w:tr w:rsidR="00A00259" w14:paraId="44F21E14"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tcPr>
          <w:p w14:paraId="65F8C387" w14:textId="7FBB96B9" w:rsidR="00A00259" w:rsidRDefault="00371282">
            <w:pPr>
              <w:pStyle w:val="P68B1DB1-Normal11"/>
              <w:spacing w:line="256" w:lineRule="auto"/>
              <w:rPr>
                <w:noProof/>
              </w:rPr>
            </w:pPr>
            <w:r>
              <w:rPr>
                <w:noProof/>
              </w:rPr>
              <w:t>400</w:t>
            </w:r>
          </w:p>
        </w:tc>
        <w:tc>
          <w:tcPr>
            <w:tcW w:w="4820" w:type="dxa"/>
            <w:tcBorders>
              <w:top w:val="single" w:sz="4" w:space="0" w:color="auto"/>
              <w:left w:val="single" w:sz="4" w:space="0" w:color="auto"/>
              <w:bottom w:val="single" w:sz="4" w:space="0" w:color="auto"/>
              <w:right w:val="single" w:sz="4" w:space="0" w:color="auto"/>
            </w:tcBorders>
            <w:shd w:val="clear" w:color="auto" w:fill="C6EFCE"/>
            <w:noWrap/>
          </w:tcPr>
          <w:p w14:paraId="2DC9ACA8" w14:textId="0988AE46" w:rsidR="00A00259" w:rsidRDefault="00371282">
            <w:pPr>
              <w:pStyle w:val="P68B1DB1-Normal11"/>
              <w:spacing w:line="256" w:lineRule="auto"/>
              <w:rPr>
                <w:noProof/>
              </w:rPr>
            </w:pPr>
            <w:r>
              <w:rPr>
                <w:noProof/>
              </w:rPr>
              <w:t>6 – 2.2. 16859_Contribution volontaire à l'entreprise commune EuroHPC</w:t>
            </w:r>
          </w:p>
        </w:tc>
        <w:tc>
          <w:tcPr>
            <w:tcW w:w="1417" w:type="dxa"/>
            <w:tcBorders>
              <w:top w:val="single" w:sz="4" w:space="0" w:color="auto"/>
              <w:left w:val="nil"/>
              <w:bottom w:val="single" w:sz="4" w:space="0" w:color="auto"/>
              <w:right w:val="single" w:sz="4" w:space="0" w:color="auto"/>
            </w:tcBorders>
            <w:shd w:val="clear" w:color="auto" w:fill="C6EFCE"/>
            <w:noWrap/>
          </w:tcPr>
          <w:p w14:paraId="2CFD2982" w14:textId="0D4C97A3" w:rsidR="00A00259" w:rsidRDefault="00371282">
            <w:pPr>
              <w:pStyle w:val="P68B1DB1-Normal11"/>
              <w:spacing w:line="256" w:lineRule="auto"/>
              <w:rPr>
                <w:noProof/>
              </w:rPr>
            </w:pPr>
            <w:r>
              <w:rPr>
                <w:noProof/>
              </w:rPr>
              <w:t>Étape</w:t>
            </w:r>
          </w:p>
        </w:tc>
        <w:tc>
          <w:tcPr>
            <w:tcW w:w="3292" w:type="dxa"/>
            <w:tcBorders>
              <w:top w:val="single" w:sz="4" w:space="0" w:color="auto"/>
              <w:left w:val="nil"/>
              <w:bottom w:val="single" w:sz="4" w:space="0" w:color="auto"/>
              <w:right w:val="single" w:sz="4" w:space="0" w:color="auto"/>
            </w:tcBorders>
            <w:shd w:val="clear" w:color="auto" w:fill="C6EFCE"/>
            <w:noWrap/>
          </w:tcPr>
          <w:p w14:paraId="1F56D69B" w14:textId="2C8CDF52" w:rsidR="00A00259" w:rsidRDefault="00371282">
            <w:pPr>
              <w:pStyle w:val="P68B1DB1-Normal11"/>
              <w:spacing w:line="256" w:lineRule="auto"/>
              <w:rPr>
                <w:noProof/>
              </w:rPr>
            </w:pPr>
            <w:r>
              <w:rPr>
                <w:noProof/>
              </w:rPr>
              <w:t>Signature de la convention de contribution entre la Grèce et l’entreprise commune EuroHPC et versement de la contribution volontaire à l’entreprise commune EuroHPC</w:t>
            </w:r>
          </w:p>
        </w:tc>
      </w:tr>
      <w:tr w:rsidR="00A00259" w14:paraId="56CBC6B2"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CFE41A" w14:textId="77777777" w:rsidR="00A00259" w:rsidRDefault="00A00259">
            <w:pPr>
              <w:keepNext/>
              <w:spacing w:before="40" w:after="0" w:line="256" w:lineRule="auto"/>
              <w:jc w:val="center"/>
              <w:rPr>
                <w:rFonts w:ascii="Times New Roman" w:eastAsia="Times New Roman" w:hAnsi="Times New Roman" w:cs="Times New Roman"/>
                <w:bCs/>
                <w:noProof/>
                <w:sz w:val="18"/>
                <w:szCs w:val="18"/>
              </w:rPr>
            </w:pPr>
          </w:p>
        </w:tc>
        <w:tc>
          <w:tcPr>
            <w:tcW w:w="482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16E5F0F" w14:textId="77777777" w:rsidR="00A00259" w:rsidRDefault="00A00259">
            <w:pPr>
              <w:keepNext/>
              <w:spacing w:before="40" w:after="0" w:line="256" w:lineRule="auto"/>
              <w:jc w:val="both"/>
              <w:rPr>
                <w:rFonts w:ascii="Times New Roman" w:eastAsia="Times New Roman" w:hAnsi="Times New Roman" w:cs="Times New Roman"/>
                <w:bCs/>
                <w:noProof/>
                <w:sz w:val="18"/>
                <w:szCs w:val="18"/>
              </w:rPr>
            </w:pPr>
          </w:p>
        </w:tc>
        <w:tc>
          <w:tcPr>
            <w:tcW w:w="1417" w:type="dxa"/>
            <w:tcBorders>
              <w:top w:val="single" w:sz="4" w:space="0" w:color="auto"/>
              <w:left w:val="nil"/>
              <w:bottom w:val="single" w:sz="4" w:space="0" w:color="auto"/>
              <w:right w:val="single" w:sz="4" w:space="0" w:color="auto"/>
            </w:tcBorders>
            <w:shd w:val="clear" w:color="auto" w:fill="C6EFCE"/>
            <w:noWrap/>
            <w:vAlign w:val="bottom"/>
            <w:hideMark/>
          </w:tcPr>
          <w:p w14:paraId="4241A355" w14:textId="77777777" w:rsidR="00A00259" w:rsidRDefault="00371282">
            <w:pPr>
              <w:pStyle w:val="P68B1DB1-Normal55"/>
              <w:keepNext/>
              <w:spacing w:before="40" w:after="0" w:line="256" w:lineRule="auto"/>
              <w:jc w:val="both"/>
              <w:rPr>
                <w:rFonts w:eastAsia="Times New Roman" w:cs="Times New Roman"/>
                <w:noProof/>
                <w:szCs w:val="18"/>
              </w:rPr>
            </w:pPr>
            <w:r>
              <w:rPr>
                <w:noProof/>
              </w:rPr>
              <w:t>Montant des acomptes provisionnels</w:t>
            </w:r>
          </w:p>
        </w:tc>
        <w:tc>
          <w:tcPr>
            <w:tcW w:w="3292" w:type="dxa"/>
            <w:tcBorders>
              <w:top w:val="single" w:sz="4" w:space="0" w:color="auto"/>
              <w:left w:val="nil"/>
              <w:bottom w:val="single" w:sz="4" w:space="0" w:color="auto"/>
              <w:right w:val="single" w:sz="4" w:space="0" w:color="auto"/>
            </w:tcBorders>
            <w:shd w:val="clear" w:color="auto" w:fill="C6EFCE"/>
            <w:noWrap/>
            <w:vAlign w:val="center"/>
            <w:hideMark/>
          </w:tcPr>
          <w:p w14:paraId="6B23C865" w14:textId="77777777" w:rsidR="00A00259" w:rsidRDefault="00371282">
            <w:pPr>
              <w:pStyle w:val="P68B1DB1-Normal55"/>
              <w:keepNext/>
              <w:spacing w:before="40" w:after="0" w:line="256" w:lineRule="auto"/>
              <w:rPr>
                <w:rFonts w:eastAsia="Times New Roman" w:cs="Times New Roman"/>
                <w:noProof/>
                <w:szCs w:val="18"/>
              </w:rPr>
            </w:pPr>
            <w:r>
              <w:rPr>
                <w:noProof/>
              </w:rPr>
              <w:t>4 425 660 305 EUR</w:t>
            </w:r>
          </w:p>
        </w:tc>
      </w:tr>
    </w:tbl>
    <w:p w14:paraId="62928C2E" w14:textId="77777777" w:rsidR="00A00259" w:rsidRDefault="00A00259">
      <w:pPr>
        <w:keepNext/>
        <w:spacing w:before="40" w:after="160" w:line="259" w:lineRule="auto"/>
        <w:contextualSpacing/>
        <w:jc w:val="both"/>
        <w:rPr>
          <w:rFonts w:ascii="Times New Roman" w:hAnsi="Times New Roman"/>
          <w:noProof/>
          <w:sz w:val="24"/>
        </w:rPr>
      </w:pPr>
    </w:p>
    <w:p w14:paraId="2B18A1AB" w14:textId="77777777" w:rsidR="00A00259" w:rsidRDefault="00A00259">
      <w:pPr>
        <w:keepNext/>
        <w:spacing w:before="40" w:after="160" w:line="259" w:lineRule="auto"/>
        <w:contextualSpacing/>
        <w:jc w:val="both"/>
        <w:rPr>
          <w:rFonts w:ascii="Times New Roman" w:hAnsi="Times New Roman"/>
          <w:noProof/>
          <w:sz w:val="24"/>
        </w:rPr>
      </w:pPr>
    </w:p>
    <w:p w14:paraId="6AFEF89B"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p w14:paraId="7B6922DD" w14:textId="738F939B" w:rsidR="00A00259" w:rsidRDefault="00371282">
      <w:pPr>
        <w:rPr>
          <w:rFonts w:ascii="Times New Roman" w:eastAsia="Times New Roman" w:hAnsi="Times New Roman" w:cs="Times New Roman"/>
          <w:b/>
          <w:noProof/>
          <w:sz w:val="24"/>
          <w:u w:val="single"/>
        </w:rPr>
      </w:pPr>
      <w:r>
        <w:rPr>
          <w:rFonts w:ascii="Times New Roman" w:eastAsia="Times New Roman" w:hAnsi="Times New Roman" w:cs="Times New Roman"/>
          <w:noProof/>
          <w:sz w:val="18"/>
          <w:szCs w:val="18"/>
        </w:rPr>
        <w:br w:type="page"/>
      </w:r>
      <w:r>
        <w:rPr>
          <w:rFonts w:ascii="Times New Roman" w:hAnsi="Times New Roman"/>
          <w:b/>
          <w:noProof/>
          <w:sz w:val="24"/>
          <w:u w:val="single"/>
        </w:rPr>
        <w:t>Prêt</w:t>
      </w:r>
    </w:p>
    <w:p w14:paraId="32C0FEC4" w14:textId="26A46570" w:rsidR="00A00259" w:rsidRDefault="00371282">
      <w:pPr>
        <w:pStyle w:val="P68B1DB1-Normal5"/>
        <w:keepNext/>
        <w:spacing w:before="40" w:after="0" w:line="259" w:lineRule="auto"/>
        <w:jc w:val="both"/>
        <w:outlineLvl w:val="1"/>
        <w:rPr>
          <w:b/>
          <w:noProof/>
          <w:u w:val="single"/>
        </w:rPr>
      </w:pPr>
      <w:r>
        <w:rPr>
          <w:noProof/>
        </w:rPr>
        <w:t>Les tranches visées à l'article 3, paragraphe 2, sont organisées de la manière suivante:</w:t>
      </w:r>
    </w:p>
    <w:p w14:paraId="0694A5B9" w14:textId="77777777" w:rsidR="00A00259" w:rsidRDefault="00A00259">
      <w:pPr>
        <w:keepNext/>
        <w:spacing w:before="40" w:after="0" w:line="259" w:lineRule="auto"/>
        <w:jc w:val="both"/>
        <w:outlineLvl w:val="1"/>
        <w:rPr>
          <w:rFonts w:ascii="Times New Roman" w:hAnsi="Times New Roman"/>
          <w:b/>
          <w:noProof/>
          <w:sz w:val="24"/>
          <w:u w:val="single"/>
        </w:rPr>
      </w:pPr>
    </w:p>
    <w:p w14:paraId="683834F2" w14:textId="77777777" w:rsidR="00A00259" w:rsidRDefault="00A00259">
      <w:pPr>
        <w:pStyle w:val="ListParagraph"/>
        <w:keepNext/>
        <w:numPr>
          <w:ilvl w:val="0"/>
          <w:numId w:val="106"/>
        </w:numPr>
        <w:spacing w:before="40" w:after="160" w:line="259" w:lineRule="auto"/>
        <w:jc w:val="both"/>
        <w:rPr>
          <w:rFonts w:ascii="Times New Roman" w:hAnsi="Times New Roman"/>
          <w:noProof/>
          <w:vanish/>
          <w:sz w:val="24"/>
        </w:rPr>
      </w:pPr>
    </w:p>
    <w:p w14:paraId="69B0C2C9" w14:textId="77777777" w:rsidR="00A00259" w:rsidRDefault="00A00259">
      <w:pPr>
        <w:pStyle w:val="ListParagraph"/>
        <w:keepNext/>
        <w:numPr>
          <w:ilvl w:val="0"/>
          <w:numId w:val="106"/>
        </w:numPr>
        <w:spacing w:before="40" w:after="160" w:line="259" w:lineRule="auto"/>
        <w:jc w:val="both"/>
        <w:rPr>
          <w:rFonts w:ascii="Times New Roman" w:hAnsi="Times New Roman"/>
          <w:noProof/>
          <w:vanish/>
          <w:sz w:val="24"/>
        </w:rPr>
      </w:pPr>
    </w:p>
    <w:p w14:paraId="30FA698A" w14:textId="4F542232" w:rsidR="00A00259" w:rsidRDefault="00371282">
      <w:pPr>
        <w:pStyle w:val="P68B1DB1-Normal5"/>
        <w:keepNext/>
        <w:numPr>
          <w:ilvl w:val="1"/>
          <w:numId w:val="106"/>
        </w:numPr>
        <w:spacing w:before="40" w:after="160" w:line="259" w:lineRule="auto"/>
        <w:ind w:left="0"/>
        <w:contextualSpacing/>
        <w:jc w:val="both"/>
        <w:rPr>
          <w:rFonts w:eastAsia="Times New Roman" w:cs="Times New Roman"/>
          <w:noProof/>
        </w:rPr>
      </w:pPr>
      <w:r>
        <w:rPr>
          <w:noProof/>
        </w:rPr>
        <w:t xml:space="preserve"> Première demande de paiement (soutien au prêt): </w:t>
      </w:r>
    </w:p>
    <w:tbl>
      <w:tblPr>
        <w:tblW w:w="9535" w:type="dxa"/>
        <w:jc w:val="center"/>
        <w:tblLook w:val="04A0" w:firstRow="1" w:lastRow="0" w:firstColumn="1" w:lastColumn="0" w:noHBand="0" w:noVBand="1"/>
      </w:tblPr>
      <w:tblGrid>
        <w:gridCol w:w="1195"/>
        <w:gridCol w:w="4892"/>
        <w:gridCol w:w="1692"/>
        <w:gridCol w:w="1756"/>
      </w:tblGrid>
      <w:tr w:rsidR="00A00259" w14:paraId="2464A40B" w14:textId="77777777">
        <w:trPr>
          <w:trHeight w:val="906"/>
          <w:jc w:val="center"/>
        </w:trPr>
        <w:tc>
          <w:tcPr>
            <w:tcW w:w="119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1AF9FCA"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Seq. Non.</w:t>
            </w:r>
          </w:p>
        </w:tc>
        <w:tc>
          <w:tcPr>
            <w:tcW w:w="48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991B4E5"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Mesure connexe (réforme ou investissement)</w:t>
            </w:r>
          </w:p>
        </w:tc>
        <w:tc>
          <w:tcPr>
            <w:tcW w:w="16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5D564A0"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Étape/cible</w:t>
            </w:r>
          </w:p>
        </w:tc>
        <w:tc>
          <w:tcPr>
            <w:tcW w:w="1756" w:type="dxa"/>
            <w:vMerge w:val="restart"/>
            <w:tcBorders>
              <w:top w:val="single" w:sz="4" w:space="0" w:color="auto"/>
              <w:left w:val="nil"/>
              <w:bottom w:val="single" w:sz="4" w:space="0" w:color="000000"/>
              <w:right w:val="single" w:sz="4" w:space="0" w:color="auto"/>
            </w:tcBorders>
            <w:shd w:val="clear" w:color="auto" w:fill="BDD7EE"/>
            <w:vAlign w:val="center"/>
            <w:hideMark/>
          </w:tcPr>
          <w:p w14:paraId="668200C6"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Nom</w:t>
            </w:r>
          </w:p>
        </w:tc>
      </w:tr>
      <w:tr w:rsidR="00A00259" w14:paraId="12F00E97" w14:textId="77777777">
        <w:trPr>
          <w:trHeight w:val="269"/>
          <w:jc w:val="center"/>
        </w:trPr>
        <w:tc>
          <w:tcPr>
            <w:tcW w:w="1195" w:type="dxa"/>
            <w:vMerge/>
            <w:tcBorders>
              <w:top w:val="single" w:sz="4" w:space="0" w:color="auto"/>
              <w:left w:val="single" w:sz="4" w:space="0" w:color="auto"/>
              <w:bottom w:val="single" w:sz="4" w:space="0" w:color="000000"/>
              <w:right w:val="single" w:sz="4" w:space="0" w:color="auto"/>
            </w:tcBorders>
            <w:vAlign w:val="center"/>
            <w:hideMark/>
          </w:tcPr>
          <w:p w14:paraId="43F5F3FE" w14:textId="77777777" w:rsidR="00A00259" w:rsidRDefault="00A00259">
            <w:pPr>
              <w:keepNext/>
              <w:spacing w:before="40" w:after="0" w:line="259" w:lineRule="auto"/>
              <w:jc w:val="both"/>
              <w:rPr>
                <w:rFonts w:ascii="Times New Roman" w:eastAsia="Times New Roman" w:hAnsi="Times New Roman" w:cs="Times New Roman"/>
                <w:bCs/>
                <w:noProof/>
                <w:sz w:val="24"/>
                <w:szCs w:val="26"/>
              </w:rPr>
            </w:pPr>
          </w:p>
        </w:tc>
        <w:tc>
          <w:tcPr>
            <w:tcW w:w="4892" w:type="dxa"/>
            <w:vMerge/>
            <w:tcBorders>
              <w:top w:val="single" w:sz="4" w:space="0" w:color="auto"/>
              <w:left w:val="single" w:sz="4" w:space="0" w:color="auto"/>
              <w:bottom w:val="single" w:sz="4" w:space="0" w:color="000000"/>
              <w:right w:val="single" w:sz="4" w:space="0" w:color="auto"/>
            </w:tcBorders>
            <w:vAlign w:val="center"/>
            <w:hideMark/>
          </w:tcPr>
          <w:p w14:paraId="4D9E2161" w14:textId="77777777" w:rsidR="00A00259" w:rsidRDefault="00A00259">
            <w:pPr>
              <w:keepNext/>
              <w:spacing w:before="40" w:after="0" w:line="259" w:lineRule="auto"/>
              <w:jc w:val="both"/>
              <w:rPr>
                <w:rFonts w:ascii="Times New Roman" w:eastAsia="Times New Roman" w:hAnsi="Times New Roman" w:cs="Times New Roman"/>
                <w:bCs/>
                <w:noProof/>
                <w:sz w:val="24"/>
                <w:szCs w:val="26"/>
              </w:rPr>
            </w:pPr>
          </w:p>
        </w:tc>
        <w:tc>
          <w:tcPr>
            <w:tcW w:w="1692" w:type="dxa"/>
            <w:vMerge/>
            <w:tcBorders>
              <w:top w:val="single" w:sz="4" w:space="0" w:color="auto"/>
              <w:left w:val="single" w:sz="4" w:space="0" w:color="auto"/>
              <w:bottom w:val="single" w:sz="4" w:space="0" w:color="000000"/>
              <w:right w:val="single" w:sz="4" w:space="0" w:color="auto"/>
            </w:tcBorders>
            <w:vAlign w:val="center"/>
            <w:hideMark/>
          </w:tcPr>
          <w:p w14:paraId="4673525E" w14:textId="77777777" w:rsidR="00A00259" w:rsidRDefault="00A00259">
            <w:pPr>
              <w:keepNext/>
              <w:spacing w:before="40" w:after="0" w:line="259" w:lineRule="auto"/>
              <w:jc w:val="both"/>
              <w:rPr>
                <w:rFonts w:ascii="Times New Roman" w:eastAsia="Times New Roman" w:hAnsi="Times New Roman" w:cs="Times New Roman"/>
                <w:bCs/>
                <w:noProof/>
                <w:sz w:val="24"/>
                <w:szCs w:val="26"/>
              </w:rPr>
            </w:pPr>
          </w:p>
        </w:tc>
        <w:tc>
          <w:tcPr>
            <w:tcW w:w="1756" w:type="dxa"/>
            <w:vMerge/>
            <w:tcBorders>
              <w:top w:val="single" w:sz="4" w:space="0" w:color="auto"/>
              <w:left w:val="nil"/>
              <w:bottom w:val="single" w:sz="4" w:space="0" w:color="000000"/>
              <w:right w:val="single" w:sz="4" w:space="0" w:color="auto"/>
            </w:tcBorders>
            <w:vAlign w:val="center"/>
            <w:hideMark/>
          </w:tcPr>
          <w:p w14:paraId="512BA89A" w14:textId="77777777" w:rsidR="00A00259" w:rsidRDefault="00A00259">
            <w:pPr>
              <w:keepNext/>
              <w:spacing w:before="40" w:after="0" w:line="259" w:lineRule="auto"/>
              <w:jc w:val="both"/>
              <w:rPr>
                <w:rFonts w:ascii="Times New Roman" w:eastAsia="Times New Roman" w:hAnsi="Times New Roman" w:cs="Times New Roman"/>
                <w:bCs/>
                <w:noProof/>
                <w:sz w:val="24"/>
                <w:szCs w:val="26"/>
              </w:rPr>
            </w:pPr>
          </w:p>
        </w:tc>
      </w:tr>
      <w:tr w:rsidR="00A00259" w14:paraId="51D89E45" w14:textId="77777777">
        <w:trPr>
          <w:trHeight w:val="302"/>
          <w:jc w:val="center"/>
        </w:trPr>
        <w:tc>
          <w:tcPr>
            <w:tcW w:w="1195"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1E6C66E3" w14:textId="77777777" w:rsidR="00A00259" w:rsidRDefault="00371282">
            <w:pPr>
              <w:pStyle w:val="P68B1DB1-Normal55"/>
              <w:keepNext/>
              <w:spacing w:before="40" w:after="0" w:line="240" w:lineRule="auto"/>
              <w:jc w:val="both"/>
              <w:rPr>
                <w:rFonts w:eastAsia="Times New Roman" w:cs="Times New Roman"/>
                <w:noProof/>
                <w:szCs w:val="18"/>
              </w:rPr>
            </w:pPr>
            <w:r>
              <w:rPr>
                <w:noProof/>
              </w:rPr>
              <w:t>320</w:t>
            </w:r>
          </w:p>
        </w:tc>
        <w:tc>
          <w:tcPr>
            <w:tcW w:w="4892" w:type="dxa"/>
            <w:tcBorders>
              <w:top w:val="single" w:sz="4" w:space="0" w:color="auto"/>
              <w:left w:val="nil"/>
              <w:bottom w:val="single" w:sz="4" w:space="0" w:color="auto"/>
              <w:right w:val="single" w:sz="4" w:space="0" w:color="auto"/>
            </w:tcBorders>
            <w:shd w:val="clear" w:color="000000" w:fill="C6EFCE"/>
            <w:noWrap/>
            <w:vAlign w:val="center"/>
            <w:hideMark/>
          </w:tcPr>
          <w:p w14:paraId="3FB3D68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4.7. Améliorer la compétitivité et promouvoir les investissements privés et les exportations - 16980_RRP Loan Facility</w:t>
            </w:r>
          </w:p>
        </w:tc>
        <w:tc>
          <w:tcPr>
            <w:tcW w:w="1692" w:type="dxa"/>
            <w:tcBorders>
              <w:top w:val="single" w:sz="4" w:space="0" w:color="auto"/>
              <w:left w:val="nil"/>
              <w:bottom w:val="single" w:sz="4" w:space="0" w:color="auto"/>
              <w:right w:val="single" w:sz="4" w:space="0" w:color="auto"/>
            </w:tcBorders>
            <w:shd w:val="clear" w:color="000000" w:fill="C6EFCE"/>
            <w:noWrap/>
            <w:vAlign w:val="center"/>
            <w:hideMark/>
          </w:tcPr>
          <w:p w14:paraId="7138C3A4"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1756" w:type="dxa"/>
            <w:tcBorders>
              <w:top w:val="single" w:sz="4" w:space="0" w:color="auto"/>
              <w:left w:val="nil"/>
              <w:bottom w:val="single" w:sz="4" w:space="0" w:color="auto"/>
              <w:right w:val="single" w:sz="4" w:space="0" w:color="auto"/>
            </w:tcBorders>
            <w:shd w:val="clear" w:color="000000" w:fill="C6EFCE"/>
            <w:noWrap/>
            <w:vAlign w:val="center"/>
            <w:hideMark/>
          </w:tcPr>
          <w:p w14:paraId="29B64DEF"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Accords opérationnels avec les IFI</w:t>
            </w:r>
          </w:p>
        </w:tc>
      </w:tr>
      <w:tr w:rsidR="00A00259" w14:paraId="342EC9E3" w14:textId="77777777">
        <w:trPr>
          <w:trHeight w:val="302"/>
          <w:jc w:val="center"/>
        </w:trPr>
        <w:tc>
          <w:tcPr>
            <w:tcW w:w="1195" w:type="dxa"/>
            <w:tcBorders>
              <w:top w:val="nil"/>
              <w:left w:val="single" w:sz="4" w:space="0" w:color="auto"/>
              <w:bottom w:val="single" w:sz="4" w:space="0" w:color="auto"/>
              <w:right w:val="single" w:sz="4" w:space="0" w:color="auto"/>
            </w:tcBorders>
            <w:shd w:val="clear" w:color="000000" w:fill="C6EFCE"/>
            <w:noWrap/>
            <w:vAlign w:val="center"/>
            <w:hideMark/>
          </w:tcPr>
          <w:p w14:paraId="7E3C8BBD" w14:textId="77777777" w:rsidR="00A00259" w:rsidRDefault="00371282">
            <w:pPr>
              <w:pStyle w:val="P68B1DB1-Normal55"/>
              <w:keepNext/>
              <w:spacing w:before="40" w:after="0" w:line="240" w:lineRule="auto"/>
              <w:jc w:val="both"/>
              <w:rPr>
                <w:rFonts w:eastAsia="Times New Roman" w:cs="Times New Roman"/>
                <w:noProof/>
                <w:szCs w:val="18"/>
              </w:rPr>
            </w:pPr>
            <w:r>
              <w:rPr>
                <w:noProof/>
              </w:rPr>
              <w:t>321</w:t>
            </w:r>
          </w:p>
        </w:tc>
        <w:tc>
          <w:tcPr>
            <w:tcW w:w="4892" w:type="dxa"/>
            <w:tcBorders>
              <w:top w:val="nil"/>
              <w:left w:val="nil"/>
              <w:bottom w:val="single" w:sz="4" w:space="0" w:color="auto"/>
              <w:right w:val="single" w:sz="4" w:space="0" w:color="auto"/>
            </w:tcBorders>
            <w:shd w:val="clear" w:color="000000" w:fill="C6EFCE"/>
            <w:noWrap/>
            <w:vAlign w:val="center"/>
            <w:hideMark/>
          </w:tcPr>
          <w:p w14:paraId="73C9C73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4.7. Améliorer la compétitivité et promouvoir les investissements privés et les exportations - 16980_RRP Loan Facility</w:t>
            </w:r>
          </w:p>
        </w:tc>
        <w:tc>
          <w:tcPr>
            <w:tcW w:w="1692" w:type="dxa"/>
            <w:tcBorders>
              <w:top w:val="nil"/>
              <w:left w:val="nil"/>
              <w:bottom w:val="single" w:sz="4" w:space="0" w:color="auto"/>
              <w:right w:val="single" w:sz="4" w:space="0" w:color="auto"/>
            </w:tcBorders>
            <w:shd w:val="clear" w:color="000000" w:fill="C6EFCE"/>
            <w:noWrap/>
            <w:vAlign w:val="center"/>
            <w:hideMark/>
          </w:tcPr>
          <w:p w14:paraId="1EECAF6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1756" w:type="dxa"/>
            <w:tcBorders>
              <w:top w:val="nil"/>
              <w:left w:val="nil"/>
              <w:bottom w:val="single" w:sz="4" w:space="0" w:color="auto"/>
              <w:right w:val="single" w:sz="4" w:space="0" w:color="auto"/>
            </w:tcBorders>
            <w:shd w:val="clear" w:color="000000" w:fill="C6EFCE"/>
            <w:noWrap/>
            <w:vAlign w:val="center"/>
            <w:hideMark/>
          </w:tcPr>
          <w:p w14:paraId="79119FDD"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Lancement de l'appel des banques commerciales</w:t>
            </w:r>
          </w:p>
        </w:tc>
      </w:tr>
      <w:tr w:rsidR="00A00259" w14:paraId="07EEA680" w14:textId="77777777">
        <w:trPr>
          <w:trHeight w:val="302"/>
          <w:jc w:val="center"/>
        </w:trPr>
        <w:tc>
          <w:tcPr>
            <w:tcW w:w="1195"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203D2D3"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4892" w:type="dxa"/>
            <w:tcBorders>
              <w:top w:val="single" w:sz="4" w:space="0" w:color="auto"/>
              <w:left w:val="nil"/>
              <w:bottom w:val="single" w:sz="4" w:space="0" w:color="auto"/>
              <w:right w:val="single" w:sz="4" w:space="0" w:color="auto"/>
            </w:tcBorders>
            <w:shd w:val="clear" w:color="auto" w:fill="C6EFCE"/>
            <w:noWrap/>
            <w:vAlign w:val="bottom"/>
          </w:tcPr>
          <w:p w14:paraId="67BB9575"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1692" w:type="dxa"/>
            <w:tcBorders>
              <w:top w:val="single" w:sz="4" w:space="0" w:color="auto"/>
              <w:left w:val="nil"/>
              <w:bottom w:val="single" w:sz="4" w:space="0" w:color="auto"/>
              <w:right w:val="single" w:sz="4" w:space="0" w:color="auto"/>
            </w:tcBorders>
            <w:shd w:val="clear" w:color="auto" w:fill="C6EFCE"/>
            <w:noWrap/>
            <w:vAlign w:val="bottom"/>
          </w:tcPr>
          <w:p w14:paraId="22619B2D" w14:textId="77777777" w:rsidR="00A00259" w:rsidRDefault="00371282">
            <w:pPr>
              <w:pStyle w:val="P68B1DB1-Normal55"/>
              <w:keepNext/>
              <w:spacing w:before="40" w:after="0" w:line="259" w:lineRule="auto"/>
              <w:jc w:val="both"/>
              <w:rPr>
                <w:rFonts w:eastAsia="Times New Roman" w:cs="Times New Roman"/>
                <w:noProof/>
                <w:szCs w:val="18"/>
              </w:rPr>
            </w:pPr>
            <w:r>
              <w:rPr>
                <w:noProof/>
              </w:rPr>
              <w:t>Montant des acomptes provisionnels</w:t>
            </w:r>
          </w:p>
        </w:tc>
        <w:tc>
          <w:tcPr>
            <w:tcW w:w="1756" w:type="dxa"/>
            <w:tcBorders>
              <w:top w:val="single" w:sz="4" w:space="0" w:color="auto"/>
              <w:left w:val="nil"/>
              <w:bottom w:val="single" w:sz="4" w:space="0" w:color="auto"/>
              <w:right w:val="single" w:sz="4" w:space="0" w:color="auto"/>
            </w:tcBorders>
            <w:shd w:val="clear" w:color="auto" w:fill="C6EFCE"/>
            <w:noWrap/>
            <w:vAlign w:val="bottom"/>
          </w:tcPr>
          <w:p w14:paraId="158AC685" w14:textId="77777777" w:rsidR="00A00259" w:rsidRDefault="00371282">
            <w:pPr>
              <w:pStyle w:val="P68B1DB1-Normal55"/>
              <w:keepNext/>
              <w:spacing w:before="40" w:after="0" w:line="259" w:lineRule="auto"/>
              <w:jc w:val="both"/>
              <w:rPr>
                <w:rFonts w:eastAsia="Times New Roman" w:cs="Times New Roman"/>
                <w:noProof/>
                <w:szCs w:val="18"/>
              </w:rPr>
            </w:pPr>
            <w:r>
              <w:rPr>
                <w:noProof/>
              </w:rPr>
              <w:t>2 121 256 487 EUR</w:t>
            </w:r>
          </w:p>
        </w:tc>
      </w:tr>
    </w:tbl>
    <w:p w14:paraId="6976293B" w14:textId="77777777" w:rsidR="00A00259" w:rsidRDefault="00A00259">
      <w:pPr>
        <w:keepNext/>
        <w:spacing w:before="120" w:after="160" w:line="259" w:lineRule="auto"/>
        <w:ind w:hanging="360"/>
        <w:contextualSpacing/>
        <w:jc w:val="both"/>
        <w:rPr>
          <w:rFonts w:ascii="Times New Roman" w:eastAsia="Times New Roman" w:hAnsi="Times New Roman" w:cs="Times New Roman"/>
          <w:bCs/>
          <w:noProof/>
          <w:sz w:val="24"/>
          <w:szCs w:val="24"/>
        </w:rPr>
      </w:pPr>
    </w:p>
    <w:p w14:paraId="7518A721" w14:textId="77777777" w:rsidR="00A00259" w:rsidRDefault="00371282">
      <w:pPr>
        <w:pStyle w:val="P68B1DB1-Normal5"/>
        <w:keepNext/>
        <w:numPr>
          <w:ilvl w:val="1"/>
          <w:numId w:val="106"/>
        </w:numPr>
        <w:spacing w:before="40" w:after="160" w:line="259" w:lineRule="auto"/>
        <w:ind w:left="0"/>
        <w:contextualSpacing/>
        <w:jc w:val="both"/>
        <w:rPr>
          <w:rFonts w:eastAsia="Times New Roman" w:cs="Times New Roman"/>
          <w:noProof/>
        </w:rPr>
      </w:pPr>
      <w:r>
        <w:rPr>
          <w:noProof/>
        </w:rPr>
        <w:t xml:space="preserve"> Deuxième demande de paiement (soutien au prêt): </w:t>
      </w:r>
    </w:p>
    <w:tbl>
      <w:tblPr>
        <w:tblW w:w="9535" w:type="dxa"/>
        <w:jc w:val="center"/>
        <w:tblLook w:val="04A0" w:firstRow="1" w:lastRow="0" w:firstColumn="1" w:lastColumn="0" w:noHBand="0" w:noVBand="1"/>
      </w:tblPr>
      <w:tblGrid>
        <w:gridCol w:w="1195"/>
        <w:gridCol w:w="4892"/>
        <w:gridCol w:w="1692"/>
        <w:gridCol w:w="1756"/>
      </w:tblGrid>
      <w:tr w:rsidR="00A00259" w14:paraId="623B99F6" w14:textId="77777777">
        <w:trPr>
          <w:trHeight w:val="906"/>
          <w:jc w:val="center"/>
        </w:trPr>
        <w:tc>
          <w:tcPr>
            <w:tcW w:w="119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DD09001"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Seq. Non.</w:t>
            </w:r>
          </w:p>
        </w:tc>
        <w:tc>
          <w:tcPr>
            <w:tcW w:w="48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5531494F"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Mesure connexe (réforme ou investissement)</w:t>
            </w:r>
          </w:p>
        </w:tc>
        <w:tc>
          <w:tcPr>
            <w:tcW w:w="16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5ED63875"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Étape/cible</w:t>
            </w:r>
          </w:p>
        </w:tc>
        <w:tc>
          <w:tcPr>
            <w:tcW w:w="1756" w:type="dxa"/>
            <w:vMerge w:val="restart"/>
            <w:tcBorders>
              <w:top w:val="single" w:sz="4" w:space="0" w:color="auto"/>
              <w:left w:val="nil"/>
              <w:bottom w:val="single" w:sz="4" w:space="0" w:color="000000"/>
              <w:right w:val="single" w:sz="4" w:space="0" w:color="auto"/>
            </w:tcBorders>
            <w:shd w:val="clear" w:color="auto" w:fill="BDD7EE"/>
            <w:vAlign w:val="center"/>
            <w:hideMark/>
          </w:tcPr>
          <w:p w14:paraId="5B40DBC2"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Nom</w:t>
            </w:r>
          </w:p>
        </w:tc>
      </w:tr>
      <w:tr w:rsidR="00A00259" w14:paraId="0A6B7FBB" w14:textId="77777777">
        <w:trPr>
          <w:trHeight w:val="269"/>
          <w:jc w:val="center"/>
        </w:trPr>
        <w:tc>
          <w:tcPr>
            <w:tcW w:w="1195" w:type="dxa"/>
            <w:vMerge/>
            <w:tcBorders>
              <w:top w:val="single" w:sz="4" w:space="0" w:color="auto"/>
              <w:left w:val="single" w:sz="4" w:space="0" w:color="auto"/>
              <w:bottom w:val="single" w:sz="4" w:space="0" w:color="000000"/>
              <w:right w:val="single" w:sz="4" w:space="0" w:color="auto"/>
            </w:tcBorders>
            <w:vAlign w:val="center"/>
            <w:hideMark/>
          </w:tcPr>
          <w:p w14:paraId="238E4F35"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4892" w:type="dxa"/>
            <w:vMerge/>
            <w:tcBorders>
              <w:top w:val="single" w:sz="4" w:space="0" w:color="auto"/>
              <w:left w:val="single" w:sz="4" w:space="0" w:color="auto"/>
              <w:bottom w:val="single" w:sz="4" w:space="0" w:color="000000"/>
              <w:right w:val="single" w:sz="4" w:space="0" w:color="auto"/>
            </w:tcBorders>
            <w:vAlign w:val="center"/>
            <w:hideMark/>
          </w:tcPr>
          <w:p w14:paraId="258159C1"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1692" w:type="dxa"/>
            <w:vMerge/>
            <w:tcBorders>
              <w:top w:val="single" w:sz="4" w:space="0" w:color="auto"/>
              <w:left w:val="single" w:sz="4" w:space="0" w:color="auto"/>
              <w:bottom w:val="single" w:sz="4" w:space="0" w:color="000000"/>
              <w:right w:val="single" w:sz="4" w:space="0" w:color="auto"/>
            </w:tcBorders>
            <w:vAlign w:val="center"/>
            <w:hideMark/>
          </w:tcPr>
          <w:p w14:paraId="6E5D0F1C"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1756" w:type="dxa"/>
            <w:vMerge/>
            <w:tcBorders>
              <w:top w:val="single" w:sz="4" w:space="0" w:color="auto"/>
              <w:left w:val="nil"/>
              <w:bottom w:val="single" w:sz="4" w:space="0" w:color="000000"/>
              <w:right w:val="single" w:sz="4" w:space="0" w:color="auto"/>
            </w:tcBorders>
            <w:vAlign w:val="center"/>
            <w:hideMark/>
          </w:tcPr>
          <w:p w14:paraId="0319A8C0"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r>
      <w:tr w:rsidR="00A00259" w14:paraId="57F83216" w14:textId="77777777">
        <w:trPr>
          <w:trHeight w:val="302"/>
          <w:jc w:val="center"/>
        </w:trPr>
        <w:tc>
          <w:tcPr>
            <w:tcW w:w="1195"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590FE254" w14:textId="77777777" w:rsidR="00A00259" w:rsidRDefault="00371282">
            <w:pPr>
              <w:pStyle w:val="P68B1DB1-Normal55"/>
              <w:keepNext/>
              <w:spacing w:before="40" w:after="0" w:line="240" w:lineRule="auto"/>
              <w:jc w:val="both"/>
              <w:rPr>
                <w:rFonts w:eastAsia="Times New Roman" w:cs="Times New Roman"/>
                <w:noProof/>
                <w:szCs w:val="18"/>
              </w:rPr>
            </w:pPr>
            <w:r>
              <w:rPr>
                <w:noProof/>
              </w:rPr>
              <w:t>322</w:t>
            </w:r>
          </w:p>
        </w:tc>
        <w:tc>
          <w:tcPr>
            <w:tcW w:w="4892" w:type="dxa"/>
            <w:tcBorders>
              <w:top w:val="single" w:sz="4" w:space="0" w:color="auto"/>
              <w:left w:val="nil"/>
              <w:bottom w:val="single" w:sz="4" w:space="0" w:color="auto"/>
              <w:right w:val="single" w:sz="4" w:space="0" w:color="auto"/>
            </w:tcBorders>
            <w:shd w:val="clear" w:color="000000" w:fill="C6EFCE"/>
            <w:noWrap/>
            <w:vAlign w:val="center"/>
            <w:hideMark/>
          </w:tcPr>
          <w:p w14:paraId="516AA69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4.7. Améliorer la compétitivité et promouvoir les investissements privés et les exportations - 16980_RRP Loan Facility</w:t>
            </w:r>
          </w:p>
        </w:tc>
        <w:tc>
          <w:tcPr>
            <w:tcW w:w="1692" w:type="dxa"/>
            <w:tcBorders>
              <w:top w:val="single" w:sz="4" w:space="0" w:color="auto"/>
              <w:left w:val="nil"/>
              <w:bottom w:val="single" w:sz="4" w:space="0" w:color="auto"/>
              <w:right w:val="single" w:sz="4" w:space="0" w:color="auto"/>
            </w:tcBorders>
            <w:shd w:val="clear" w:color="000000" w:fill="C6EFCE"/>
            <w:noWrap/>
            <w:vAlign w:val="center"/>
            <w:hideMark/>
          </w:tcPr>
          <w:p w14:paraId="0385E9F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1756" w:type="dxa"/>
            <w:tcBorders>
              <w:top w:val="single" w:sz="4" w:space="0" w:color="auto"/>
              <w:left w:val="nil"/>
              <w:bottom w:val="single" w:sz="4" w:space="0" w:color="auto"/>
              <w:right w:val="single" w:sz="4" w:space="0" w:color="auto"/>
            </w:tcBorders>
            <w:shd w:val="clear" w:color="000000" w:fill="C6EFCE"/>
            <w:noWrap/>
            <w:vAlign w:val="center"/>
            <w:hideMark/>
          </w:tcPr>
          <w:p w14:paraId="436D6CEA"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Accord pour la plate-forme d'équité</w:t>
            </w:r>
          </w:p>
        </w:tc>
      </w:tr>
      <w:tr w:rsidR="00A00259" w14:paraId="770E3B9B" w14:textId="77777777">
        <w:trPr>
          <w:trHeight w:val="302"/>
          <w:jc w:val="center"/>
        </w:trPr>
        <w:tc>
          <w:tcPr>
            <w:tcW w:w="1195" w:type="dxa"/>
            <w:tcBorders>
              <w:top w:val="nil"/>
              <w:left w:val="single" w:sz="4" w:space="0" w:color="auto"/>
              <w:bottom w:val="single" w:sz="4" w:space="0" w:color="auto"/>
              <w:right w:val="single" w:sz="4" w:space="0" w:color="auto"/>
            </w:tcBorders>
            <w:shd w:val="clear" w:color="000000" w:fill="C6EFCE"/>
            <w:noWrap/>
            <w:vAlign w:val="center"/>
          </w:tcPr>
          <w:p w14:paraId="67A6511A" w14:textId="77777777" w:rsidR="00A00259" w:rsidRDefault="00371282">
            <w:pPr>
              <w:pStyle w:val="P68B1DB1-Normal55"/>
              <w:keepNext/>
              <w:spacing w:before="40" w:after="0" w:line="240" w:lineRule="auto"/>
              <w:jc w:val="both"/>
              <w:rPr>
                <w:rFonts w:eastAsia="Times New Roman" w:cs="Times New Roman"/>
                <w:noProof/>
                <w:szCs w:val="18"/>
              </w:rPr>
            </w:pPr>
            <w:r>
              <w:rPr>
                <w:noProof/>
              </w:rPr>
              <w:t>323</w:t>
            </w:r>
          </w:p>
        </w:tc>
        <w:tc>
          <w:tcPr>
            <w:tcW w:w="4892" w:type="dxa"/>
            <w:tcBorders>
              <w:top w:val="nil"/>
              <w:left w:val="nil"/>
              <w:bottom w:val="single" w:sz="4" w:space="0" w:color="auto"/>
              <w:right w:val="single" w:sz="4" w:space="0" w:color="auto"/>
            </w:tcBorders>
            <w:shd w:val="clear" w:color="000000" w:fill="C6EFCE"/>
            <w:noWrap/>
            <w:vAlign w:val="center"/>
          </w:tcPr>
          <w:p w14:paraId="72824DD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4.7. Améliorer la compétitivité et promouvoir les investissements privés et les exportations - 16980_RRP Loan Facility</w:t>
            </w:r>
          </w:p>
        </w:tc>
        <w:tc>
          <w:tcPr>
            <w:tcW w:w="1692" w:type="dxa"/>
            <w:tcBorders>
              <w:top w:val="nil"/>
              <w:left w:val="nil"/>
              <w:bottom w:val="single" w:sz="4" w:space="0" w:color="auto"/>
              <w:right w:val="single" w:sz="4" w:space="0" w:color="auto"/>
            </w:tcBorders>
            <w:shd w:val="clear" w:color="000000" w:fill="C6EFCE"/>
            <w:noWrap/>
            <w:vAlign w:val="center"/>
          </w:tcPr>
          <w:p w14:paraId="0BF1844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1756" w:type="dxa"/>
            <w:tcBorders>
              <w:top w:val="nil"/>
              <w:left w:val="nil"/>
              <w:bottom w:val="single" w:sz="4" w:space="0" w:color="auto"/>
              <w:right w:val="single" w:sz="4" w:space="0" w:color="auto"/>
            </w:tcBorders>
            <w:shd w:val="clear" w:color="000000" w:fill="C6EFCE"/>
            <w:noWrap/>
            <w:vAlign w:val="center"/>
          </w:tcPr>
          <w:p w14:paraId="4B6B865B"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Convention de contribution InvestEU</w:t>
            </w:r>
          </w:p>
        </w:tc>
      </w:tr>
      <w:tr w:rsidR="00A00259" w14:paraId="0DF5962B" w14:textId="77777777">
        <w:trPr>
          <w:trHeight w:val="302"/>
          <w:jc w:val="center"/>
        </w:trPr>
        <w:tc>
          <w:tcPr>
            <w:tcW w:w="1195" w:type="dxa"/>
            <w:tcBorders>
              <w:top w:val="nil"/>
              <w:left w:val="single" w:sz="4" w:space="0" w:color="auto"/>
              <w:bottom w:val="single" w:sz="4" w:space="0" w:color="auto"/>
              <w:right w:val="single" w:sz="4" w:space="0" w:color="auto"/>
            </w:tcBorders>
            <w:shd w:val="clear" w:color="000000" w:fill="C6EFCE"/>
            <w:noWrap/>
            <w:vAlign w:val="center"/>
          </w:tcPr>
          <w:p w14:paraId="78118E62" w14:textId="77777777" w:rsidR="00A00259" w:rsidRDefault="00371282">
            <w:pPr>
              <w:pStyle w:val="P68B1DB1-Normal55"/>
              <w:keepNext/>
              <w:spacing w:before="40" w:after="0" w:line="240" w:lineRule="auto"/>
              <w:jc w:val="both"/>
              <w:rPr>
                <w:rFonts w:eastAsia="Times New Roman" w:cs="Times New Roman"/>
                <w:noProof/>
                <w:szCs w:val="18"/>
              </w:rPr>
            </w:pPr>
            <w:r>
              <w:rPr>
                <w:noProof/>
              </w:rPr>
              <w:t>324</w:t>
            </w:r>
          </w:p>
        </w:tc>
        <w:tc>
          <w:tcPr>
            <w:tcW w:w="4892" w:type="dxa"/>
            <w:tcBorders>
              <w:top w:val="nil"/>
              <w:left w:val="nil"/>
              <w:bottom w:val="single" w:sz="4" w:space="0" w:color="auto"/>
              <w:right w:val="single" w:sz="4" w:space="0" w:color="auto"/>
            </w:tcBorders>
            <w:shd w:val="clear" w:color="000000" w:fill="C6EFCE"/>
            <w:noWrap/>
            <w:vAlign w:val="center"/>
          </w:tcPr>
          <w:p w14:paraId="54904727"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4.7. Améliorer la compétitivité et promouvoir les investissements privés et les exportations - 16980_RRP Loan Facility</w:t>
            </w:r>
          </w:p>
        </w:tc>
        <w:tc>
          <w:tcPr>
            <w:tcW w:w="1692" w:type="dxa"/>
            <w:tcBorders>
              <w:top w:val="nil"/>
              <w:left w:val="nil"/>
              <w:bottom w:val="single" w:sz="4" w:space="0" w:color="auto"/>
              <w:right w:val="single" w:sz="4" w:space="0" w:color="auto"/>
            </w:tcBorders>
            <w:shd w:val="clear" w:color="000000" w:fill="C6EFCE"/>
            <w:noWrap/>
            <w:vAlign w:val="center"/>
          </w:tcPr>
          <w:p w14:paraId="3E067F4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Objectif</w:t>
            </w:r>
          </w:p>
        </w:tc>
        <w:tc>
          <w:tcPr>
            <w:tcW w:w="1756" w:type="dxa"/>
            <w:tcBorders>
              <w:top w:val="nil"/>
              <w:left w:val="nil"/>
              <w:bottom w:val="single" w:sz="4" w:space="0" w:color="auto"/>
              <w:right w:val="single" w:sz="4" w:space="0" w:color="auto"/>
            </w:tcBorders>
            <w:shd w:val="clear" w:color="000000" w:fill="C6EFCE"/>
            <w:noWrap/>
            <w:vAlign w:val="center"/>
          </w:tcPr>
          <w:p w14:paraId="1A4CC38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586,4 millions d’EUR de fonds d’établissements financiers signés avec les bénéficiaires finaux</w:t>
            </w:r>
          </w:p>
        </w:tc>
      </w:tr>
      <w:tr w:rsidR="00A00259" w14:paraId="0FE25045" w14:textId="77777777">
        <w:trPr>
          <w:trHeight w:val="302"/>
          <w:jc w:val="center"/>
        </w:trPr>
        <w:tc>
          <w:tcPr>
            <w:tcW w:w="1195"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18EA2B9"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4892" w:type="dxa"/>
            <w:tcBorders>
              <w:top w:val="single" w:sz="4" w:space="0" w:color="auto"/>
              <w:left w:val="nil"/>
              <w:bottom w:val="single" w:sz="4" w:space="0" w:color="auto"/>
              <w:right w:val="single" w:sz="4" w:space="0" w:color="auto"/>
            </w:tcBorders>
            <w:shd w:val="clear" w:color="auto" w:fill="C6EFCE"/>
            <w:noWrap/>
            <w:vAlign w:val="bottom"/>
          </w:tcPr>
          <w:p w14:paraId="78056866"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1692" w:type="dxa"/>
            <w:tcBorders>
              <w:top w:val="single" w:sz="4" w:space="0" w:color="auto"/>
              <w:left w:val="nil"/>
              <w:bottom w:val="single" w:sz="4" w:space="0" w:color="auto"/>
              <w:right w:val="single" w:sz="4" w:space="0" w:color="auto"/>
            </w:tcBorders>
            <w:shd w:val="clear" w:color="auto" w:fill="C6EFCE"/>
            <w:noWrap/>
            <w:vAlign w:val="bottom"/>
          </w:tcPr>
          <w:p w14:paraId="0282FF0E" w14:textId="77777777" w:rsidR="00A00259" w:rsidRDefault="00371282">
            <w:pPr>
              <w:pStyle w:val="P68B1DB1-Normal55"/>
              <w:keepNext/>
              <w:spacing w:before="40" w:after="0" w:line="259" w:lineRule="auto"/>
              <w:jc w:val="both"/>
              <w:rPr>
                <w:rFonts w:eastAsia="Times New Roman" w:cs="Times New Roman"/>
                <w:noProof/>
                <w:szCs w:val="18"/>
              </w:rPr>
            </w:pPr>
            <w:r>
              <w:rPr>
                <w:noProof/>
              </w:rPr>
              <w:t>Montant des acomptes provisionnels</w:t>
            </w:r>
          </w:p>
        </w:tc>
        <w:tc>
          <w:tcPr>
            <w:tcW w:w="1756" w:type="dxa"/>
            <w:tcBorders>
              <w:top w:val="single" w:sz="4" w:space="0" w:color="auto"/>
              <w:left w:val="nil"/>
              <w:bottom w:val="single" w:sz="4" w:space="0" w:color="auto"/>
              <w:right w:val="single" w:sz="4" w:space="0" w:color="auto"/>
            </w:tcBorders>
            <w:shd w:val="clear" w:color="auto" w:fill="C6EFCE"/>
            <w:noWrap/>
            <w:vAlign w:val="bottom"/>
          </w:tcPr>
          <w:p w14:paraId="767F6212" w14:textId="77777777" w:rsidR="00A00259" w:rsidRDefault="00371282">
            <w:pPr>
              <w:pStyle w:val="P68B1DB1-Normal55"/>
              <w:keepNext/>
              <w:spacing w:before="40" w:after="0" w:line="259" w:lineRule="auto"/>
              <w:jc w:val="both"/>
              <w:rPr>
                <w:rFonts w:eastAsia="Times New Roman" w:cs="Times New Roman"/>
                <w:noProof/>
                <w:szCs w:val="18"/>
              </w:rPr>
            </w:pPr>
            <w:r>
              <w:rPr>
                <w:noProof/>
              </w:rPr>
              <w:t>2 121 256 487 EUR</w:t>
            </w:r>
          </w:p>
        </w:tc>
      </w:tr>
    </w:tbl>
    <w:p w14:paraId="782E17B1" w14:textId="77777777" w:rsidR="00A00259" w:rsidRDefault="00A00259">
      <w:pPr>
        <w:keepNext/>
        <w:spacing w:before="40" w:after="160" w:line="259" w:lineRule="auto"/>
        <w:contextualSpacing/>
        <w:jc w:val="both"/>
        <w:rPr>
          <w:rFonts w:ascii="Times New Roman" w:eastAsia="Times New Roman" w:hAnsi="Times New Roman" w:cs="Times New Roman"/>
          <w:noProof/>
          <w:sz w:val="24"/>
        </w:rPr>
      </w:pPr>
    </w:p>
    <w:p w14:paraId="1B4FDD16" w14:textId="77777777" w:rsidR="00A00259" w:rsidRDefault="00A00259">
      <w:pPr>
        <w:keepNext/>
        <w:numPr>
          <w:ilvl w:val="1"/>
          <w:numId w:val="106"/>
        </w:numPr>
        <w:spacing w:before="40" w:after="160" w:line="259" w:lineRule="auto"/>
        <w:ind w:left="0"/>
        <w:contextualSpacing/>
        <w:jc w:val="both"/>
        <w:rPr>
          <w:rFonts w:ascii="Times New Roman" w:hAnsi="Times New Roman"/>
          <w:noProof/>
          <w:sz w:val="24"/>
        </w:rPr>
        <w:sectPr w:rsidR="00A00259">
          <w:headerReference w:type="even" r:id="rId450"/>
          <w:headerReference w:type="default" r:id="rId451"/>
          <w:footerReference w:type="even" r:id="rId452"/>
          <w:footerReference w:type="default" r:id="rId453"/>
          <w:headerReference w:type="first" r:id="rId454"/>
          <w:footerReference w:type="first" r:id="rId455"/>
          <w:pgSz w:w="11906" w:h="16838"/>
          <w:pgMar w:top="1134" w:right="1134" w:bottom="1134" w:left="1134" w:header="567" w:footer="567" w:gutter="0"/>
          <w:cols w:space="708"/>
          <w:docGrid w:linePitch="360"/>
        </w:sectPr>
      </w:pPr>
    </w:p>
    <w:p w14:paraId="61E14B2A" w14:textId="77777777" w:rsidR="00A00259" w:rsidRDefault="00371282">
      <w:pPr>
        <w:pStyle w:val="P68B1DB1-Normal5"/>
        <w:keepNext/>
        <w:numPr>
          <w:ilvl w:val="1"/>
          <w:numId w:val="106"/>
        </w:numPr>
        <w:spacing w:before="40" w:after="160" w:line="259" w:lineRule="auto"/>
        <w:ind w:left="0"/>
        <w:contextualSpacing/>
        <w:jc w:val="both"/>
        <w:rPr>
          <w:rFonts w:eastAsia="Times New Roman" w:cs="Times New Roman"/>
          <w:noProof/>
        </w:rPr>
      </w:pPr>
      <w:r>
        <w:rPr>
          <w:noProof/>
        </w:rPr>
        <w:t xml:space="preserve"> Troisième demande de paiement (soutien au prêt): </w:t>
      </w:r>
    </w:p>
    <w:tbl>
      <w:tblPr>
        <w:tblW w:w="9535" w:type="dxa"/>
        <w:jc w:val="center"/>
        <w:tblLook w:val="04A0" w:firstRow="1" w:lastRow="0" w:firstColumn="1" w:lastColumn="0" w:noHBand="0" w:noVBand="1"/>
      </w:tblPr>
      <w:tblGrid>
        <w:gridCol w:w="704"/>
        <w:gridCol w:w="5383"/>
        <w:gridCol w:w="1692"/>
        <w:gridCol w:w="1756"/>
      </w:tblGrid>
      <w:tr w:rsidR="00A00259" w14:paraId="541594BB" w14:textId="77777777">
        <w:trPr>
          <w:trHeight w:val="906"/>
          <w:jc w:val="center"/>
        </w:trPr>
        <w:tc>
          <w:tcPr>
            <w:tcW w:w="704"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B0D709D" w14:textId="77777777" w:rsidR="00A00259" w:rsidRDefault="00371282">
            <w:pPr>
              <w:pStyle w:val="P68B1DB1-Normal15"/>
              <w:keepNext/>
              <w:spacing w:before="40" w:after="0" w:line="259" w:lineRule="auto"/>
              <w:jc w:val="center"/>
              <w:rPr>
                <w:rFonts w:eastAsia="Times New Roman"/>
                <w:bCs/>
                <w:noProof/>
              </w:rPr>
            </w:pPr>
            <w:r>
              <w:rPr>
                <w:noProof/>
              </w:rPr>
              <w:t xml:space="preserve">Seq. </w:t>
            </w:r>
            <w:r>
              <w:rPr>
                <w:noProof/>
              </w:rPr>
              <w:br/>
              <w:t>Non.</w:t>
            </w:r>
          </w:p>
        </w:tc>
        <w:tc>
          <w:tcPr>
            <w:tcW w:w="538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6DA5EF27"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Mesure connexe (réforme ou investissement)</w:t>
            </w:r>
          </w:p>
        </w:tc>
        <w:tc>
          <w:tcPr>
            <w:tcW w:w="16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1D4AD3F"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Étape/cible</w:t>
            </w:r>
          </w:p>
        </w:tc>
        <w:tc>
          <w:tcPr>
            <w:tcW w:w="1756" w:type="dxa"/>
            <w:vMerge w:val="restart"/>
            <w:tcBorders>
              <w:top w:val="single" w:sz="4" w:space="0" w:color="auto"/>
              <w:left w:val="nil"/>
              <w:bottom w:val="single" w:sz="4" w:space="0" w:color="000000"/>
              <w:right w:val="single" w:sz="4" w:space="0" w:color="auto"/>
            </w:tcBorders>
            <w:shd w:val="clear" w:color="auto" w:fill="BDD7EE"/>
            <w:vAlign w:val="center"/>
            <w:hideMark/>
          </w:tcPr>
          <w:p w14:paraId="270709F4"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Nom</w:t>
            </w:r>
          </w:p>
        </w:tc>
      </w:tr>
      <w:tr w:rsidR="00A00259" w14:paraId="2C4C7047" w14:textId="77777777">
        <w:trPr>
          <w:trHeight w:val="343"/>
          <w:jc w:val="center"/>
        </w:trPr>
        <w:tc>
          <w:tcPr>
            <w:tcW w:w="704" w:type="dxa"/>
            <w:vMerge/>
            <w:tcBorders>
              <w:top w:val="single" w:sz="4" w:space="0" w:color="auto"/>
              <w:left w:val="single" w:sz="4" w:space="0" w:color="auto"/>
              <w:bottom w:val="single" w:sz="4" w:space="0" w:color="000000"/>
              <w:right w:val="single" w:sz="4" w:space="0" w:color="auto"/>
            </w:tcBorders>
            <w:vAlign w:val="center"/>
            <w:hideMark/>
          </w:tcPr>
          <w:p w14:paraId="5AF7A186"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5383" w:type="dxa"/>
            <w:vMerge/>
            <w:tcBorders>
              <w:top w:val="single" w:sz="4" w:space="0" w:color="auto"/>
              <w:left w:val="single" w:sz="4" w:space="0" w:color="auto"/>
              <w:bottom w:val="single" w:sz="4" w:space="0" w:color="000000"/>
              <w:right w:val="single" w:sz="4" w:space="0" w:color="auto"/>
            </w:tcBorders>
            <w:vAlign w:val="center"/>
            <w:hideMark/>
          </w:tcPr>
          <w:p w14:paraId="68FC787B"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1692" w:type="dxa"/>
            <w:vMerge/>
            <w:tcBorders>
              <w:top w:val="single" w:sz="4" w:space="0" w:color="auto"/>
              <w:left w:val="single" w:sz="4" w:space="0" w:color="auto"/>
              <w:bottom w:val="single" w:sz="4" w:space="0" w:color="000000"/>
              <w:right w:val="single" w:sz="4" w:space="0" w:color="auto"/>
            </w:tcBorders>
            <w:vAlign w:val="center"/>
            <w:hideMark/>
          </w:tcPr>
          <w:p w14:paraId="38A6E89E"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1756" w:type="dxa"/>
            <w:vMerge/>
            <w:tcBorders>
              <w:top w:val="single" w:sz="4" w:space="0" w:color="auto"/>
              <w:left w:val="nil"/>
              <w:bottom w:val="single" w:sz="4" w:space="0" w:color="000000"/>
              <w:right w:val="single" w:sz="4" w:space="0" w:color="auto"/>
            </w:tcBorders>
            <w:vAlign w:val="center"/>
            <w:hideMark/>
          </w:tcPr>
          <w:p w14:paraId="7636B862"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r>
      <w:tr w:rsidR="00A00259" w14:paraId="6927BD9C" w14:textId="77777777">
        <w:trPr>
          <w:trHeight w:val="302"/>
          <w:jc w:val="center"/>
        </w:trPr>
        <w:tc>
          <w:tcPr>
            <w:tcW w:w="704"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0B7C2432" w14:textId="77777777" w:rsidR="00A00259" w:rsidRDefault="00371282">
            <w:pPr>
              <w:pStyle w:val="P68B1DB1-Normal55"/>
              <w:keepNext/>
              <w:spacing w:before="40" w:after="0" w:line="240" w:lineRule="auto"/>
              <w:jc w:val="both"/>
              <w:rPr>
                <w:rFonts w:eastAsia="Times New Roman" w:cs="Times New Roman"/>
                <w:noProof/>
                <w:szCs w:val="18"/>
              </w:rPr>
            </w:pPr>
            <w:r>
              <w:rPr>
                <w:noProof/>
              </w:rPr>
              <w:t>325</w:t>
            </w:r>
          </w:p>
        </w:tc>
        <w:tc>
          <w:tcPr>
            <w:tcW w:w="5383" w:type="dxa"/>
            <w:tcBorders>
              <w:top w:val="single" w:sz="4" w:space="0" w:color="auto"/>
              <w:left w:val="nil"/>
              <w:bottom w:val="single" w:sz="4" w:space="0" w:color="auto"/>
              <w:right w:val="single" w:sz="4" w:space="0" w:color="auto"/>
            </w:tcBorders>
            <w:shd w:val="clear" w:color="000000" w:fill="C6EFCE"/>
            <w:noWrap/>
            <w:vAlign w:val="center"/>
            <w:hideMark/>
          </w:tcPr>
          <w:p w14:paraId="348541D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4.7. Améliorer la compétitivité et promouvoir les investissements privés et les exportations - 16980_RRP Loan Facility</w:t>
            </w:r>
          </w:p>
        </w:tc>
        <w:tc>
          <w:tcPr>
            <w:tcW w:w="1692" w:type="dxa"/>
            <w:tcBorders>
              <w:top w:val="single" w:sz="4" w:space="0" w:color="auto"/>
              <w:left w:val="nil"/>
              <w:bottom w:val="single" w:sz="4" w:space="0" w:color="auto"/>
              <w:right w:val="single" w:sz="4" w:space="0" w:color="auto"/>
            </w:tcBorders>
            <w:shd w:val="clear" w:color="000000" w:fill="C6EFCE"/>
            <w:noWrap/>
            <w:vAlign w:val="center"/>
            <w:hideMark/>
          </w:tcPr>
          <w:p w14:paraId="773ADCD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Objectif</w:t>
            </w:r>
          </w:p>
        </w:tc>
        <w:tc>
          <w:tcPr>
            <w:tcW w:w="1756" w:type="dxa"/>
            <w:tcBorders>
              <w:top w:val="single" w:sz="4" w:space="0" w:color="auto"/>
              <w:left w:val="nil"/>
              <w:bottom w:val="single" w:sz="4" w:space="0" w:color="auto"/>
              <w:right w:val="single" w:sz="4" w:space="0" w:color="auto"/>
            </w:tcBorders>
            <w:shd w:val="clear" w:color="000000" w:fill="C6EFCE"/>
            <w:noWrap/>
            <w:vAlign w:val="center"/>
            <w:hideMark/>
          </w:tcPr>
          <w:p w14:paraId="28373638"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3 518,4 millions d’EUR de fonds d’établissements financiers signés avec les bénéficiaires finaux</w:t>
            </w:r>
          </w:p>
        </w:tc>
      </w:tr>
      <w:tr w:rsidR="00A00259" w14:paraId="30ECAEC4" w14:textId="77777777">
        <w:trPr>
          <w:trHeight w:val="302"/>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4A1FD83"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5383" w:type="dxa"/>
            <w:tcBorders>
              <w:top w:val="single" w:sz="4" w:space="0" w:color="auto"/>
              <w:left w:val="nil"/>
              <w:bottom w:val="single" w:sz="4" w:space="0" w:color="auto"/>
              <w:right w:val="single" w:sz="4" w:space="0" w:color="auto"/>
            </w:tcBorders>
            <w:shd w:val="clear" w:color="auto" w:fill="C6EFCE"/>
            <w:noWrap/>
            <w:vAlign w:val="bottom"/>
          </w:tcPr>
          <w:p w14:paraId="45875D63" w14:textId="77777777" w:rsidR="00A00259" w:rsidRDefault="00A00259">
            <w:pPr>
              <w:keepNext/>
              <w:spacing w:before="40" w:after="0" w:line="240" w:lineRule="auto"/>
              <w:jc w:val="both"/>
              <w:rPr>
                <w:rFonts w:ascii="Times New Roman" w:eastAsia="Times New Roman" w:hAnsi="Times New Roman" w:cs="Times New Roman"/>
                <w:bCs/>
                <w:noProof/>
                <w:sz w:val="18"/>
                <w:szCs w:val="18"/>
              </w:rPr>
            </w:pPr>
          </w:p>
        </w:tc>
        <w:tc>
          <w:tcPr>
            <w:tcW w:w="1692" w:type="dxa"/>
            <w:tcBorders>
              <w:top w:val="single" w:sz="4" w:space="0" w:color="auto"/>
              <w:left w:val="nil"/>
              <w:bottom w:val="single" w:sz="4" w:space="0" w:color="auto"/>
              <w:right w:val="single" w:sz="4" w:space="0" w:color="auto"/>
            </w:tcBorders>
            <w:shd w:val="clear" w:color="auto" w:fill="C6EFCE"/>
            <w:noWrap/>
            <w:vAlign w:val="bottom"/>
          </w:tcPr>
          <w:p w14:paraId="75166DC9" w14:textId="77777777" w:rsidR="00A00259" w:rsidRDefault="00371282">
            <w:pPr>
              <w:pStyle w:val="P68B1DB1-Normal55"/>
              <w:keepNext/>
              <w:spacing w:before="40" w:after="0" w:line="240" w:lineRule="auto"/>
              <w:jc w:val="both"/>
              <w:rPr>
                <w:rFonts w:eastAsia="Times New Roman" w:cs="Times New Roman"/>
                <w:noProof/>
                <w:szCs w:val="18"/>
              </w:rPr>
            </w:pPr>
            <w:r>
              <w:rPr>
                <w:noProof/>
              </w:rPr>
              <w:t>Montant des acomptes provisionnels</w:t>
            </w:r>
          </w:p>
        </w:tc>
        <w:tc>
          <w:tcPr>
            <w:tcW w:w="1756" w:type="dxa"/>
            <w:tcBorders>
              <w:top w:val="single" w:sz="4" w:space="0" w:color="auto"/>
              <w:left w:val="nil"/>
              <w:bottom w:val="single" w:sz="4" w:space="0" w:color="auto"/>
              <w:right w:val="single" w:sz="4" w:space="0" w:color="auto"/>
            </w:tcBorders>
            <w:shd w:val="clear" w:color="auto" w:fill="C6EFCE"/>
            <w:noWrap/>
            <w:vAlign w:val="bottom"/>
          </w:tcPr>
          <w:p w14:paraId="787EBB84" w14:textId="77777777" w:rsidR="00A00259" w:rsidRDefault="00371282">
            <w:pPr>
              <w:pStyle w:val="P68B1DB1-Normal55"/>
              <w:keepNext/>
              <w:spacing w:before="40" w:after="0" w:line="240" w:lineRule="auto"/>
              <w:jc w:val="both"/>
              <w:rPr>
                <w:rFonts w:eastAsia="Times New Roman" w:cs="Times New Roman"/>
                <w:noProof/>
                <w:szCs w:val="18"/>
              </w:rPr>
            </w:pPr>
            <w:r>
              <w:rPr>
                <w:noProof/>
              </w:rPr>
              <w:t>2 121 256 487 EUR</w:t>
            </w:r>
          </w:p>
        </w:tc>
      </w:tr>
    </w:tbl>
    <w:p w14:paraId="02F959C4" w14:textId="77777777" w:rsidR="00A00259" w:rsidRDefault="00A00259">
      <w:pPr>
        <w:keepNext/>
        <w:spacing w:before="40" w:after="0" w:line="259" w:lineRule="auto"/>
        <w:jc w:val="both"/>
        <w:rPr>
          <w:rFonts w:ascii="Times New Roman" w:eastAsia="Times New Roman" w:hAnsi="Times New Roman" w:cs="Times New Roman"/>
          <w:bCs/>
          <w:noProof/>
          <w:sz w:val="24"/>
          <w:szCs w:val="26"/>
        </w:rPr>
      </w:pPr>
    </w:p>
    <w:p w14:paraId="32F56F66" w14:textId="77777777" w:rsidR="00A00259" w:rsidRDefault="00371282">
      <w:pPr>
        <w:pStyle w:val="P68B1DB1-Normal5"/>
        <w:keepNext/>
        <w:numPr>
          <w:ilvl w:val="1"/>
          <w:numId w:val="106"/>
        </w:numPr>
        <w:spacing w:before="40" w:after="160" w:line="259" w:lineRule="auto"/>
        <w:ind w:left="0"/>
        <w:contextualSpacing/>
        <w:jc w:val="both"/>
        <w:rPr>
          <w:rFonts w:eastAsia="Times New Roman" w:cs="Times New Roman"/>
          <w:noProof/>
        </w:rPr>
      </w:pPr>
      <w:r>
        <w:rPr>
          <w:noProof/>
        </w:rPr>
        <w:t xml:space="preserve">Quatrième demande de paiement (soutien au prêt): </w:t>
      </w:r>
    </w:p>
    <w:tbl>
      <w:tblPr>
        <w:tblW w:w="9535" w:type="dxa"/>
        <w:jc w:val="center"/>
        <w:tblLayout w:type="fixed"/>
        <w:tblLook w:val="04A0" w:firstRow="1" w:lastRow="0" w:firstColumn="1" w:lastColumn="0" w:noHBand="0" w:noVBand="1"/>
      </w:tblPr>
      <w:tblGrid>
        <w:gridCol w:w="704"/>
        <w:gridCol w:w="5383"/>
        <w:gridCol w:w="1692"/>
        <w:gridCol w:w="1756"/>
      </w:tblGrid>
      <w:tr w:rsidR="00A00259" w14:paraId="7E9DD2B3" w14:textId="77777777">
        <w:trPr>
          <w:trHeight w:val="906"/>
          <w:jc w:val="center"/>
        </w:trPr>
        <w:tc>
          <w:tcPr>
            <w:tcW w:w="704"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CBF6291" w14:textId="77777777" w:rsidR="00A00259" w:rsidRDefault="00371282">
            <w:pPr>
              <w:pStyle w:val="P68B1DB1-Normal15"/>
              <w:keepNext/>
              <w:spacing w:before="40" w:after="0" w:line="259" w:lineRule="auto"/>
              <w:jc w:val="center"/>
              <w:rPr>
                <w:rFonts w:eastAsia="Times New Roman"/>
                <w:noProof/>
              </w:rPr>
            </w:pPr>
            <w:bookmarkStart w:id="9" w:name="_Hlk150347477"/>
            <w:r>
              <w:rPr>
                <w:noProof/>
              </w:rPr>
              <w:t xml:space="preserve">Seq. </w:t>
            </w:r>
            <w:r>
              <w:rPr>
                <w:noProof/>
              </w:rPr>
              <w:br/>
              <w:t>Non.</w:t>
            </w:r>
          </w:p>
        </w:tc>
        <w:tc>
          <w:tcPr>
            <w:tcW w:w="538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5351C3C" w14:textId="77777777" w:rsidR="00A00259" w:rsidRDefault="00371282">
            <w:pPr>
              <w:pStyle w:val="P68B1DB1-Normal10"/>
              <w:keepNext/>
              <w:spacing w:before="40" w:after="0" w:line="259" w:lineRule="auto"/>
              <w:jc w:val="center"/>
              <w:rPr>
                <w:rFonts w:eastAsia="Times New Roman" w:cs="Times New Roman"/>
                <w:noProof/>
                <w:szCs w:val="18"/>
              </w:rPr>
            </w:pPr>
            <w:r>
              <w:rPr>
                <w:noProof/>
              </w:rPr>
              <w:t>Mesure connexe (réforme ou investissement)</w:t>
            </w:r>
          </w:p>
        </w:tc>
        <w:tc>
          <w:tcPr>
            <w:tcW w:w="16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188EF2F" w14:textId="77777777" w:rsidR="00A00259" w:rsidRDefault="00371282">
            <w:pPr>
              <w:pStyle w:val="P68B1DB1-Normal10"/>
              <w:keepNext/>
              <w:spacing w:before="40" w:after="0" w:line="259" w:lineRule="auto"/>
              <w:jc w:val="center"/>
              <w:rPr>
                <w:rFonts w:eastAsia="Times New Roman" w:cs="Times New Roman"/>
                <w:noProof/>
                <w:szCs w:val="18"/>
              </w:rPr>
            </w:pPr>
            <w:r>
              <w:rPr>
                <w:noProof/>
              </w:rPr>
              <w:t>Étape/cible</w:t>
            </w:r>
          </w:p>
        </w:tc>
        <w:tc>
          <w:tcPr>
            <w:tcW w:w="1756" w:type="dxa"/>
            <w:vMerge w:val="restart"/>
            <w:tcBorders>
              <w:top w:val="single" w:sz="4" w:space="0" w:color="auto"/>
              <w:left w:val="nil"/>
              <w:bottom w:val="single" w:sz="4" w:space="0" w:color="000000"/>
              <w:right w:val="single" w:sz="4" w:space="0" w:color="auto"/>
            </w:tcBorders>
            <w:shd w:val="clear" w:color="auto" w:fill="BDD7EE"/>
            <w:vAlign w:val="center"/>
            <w:hideMark/>
          </w:tcPr>
          <w:p w14:paraId="7D4C9930" w14:textId="77777777" w:rsidR="00A00259" w:rsidRDefault="00371282">
            <w:pPr>
              <w:pStyle w:val="P68B1DB1-Normal10"/>
              <w:keepNext/>
              <w:spacing w:before="40" w:after="0" w:line="259" w:lineRule="auto"/>
              <w:jc w:val="center"/>
              <w:rPr>
                <w:rFonts w:eastAsia="Times New Roman" w:cs="Times New Roman"/>
                <w:noProof/>
                <w:szCs w:val="18"/>
              </w:rPr>
            </w:pPr>
            <w:r>
              <w:rPr>
                <w:noProof/>
              </w:rPr>
              <w:t>Nom</w:t>
            </w:r>
          </w:p>
        </w:tc>
      </w:tr>
      <w:tr w:rsidR="00A00259" w14:paraId="23233DCD" w14:textId="77777777">
        <w:trPr>
          <w:trHeight w:val="276"/>
          <w:jc w:val="center"/>
        </w:trPr>
        <w:tc>
          <w:tcPr>
            <w:tcW w:w="704" w:type="dxa"/>
            <w:vMerge/>
            <w:tcBorders>
              <w:top w:val="single" w:sz="4" w:space="0" w:color="auto"/>
              <w:left w:val="single" w:sz="4" w:space="0" w:color="auto"/>
              <w:bottom w:val="single" w:sz="4" w:space="0" w:color="000000"/>
              <w:right w:val="single" w:sz="4" w:space="0" w:color="auto"/>
            </w:tcBorders>
            <w:vAlign w:val="center"/>
            <w:hideMark/>
          </w:tcPr>
          <w:p w14:paraId="07A929F9"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5383" w:type="dxa"/>
            <w:vMerge/>
            <w:tcBorders>
              <w:top w:val="single" w:sz="4" w:space="0" w:color="auto"/>
              <w:left w:val="single" w:sz="4" w:space="0" w:color="auto"/>
              <w:bottom w:val="single" w:sz="4" w:space="0" w:color="000000"/>
              <w:right w:val="single" w:sz="4" w:space="0" w:color="auto"/>
            </w:tcBorders>
            <w:vAlign w:val="center"/>
            <w:hideMark/>
          </w:tcPr>
          <w:p w14:paraId="7FBBDC31"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1692" w:type="dxa"/>
            <w:vMerge/>
            <w:tcBorders>
              <w:top w:val="single" w:sz="4" w:space="0" w:color="auto"/>
              <w:left w:val="single" w:sz="4" w:space="0" w:color="auto"/>
              <w:bottom w:val="single" w:sz="4" w:space="0" w:color="000000"/>
              <w:right w:val="single" w:sz="4" w:space="0" w:color="auto"/>
            </w:tcBorders>
            <w:vAlign w:val="center"/>
            <w:hideMark/>
          </w:tcPr>
          <w:p w14:paraId="64FB407B"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1756" w:type="dxa"/>
            <w:vMerge/>
            <w:tcBorders>
              <w:top w:val="single" w:sz="4" w:space="0" w:color="auto"/>
              <w:left w:val="nil"/>
              <w:bottom w:val="single" w:sz="4" w:space="0" w:color="000000"/>
              <w:right w:val="single" w:sz="4" w:space="0" w:color="auto"/>
            </w:tcBorders>
            <w:vAlign w:val="center"/>
            <w:hideMark/>
          </w:tcPr>
          <w:p w14:paraId="15E5921E"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r>
      <w:tr w:rsidR="00A00259" w14:paraId="0E28511B" w14:textId="77777777">
        <w:trPr>
          <w:trHeight w:val="302"/>
          <w:jc w:val="center"/>
        </w:trPr>
        <w:tc>
          <w:tcPr>
            <w:tcW w:w="704"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1A069E18" w14:textId="77777777" w:rsidR="00A00259" w:rsidRDefault="00371282">
            <w:pPr>
              <w:pStyle w:val="P68B1DB1-Normal55"/>
              <w:keepNext/>
              <w:spacing w:before="40" w:after="0" w:line="240" w:lineRule="auto"/>
              <w:jc w:val="both"/>
              <w:rPr>
                <w:rFonts w:eastAsia="Times New Roman" w:cs="Times New Roman"/>
                <w:noProof/>
                <w:szCs w:val="18"/>
              </w:rPr>
            </w:pPr>
            <w:r>
              <w:rPr>
                <w:noProof/>
              </w:rPr>
              <w:t>325 bis</w:t>
            </w:r>
          </w:p>
        </w:tc>
        <w:tc>
          <w:tcPr>
            <w:tcW w:w="5383" w:type="dxa"/>
            <w:tcBorders>
              <w:top w:val="single" w:sz="4" w:space="0" w:color="auto"/>
              <w:left w:val="nil"/>
              <w:bottom w:val="single" w:sz="4" w:space="0" w:color="auto"/>
              <w:right w:val="single" w:sz="4" w:space="0" w:color="auto"/>
            </w:tcBorders>
            <w:shd w:val="clear" w:color="000000" w:fill="C6EFCE"/>
            <w:noWrap/>
            <w:vAlign w:val="center"/>
            <w:hideMark/>
          </w:tcPr>
          <w:p w14:paraId="0AEBB02D"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4.7. Améliorer la compétitivité et promouvoir les investissements privés et les exportations - 16980_RRP Loan Facility</w:t>
            </w:r>
          </w:p>
        </w:tc>
        <w:tc>
          <w:tcPr>
            <w:tcW w:w="1692" w:type="dxa"/>
            <w:tcBorders>
              <w:top w:val="single" w:sz="4" w:space="0" w:color="auto"/>
              <w:left w:val="nil"/>
              <w:bottom w:val="single" w:sz="4" w:space="0" w:color="auto"/>
              <w:right w:val="single" w:sz="4" w:space="0" w:color="auto"/>
            </w:tcBorders>
            <w:shd w:val="clear" w:color="000000" w:fill="C6EFCE"/>
            <w:noWrap/>
            <w:vAlign w:val="center"/>
            <w:hideMark/>
          </w:tcPr>
          <w:p w14:paraId="0ED25D55"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Objectif</w:t>
            </w:r>
          </w:p>
        </w:tc>
        <w:tc>
          <w:tcPr>
            <w:tcW w:w="1756" w:type="dxa"/>
            <w:tcBorders>
              <w:top w:val="single" w:sz="4" w:space="0" w:color="auto"/>
              <w:left w:val="nil"/>
              <w:bottom w:val="single" w:sz="4" w:space="0" w:color="auto"/>
              <w:right w:val="single" w:sz="4" w:space="0" w:color="auto"/>
            </w:tcBorders>
            <w:shd w:val="clear" w:color="000000" w:fill="C6EFCE"/>
            <w:noWrap/>
            <w:vAlign w:val="center"/>
            <w:hideMark/>
          </w:tcPr>
          <w:p w14:paraId="3753351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4 518,4 millions d’EUR de fonds d’établissements financiers signés avec les bénéficiaires finaux</w:t>
            </w:r>
          </w:p>
        </w:tc>
      </w:tr>
      <w:tr w:rsidR="00A00259" w14:paraId="1A35C955" w14:textId="77777777">
        <w:trPr>
          <w:trHeight w:val="302"/>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BBC308E"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5383" w:type="dxa"/>
            <w:tcBorders>
              <w:top w:val="single" w:sz="4" w:space="0" w:color="auto"/>
              <w:left w:val="nil"/>
              <w:bottom w:val="single" w:sz="4" w:space="0" w:color="auto"/>
              <w:right w:val="single" w:sz="4" w:space="0" w:color="auto"/>
            </w:tcBorders>
            <w:shd w:val="clear" w:color="auto" w:fill="C6EFCE"/>
            <w:noWrap/>
            <w:vAlign w:val="bottom"/>
          </w:tcPr>
          <w:p w14:paraId="3D9F96D2" w14:textId="77777777" w:rsidR="00A00259" w:rsidRDefault="00A00259">
            <w:pPr>
              <w:keepNext/>
              <w:spacing w:before="40" w:after="0" w:line="240" w:lineRule="auto"/>
              <w:jc w:val="both"/>
              <w:rPr>
                <w:rFonts w:ascii="Times New Roman" w:eastAsia="Times New Roman" w:hAnsi="Times New Roman" w:cs="Times New Roman"/>
                <w:bCs/>
                <w:noProof/>
                <w:sz w:val="18"/>
                <w:szCs w:val="18"/>
              </w:rPr>
            </w:pPr>
          </w:p>
        </w:tc>
        <w:tc>
          <w:tcPr>
            <w:tcW w:w="1692" w:type="dxa"/>
            <w:tcBorders>
              <w:top w:val="single" w:sz="4" w:space="0" w:color="auto"/>
              <w:left w:val="nil"/>
              <w:bottom w:val="single" w:sz="4" w:space="0" w:color="auto"/>
              <w:right w:val="single" w:sz="4" w:space="0" w:color="auto"/>
            </w:tcBorders>
            <w:shd w:val="clear" w:color="auto" w:fill="C6EFCE"/>
            <w:noWrap/>
            <w:vAlign w:val="bottom"/>
          </w:tcPr>
          <w:p w14:paraId="2E69CAF6" w14:textId="77777777" w:rsidR="00A00259" w:rsidRDefault="00371282">
            <w:pPr>
              <w:pStyle w:val="P68B1DB1-Normal55"/>
              <w:keepNext/>
              <w:spacing w:before="40" w:after="0" w:line="240" w:lineRule="auto"/>
              <w:jc w:val="both"/>
              <w:rPr>
                <w:rFonts w:eastAsia="Times New Roman" w:cs="Times New Roman"/>
                <w:noProof/>
                <w:szCs w:val="18"/>
              </w:rPr>
            </w:pPr>
            <w:r>
              <w:rPr>
                <w:noProof/>
              </w:rPr>
              <w:t>Montant des acomptes provisionnels</w:t>
            </w:r>
          </w:p>
        </w:tc>
        <w:tc>
          <w:tcPr>
            <w:tcW w:w="1756" w:type="dxa"/>
            <w:tcBorders>
              <w:top w:val="single" w:sz="4" w:space="0" w:color="auto"/>
              <w:left w:val="nil"/>
              <w:bottom w:val="single" w:sz="4" w:space="0" w:color="auto"/>
              <w:right w:val="single" w:sz="4" w:space="0" w:color="auto"/>
            </w:tcBorders>
            <w:shd w:val="clear" w:color="auto" w:fill="C6EFCE"/>
            <w:noWrap/>
            <w:vAlign w:val="bottom"/>
          </w:tcPr>
          <w:p w14:paraId="2B9BFC96" w14:textId="77777777" w:rsidR="00A00259" w:rsidRDefault="00371282">
            <w:pPr>
              <w:pStyle w:val="P68B1DB1-Normal55"/>
              <w:keepNext/>
              <w:spacing w:before="40" w:after="0" w:line="240" w:lineRule="auto"/>
              <w:jc w:val="both"/>
              <w:rPr>
                <w:rFonts w:eastAsia="Times New Roman" w:cs="Times New Roman"/>
                <w:noProof/>
                <w:szCs w:val="18"/>
              </w:rPr>
            </w:pPr>
            <w:r>
              <w:rPr>
                <w:noProof/>
              </w:rPr>
              <w:t>2 534 514 342 EUR</w:t>
            </w:r>
          </w:p>
        </w:tc>
      </w:tr>
      <w:bookmarkEnd w:id="9"/>
    </w:tbl>
    <w:p w14:paraId="1C797642" w14:textId="77777777" w:rsidR="00A00259" w:rsidRDefault="00A00259">
      <w:pPr>
        <w:keepNext/>
        <w:spacing w:before="40" w:after="0" w:line="259" w:lineRule="auto"/>
        <w:jc w:val="both"/>
        <w:rPr>
          <w:rFonts w:ascii="Times New Roman" w:eastAsia="Times New Roman" w:hAnsi="Times New Roman" w:cs="Times New Roman"/>
          <w:bCs/>
          <w:noProof/>
          <w:sz w:val="24"/>
          <w:szCs w:val="26"/>
        </w:rPr>
      </w:pPr>
    </w:p>
    <w:p w14:paraId="7ABA742D" w14:textId="77777777" w:rsidR="00A00259" w:rsidRDefault="00371282">
      <w:pPr>
        <w:pStyle w:val="P68B1DB1-Normal5"/>
        <w:keepNext/>
        <w:numPr>
          <w:ilvl w:val="1"/>
          <w:numId w:val="106"/>
        </w:numPr>
        <w:spacing w:before="40" w:after="160" w:line="259" w:lineRule="auto"/>
        <w:ind w:left="0"/>
        <w:contextualSpacing/>
        <w:jc w:val="both"/>
        <w:rPr>
          <w:rFonts w:eastAsia="Times New Roman" w:cs="Times New Roman"/>
          <w:noProof/>
        </w:rPr>
      </w:pPr>
      <w:r>
        <w:rPr>
          <w:noProof/>
        </w:rPr>
        <w:t xml:space="preserve"> Cinquième demande de paiement (soutien au prêt): </w:t>
      </w:r>
    </w:p>
    <w:tbl>
      <w:tblPr>
        <w:tblW w:w="9519" w:type="dxa"/>
        <w:jc w:val="center"/>
        <w:tblLayout w:type="fixed"/>
        <w:tblLook w:val="04A0" w:firstRow="1" w:lastRow="0" w:firstColumn="1" w:lastColumn="0" w:noHBand="0" w:noVBand="1"/>
      </w:tblPr>
      <w:tblGrid>
        <w:gridCol w:w="675"/>
        <w:gridCol w:w="5412"/>
        <w:gridCol w:w="1692"/>
        <w:gridCol w:w="1740"/>
      </w:tblGrid>
      <w:tr w:rsidR="00A00259" w14:paraId="6795C043" w14:textId="77777777">
        <w:trPr>
          <w:trHeight w:val="906"/>
          <w:tblHeader/>
          <w:jc w:val="center"/>
        </w:trPr>
        <w:tc>
          <w:tcPr>
            <w:tcW w:w="67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5E07D702" w14:textId="77777777" w:rsidR="00A00259" w:rsidRDefault="00371282">
            <w:pPr>
              <w:pStyle w:val="P68B1DB1-Normal15"/>
              <w:keepNext/>
              <w:spacing w:before="40" w:after="0" w:line="240" w:lineRule="auto"/>
              <w:jc w:val="center"/>
              <w:rPr>
                <w:rFonts w:eastAsia="Times New Roman"/>
                <w:bCs/>
                <w:noProof/>
              </w:rPr>
            </w:pPr>
            <w:r>
              <w:rPr>
                <w:noProof/>
              </w:rPr>
              <w:t xml:space="preserve">Seq. </w:t>
            </w:r>
            <w:r>
              <w:rPr>
                <w:noProof/>
              </w:rPr>
              <w:br/>
              <w:t>Non.</w:t>
            </w:r>
          </w:p>
        </w:tc>
        <w:tc>
          <w:tcPr>
            <w:tcW w:w="541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6DD060E2" w14:textId="77777777" w:rsidR="00A00259" w:rsidRDefault="00371282">
            <w:pPr>
              <w:pStyle w:val="P68B1DB1-Normal10"/>
              <w:keepNext/>
              <w:spacing w:before="40" w:after="0" w:line="240" w:lineRule="auto"/>
              <w:jc w:val="center"/>
              <w:rPr>
                <w:rFonts w:eastAsia="Times New Roman" w:cs="Times New Roman"/>
                <w:bCs/>
                <w:noProof/>
                <w:szCs w:val="18"/>
              </w:rPr>
            </w:pPr>
            <w:r>
              <w:rPr>
                <w:noProof/>
              </w:rPr>
              <w:t>Mesure connexe (réforme ou investissement)</w:t>
            </w:r>
          </w:p>
        </w:tc>
        <w:tc>
          <w:tcPr>
            <w:tcW w:w="16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6E21B349" w14:textId="77777777" w:rsidR="00A00259" w:rsidRDefault="00371282">
            <w:pPr>
              <w:pStyle w:val="P68B1DB1-Normal10"/>
              <w:keepNext/>
              <w:spacing w:before="40" w:after="0" w:line="240" w:lineRule="auto"/>
              <w:jc w:val="center"/>
              <w:rPr>
                <w:rFonts w:eastAsia="Times New Roman" w:cs="Times New Roman"/>
                <w:bCs/>
                <w:noProof/>
                <w:szCs w:val="18"/>
              </w:rPr>
            </w:pPr>
            <w:r>
              <w:rPr>
                <w:noProof/>
              </w:rPr>
              <w:t>Étape/cible</w:t>
            </w:r>
          </w:p>
        </w:tc>
        <w:tc>
          <w:tcPr>
            <w:tcW w:w="1740" w:type="dxa"/>
            <w:vMerge w:val="restart"/>
            <w:tcBorders>
              <w:top w:val="single" w:sz="4" w:space="0" w:color="auto"/>
              <w:left w:val="nil"/>
              <w:bottom w:val="single" w:sz="4" w:space="0" w:color="000000"/>
              <w:right w:val="single" w:sz="4" w:space="0" w:color="auto"/>
            </w:tcBorders>
            <w:shd w:val="clear" w:color="auto" w:fill="BDD7EE"/>
            <w:vAlign w:val="center"/>
            <w:hideMark/>
          </w:tcPr>
          <w:p w14:paraId="1DE7FB05" w14:textId="77777777" w:rsidR="00A00259" w:rsidRDefault="00371282">
            <w:pPr>
              <w:pStyle w:val="P68B1DB1-Normal10"/>
              <w:keepNext/>
              <w:spacing w:before="40" w:after="0" w:line="240" w:lineRule="auto"/>
              <w:jc w:val="center"/>
              <w:rPr>
                <w:rFonts w:eastAsia="Times New Roman" w:cs="Times New Roman"/>
                <w:bCs/>
                <w:noProof/>
                <w:szCs w:val="18"/>
              </w:rPr>
            </w:pPr>
            <w:r>
              <w:rPr>
                <w:noProof/>
              </w:rPr>
              <w:t>Nom</w:t>
            </w:r>
          </w:p>
        </w:tc>
      </w:tr>
      <w:tr w:rsidR="00A00259" w14:paraId="0E1E1CC7" w14:textId="77777777">
        <w:trPr>
          <w:trHeight w:val="348"/>
          <w:tblHeader/>
          <w:jc w:val="center"/>
        </w:trPr>
        <w:tc>
          <w:tcPr>
            <w:tcW w:w="675" w:type="dxa"/>
            <w:vMerge/>
            <w:tcBorders>
              <w:top w:val="single" w:sz="4" w:space="0" w:color="auto"/>
              <w:left w:val="single" w:sz="4" w:space="0" w:color="auto"/>
              <w:bottom w:val="single" w:sz="4" w:space="0" w:color="000000"/>
              <w:right w:val="single" w:sz="4" w:space="0" w:color="auto"/>
            </w:tcBorders>
            <w:vAlign w:val="center"/>
            <w:hideMark/>
          </w:tcPr>
          <w:p w14:paraId="76FDB52F"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5412" w:type="dxa"/>
            <w:vMerge/>
            <w:tcBorders>
              <w:top w:val="single" w:sz="4" w:space="0" w:color="auto"/>
              <w:left w:val="single" w:sz="4" w:space="0" w:color="auto"/>
              <w:bottom w:val="single" w:sz="4" w:space="0" w:color="000000"/>
              <w:right w:val="single" w:sz="4" w:space="0" w:color="auto"/>
            </w:tcBorders>
            <w:vAlign w:val="center"/>
            <w:hideMark/>
          </w:tcPr>
          <w:p w14:paraId="7E1CCD06"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1692" w:type="dxa"/>
            <w:vMerge/>
            <w:tcBorders>
              <w:top w:val="single" w:sz="4" w:space="0" w:color="auto"/>
              <w:left w:val="single" w:sz="4" w:space="0" w:color="auto"/>
              <w:bottom w:val="single" w:sz="4" w:space="0" w:color="000000"/>
              <w:right w:val="single" w:sz="4" w:space="0" w:color="auto"/>
            </w:tcBorders>
            <w:vAlign w:val="center"/>
            <w:hideMark/>
          </w:tcPr>
          <w:p w14:paraId="31F2503F"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1740" w:type="dxa"/>
            <w:vMerge/>
            <w:tcBorders>
              <w:top w:val="single" w:sz="4" w:space="0" w:color="auto"/>
              <w:left w:val="nil"/>
              <w:bottom w:val="single" w:sz="4" w:space="0" w:color="000000"/>
              <w:right w:val="single" w:sz="4" w:space="0" w:color="auto"/>
            </w:tcBorders>
            <w:vAlign w:val="center"/>
            <w:hideMark/>
          </w:tcPr>
          <w:p w14:paraId="37FD5E79"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r>
      <w:tr w:rsidR="00A00259" w14:paraId="61F797A2" w14:textId="77777777">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3442C972" w14:textId="77777777" w:rsidR="00A00259" w:rsidRDefault="00371282">
            <w:pPr>
              <w:pStyle w:val="P68B1DB1-Normal55"/>
              <w:keepNext/>
              <w:spacing w:before="40" w:after="0" w:line="240" w:lineRule="auto"/>
              <w:jc w:val="both"/>
              <w:rPr>
                <w:rFonts w:eastAsia="Times New Roman" w:cs="Times New Roman"/>
                <w:noProof/>
                <w:szCs w:val="18"/>
              </w:rPr>
            </w:pPr>
            <w:r>
              <w:rPr>
                <w:noProof/>
              </w:rPr>
              <w:t>374</w:t>
            </w:r>
          </w:p>
        </w:tc>
        <w:tc>
          <w:tcPr>
            <w:tcW w:w="5412" w:type="dxa"/>
            <w:tcBorders>
              <w:top w:val="single" w:sz="4" w:space="0" w:color="auto"/>
              <w:left w:val="nil"/>
              <w:bottom w:val="single" w:sz="4" w:space="0" w:color="auto"/>
              <w:right w:val="single" w:sz="4" w:space="0" w:color="auto"/>
            </w:tcBorders>
            <w:shd w:val="clear" w:color="000000" w:fill="C6EFCE"/>
            <w:noWrap/>
            <w:vAlign w:val="center"/>
          </w:tcPr>
          <w:p w14:paraId="0136FB6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2 - 1.2. 16401_Programme de modernisation de l'énergie «Upgrade My Home»</w:t>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35564700"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1740" w:type="dxa"/>
            <w:tcBorders>
              <w:top w:val="single" w:sz="4" w:space="0" w:color="auto"/>
              <w:left w:val="nil"/>
              <w:bottom w:val="single" w:sz="4" w:space="0" w:color="auto"/>
              <w:right w:val="single" w:sz="4" w:space="0" w:color="auto"/>
            </w:tcBorders>
            <w:shd w:val="clear" w:color="000000" w:fill="C6EFCE"/>
            <w:noWrap/>
            <w:vAlign w:val="center"/>
          </w:tcPr>
          <w:p w14:paraId="49EE9C86"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Upgrade My Home - Accord de mise en œuvre entre la Banque hellénique de développement et le ministère des finances</w:t>
            </w:r>
          </w:p>
        </w:tc>
      </w:tr>
      <w:tr w:rsidR="00A00259" w14:paraId="3EAB73D0" w14:textId="77777777">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72810701" w14:textId="77777777" w:rsidR="00A00259" w:rsidRDefault="00371282">
            <w:pPr>
              <w:pStyle w:val="P68B1DB1-Normal55"/>
              <w:keepNext/>
              <w:spacing w:before="40" w:after="0" w:line="240" w:lineRule="auto"/>
              <w:jc w:val="both"/>
              <w:rPr>
                <w:rFonts w:eastAsia="Times New Roman" w:cs="Times New Roman"/>
                <w:noProof/>
                <w:szCs w:val="18"/>
              </w:rPr>
            </w:pPr>
            <w:r>
              <w:rPr>
                <w:noProof/>
              </w:rPr>
              <w:t>378</w:t>
            </w:r>
          </w:p>
        </w:tc>
        <w:tc>
          <w:tcPr>
            <w:tcW w:w="5412" w:type="dxa"/>
            <w:tcBorders>
              <w:top w:val="single" w:sz="4" w:space="0" w:color="auto"/>
              <w:left w:val="nil"/>
              <w:bottom w:val="single" w:sz="4" w:space="0" w:color="auto"/>
              <w:right w:val="single" w:sz="4" w:space="0" w:color="auto"/>
            </w:tcBorders>
            <w:shd w:val="clear" w:color="000000" w:fill="C6EFCE"/>
            <w:noWrap/>
            <w:vAlign w:val="center"/>
          </w:tcPr>
          <w:p w14:paraId="5AF69371"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11 - 3.4. «Améliorer l’accès à des politiques sociales efficaces et inclusives» - 16400_Programme de logement abordable «My Home II»</w:t>
            </w:r>
            <w:r>
              <w:rPr>
                <w:noProof/>
              </w:rPr>
              <w:tab/>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40834D69"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Étape</w:t>
            </w:r>
          </w:p>
        </w:tc>
        <w:tc>
          <w:tcPr>
            <w:tcW w:w="1740" w:type="dxa"/>
            <w:tcBorders>
              <w:top w:val="single" w:sz="4" w:space="0" w:color="auto"/>
              <w:left w:val="nil"/>
              <w:bottom w:val="single" w:sz="4" w:space="0" w:color="auto"/>
              <w:right w:val="single" w:sz="4" w:space="0" w:color="auto"/>
            </w:tcBorders>
            <w:shd w:val="clear" w:color="000000" w:fill="C6EFCE"/>
            <w:noWrap/>
            <w:vAlign w:val="center"/>
          </w:tcPr>
          <w:p w14:paraId="083D9C8D"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My Home II - Accord de mise en œuvre entre la Banque hellénique de développement et le ministère des finances</w:t>
            </w:r>
          </w:p>
        </w:tc>
      </w:tr>
      <w:tr w:rsidR="00A00259" w14:paraId="1C9A9AD0" w14:textId="77777777">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5286BAF1" w14:textId="77777777" w:rsidR="00A00259" w:rsidRDefault="00371282">
            <w:pPr>
              <w:pStyle w:val="P68B1DB1-Normal55"/>
              <w:keepNext/>
              <w:spacing w:before="40" w:after="0" w:line="240" w:lineRule="auto"/>
              <w:jc w:val="both"/>
              <w:rPr>
                <w:noProof/>
              </w:rPr>
            </w:pPr>
            <w:r>
              <w:rPr>
                <w:noProof/>
              </w:rPr>
              <w:t>326</w:t>
            </w:r>
          </w:p>
        </w:tc>
        <w:tc>
          <w:tcPr>
            <w:tcW w:w="5412" w:type="dxa"/>
            <w:tcBorders>
              <w:top w:val="single" w:sz="4" w:space="0" w:color="auto"/>
              <w:left w:val="nil"/>
              <w:bottom w:val="single" w:sz="4" w:space="0" w:color="auto"/>
              <w:right w:val="single" w:sz="4" w:space="0" w:color="auto"/>
            </w:tcBorders>
            <w:shd w:val="clear" w:color="000000" w:fill="C6EFCE"/>
            <w:noWrap/>
            <w:vAlign w:val="center"/>
          </w:tcPr>
          <w:p w14:paraId="15BE9B3A" w14:textId="77777777" w:rsidR="00A00259" w:rsidRDefault="00371282">
            <w:pPr>
              <w:pStyle w:val="P68B1DB1-Normal55"/>
              <w:keepNext/>
              <w:spacing w:before="40" w:after="0" w:line="240" w:lineRule="auto"/>
              <w:jc w:val="both"/>
              <w:rPr>
                <w:noProof/>
              </w:rPr>
            </w:pPr>
            <w:r>
              <w:rPr>
                <w:noProof/>
              </w:rPr>
              <w:t>4.7. Améliorer la compétitivité et promouvoir les investissements privés et les exportations - 16980_RRP Loan Facility</w:t>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4C55B438" w14:textId="77777777" w:rsidR="00A00259" w:rsidRDefault="00371282">
            <w:pPr>
              <w:pStyle w:val="P68B1DB1-Normal55"/>
              <w:keepNext/>
              <w:spacing w:before="40" w:after="0" w:line="240" w:lineRule="auto"/>
              <w:jc w:val="both"/>
              <w:rPr>
                <w:noProof/>
              </w:rPr>
            </w:pPr>
            <w:r>
              <w:rPr>
                <w:noProof/>
              </w:rPr>
              <w:t>Objectif</w:t>
            </w:r>
          </w:p>
        </w:tc>
        <w:tc>
          <w:tcPr>
            <w:tcW w:w="1740" w:type="dxa"/>
            <w:tcBorders>
              <w:top w:val="single" w:sz="4" w:space="0" w:color="auto"/>
              <w:left w:val="nil"/>
              <w:bottom w:val="single" w:sz="4" w:space="0" w:color="auto"/>
              <w:right w:val="single" w:sz="4" w:space="0" w:color="auto"/>
            </w:tcBorders>
            <w:shd w:val="clear" w:color="000000" w:fill="C6EFCE"/>
            <w:noWrap/>
            <w:vAlign w:val="center"/>
          </w:tcPr>
          <w:p w14:paraId="0EEFB25F" w14:textId="77777777" w:rsidR="00A00259" w:rsidRDefault="00371282">
            <w:pPr>
              <w:pStyle w:val="P68B1DB1-Normal55"/>
              <w:keepNext/>
              <w:spacing w:before="40" w:after="0" w:line="240" w:lineRule="auto"/>
              <w:jc w:val="both"/>
              <w:rPr>
                <w:noProof/>
              </w:rPr>
            </w:pPr>
            <w:r>
              <w:rPr>
                <w:noProof/>
              </w:rPr>
              <w:t>7 064 millions d’EUR de fonds d’établissements financiers signés avec les bénéficiaires finaux</w:t>
            </w:r>
          </w:p>
        </w:tc>
      </w:tr>
      <w:tr w:rsidR="00A00259" w14:paraId="64ED3BB3" w14:textId="77777777">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231EF28"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5412" w:type="dxa"/>
            <w:tcBorders>
              <w:top w:val="single" w:sz="4" w:space="0" w:color="auto"/>
              <w:left w:val="nil"/>
              <w:bottom w:val="single" w:sz="4" w:space="0" w:color="auto"/>
              <w:right w:val="single" w:sz="4" w:space="0" w:color="auto"/>
            </w:tcBorders>
            <w:shd w:val="clear" w:color="auto" w:fill="C6EFCE"/>
            <w:noWrap/>
            <w:vAlign w:val="bottom"/>
          </w:tcPr>
          <w:p w14:paraId="00B0CA52" w14:textId="77777777" w:rsidR="00A00259" w:rsidRDefault="00A00259">
            <w:pPr>
              <w:keepNext/>
              <w:spacing w:before="40" w:after="0" w:line="240" w:lineRule="auto"/>
              <w:jc w:val="both"/>
              <w:rPr>
                <w:rFonts w:ascii="Times New Roman" w:eastAsia="Times New Roman" w:hAnsi="Times New Roman" w:cs="Times New Roman"/>
                <w:bCs/>
                <w:noProof/>
                <w:sz w:val="18"/>
                <w:szCs w:val="18"/>
              </w:rPr>
            </w:pPr>
          </w:p>
        </w:tc>
        <w:tc>
          <w:tcPr>
            <w:tcW w:w="1692" w:type="dxa"/>
            <w:tcBorders>
              <w:top w:val="single" w:sz="4" w:space="0" w:color="auto"/>
              <w:left w:val="nil"/>
              <w:bottom w:val="single" w:sz="4" w:space="0" w:color="auto"/>
              <w:right w:val="single" w:sz="4" w:space="0" w:color="auto"/>
            </w:tcBorders>
            <w:shd w:val="clear" w:color="auto" w:fill="C6EFCE"/>
            <w:noWrap/>
            <w:vAlign w:val="bottom"/>
          </w:tcPr>
          <w:p w14:paraId="194E57C6" w14:textId="77777777" w:rsidR="00A00259" w:rsidRDefault="00371282">
            <w:pPr>
              <w:pStyle w:val="P68B1DB1-Normal55"/>
              <w:keepNext/>
              <w:spacing w:before="40" w:after="0" w:line="240" w:lineRule="auto"/>
              <w:jc w:val="both"/>
              <w:rPr>
                <w:rFonts w:eastAsia="Times New Roman" w:cs="Times New Roman"/>
                <w:noProof/>
                <w:szCs w:val="18"/>
              </w:rPr>
            </w:pPr>
            <w:r>
              <w:rPr>
                <w:noProof/>
              </w:rPr>
              <w:t>Montant des acomptes provisionnels</w:t>
            </w:r>
          </w:p>
        </w:tc>
        <w:tc>
          <w:tcPr>
            <w:tcW w:w="1740" w:type="dxa"/>
            <w:tcBorders>
              <w:top w:val="single" w:sz="4" w:space="0" w:color="auto"/>
              <w:left w:val="nil"/>
              <w:bottom w:val="single" w:sz="4" w:space="0" w:color="auto"/>
              <w:right w:val="single" w:sz="4" w:space="0" w:color="auto"/>
            </w:tcBorders>
            <w:shd w:val="clear" w:color="auto" w:fill="C6EFCE"/>
            <w:noWrap/>
            <w:vAlign w:val="bottom"/>
          </w:tcPr>
          <w:p w14:paraId="6D8A124E" w14:textId="77777777" w:rsidR="00A00259" w:rsidRDefault="00371282">
            <w:pPr>
              <w:pStyle w:val="P68B1DB1-Normal55"/>
              <w:keepNext/>
              <w:spacing w:before="40" w:after="0" w:line="240" w:lineRule="auto"/>
              <w:jc w:val="both"/>
              <w:rPr>
                <w:rFonts w:eastAsia="Times New Roman" w:cs="Times New Roman"/>
                <w:noProof/>
                <w:szCs w:val="18"/>
              </w:rPr>
            </w:pPr>
            <w:r>
              <w:rPr>
                <w:noProof/>
              </w:rPr>
              <w:t>1 940 000 000 EUR</w:t>
            </w:r>
          </w:p>
        </w:tc>
      </w:tr>
    </w:tbl>
    <w:p w14:paraId="7B857E6B" w14:textId="77777777" w:rsidR="00A00259" w:rsidRDefault="00A00259">
      <w:pPr>
        <w:keepNext/>
        <w:spacing w:before="40" w:after="160" w:line="259" w:lineRule="auto"/>
        <w:contextualSpacing/>
        <w:jc w:val="both"/>
        <w:rPr>
          <w:rFonts w:ascii="Times New Roman" w:eastAsia="Times New Roman" w:hAnsi="Times New Roman" w:cs="Times New Roman"/>
          <w:noProof/>
          <w:sz w:val="24"/>
        </w:rPr>
      </w:pPr>
    </w:p>
    <w:p w14:paraId="500CDA8B" w14:textId="77777777" w:rsidR="00A00259" w:rsidRDefault="00A00259">
      <w:pPr>
        <w:keepNext/>
        <w:spacing w:before="40" w:after="160" w:line="259" w:lineRule="auto"/>
        <w:contextualSpacing/>
        <w:jc w:val="both"/>
        <w:rPr>
          <w:rFonts w:ascii="Times New Roman" w:eastAsia="Times New Roman" w:hAnsi="Times New Roman" w:cs="Times New Roman"/>
          <w:noProof/>
          <w:sz w:val="24"/>
        </w:rPr>
      </w:pPr>
    </w:p>
    <w:p w14:paraId="769A0DBA" w14:textId="77777777" w:rsidR="00A00259" w:rsidRDefault="00A00259">
      <w:pPr>
        <w:keepNext/>
        <w:spacing w:before="40" w:after="160" w:line="259" w:lineRule="auto"/>
        <w:contextualSpacing/>
        <w:jc w:val="both"/>
        <w:rPr>
          <w:rFonts w:ascii="Times New Roman" w:eastAsia="Times New Roman" w:hAnsi="Times New Roman" w:cs="Times New Roman"/>
          <w:noProof/>
          <w:sz w:val="24"/>
        </w:rPr>
      </w:pPr>
    </w:p>
    <w:p w14:paraId="1471BAB9" w14:textId="77777777" w:rsidR="00A00259" w:rsidRDefault="00A00259">
      <w:pPr>
        <w:keepNext/>
        <w:spacing w:before="40" w:after="160" w:line="259" w:lineRule="auto"/>
        <w:contextualSpacing/>
        <w:jc w:val="both"/>
        <w:rPr>
          <w:rFonts w:ascii="Times New Roman" w:eastAsia="Times New Roman" w:hAnsi="Times New Roman" w:cs="Times New Roman"/>
          <w:noProof/>
          <w:sz w:val="24"/>
        </w:rPr>
      </w:pPr>
    </w:p>
    <w:p w14:paraId="416FFD46" w14:textId="77777777" w:rsidR="00A00259" w:rsidRDefault="00A00259">
      <w:pPr>
        <w:keepNext/>
        <w:spacing w:before="40" w:after="160" w:line="259" w:lineRule="auto"/>
        <w:contextualSpacing/>
        <w:jc w:val="both"/>
        <w:rPr>
          <w:rFonts w:ascii="Times New Roman" w:eastAsia="Times New Roman" w:hAnsi="Times New Roman" w:cs="Times New Roman"/>
          <w:noProof/>
          <w:sz w:val="24"/>
        </w:rPr>
      </w:pPr>
    </w:p>
    <w:p w14:paraId="3B12CA29" w14:textId="77777777" w:rsidR="00A00259" w:rsidRDefault="00A00259">
      <w:pPr>
        <w:keepNext/>
        <w:spacing w:before="40" w:after="160" w:line="259" w:lineRule="auto"/>
        <w:contextualSpacing/>
        <w:jc w:val="both"/>
        <w:rPr>
          <w:rFonts w:ascii="Times New Roman" w:eastAsia="Times New Roman" w:hAnsi="Times New Roman" w:cs="Times New Roman"/>
          <w:noProof/>
          <w:sz w:val="24"/>
        </w:rPr>
      </w:pPr>
    </w:p>
    <w:p w14:paraId="7C181FE9" w14:textId="00543F73" w:rsidR="00A00259" w:rsidRDefault="00371282">
      <w:pPr>
        <w:pStyle w:val="P68B1DB1-Normal5"/>
        <w:keepNext/>
        <w:numPr>
          <w:ilvl w:val="1"/>
          <w:numId w:val="106"/>
        </w:numPr>
        <w:spacing w:before="40" w:after="160" w:line="259" w:lineRule="auto"/>
        <w:ind w:left="0"/>
        <w:contextualSpacing/>
        <w:jc w:val="both"/>
        <w:rPr>
          <w:rFonts w:eastAsia="Times New Roman" w:cs="Times New Roman"/>
          <w:noProof/>
        </w:rPr>
      </w:pPr>
      <w:r>
        <w:rPr>
          <w:noProof/>
        </w:rPr>
        <w:t xml:space="preserve"> Sixième demande de paiement (soutien au prêt): </w:t>
      </w:r>
    </w:p>
    <w:tbl>
      <w:tblPr>
        <w:tblW w:w="9951" w:type="dxa"/>
        <w:jc w:val="center"/>
        <w:tblLook w:val="04A0" w:firstRow="1" w:lastRow="0" w:firstColumn="1" w:lastColumn="0" w:noHBand="0" w:noVBand="1"/>
      </w:tblPr>
      <w:tblGrid>
        <w:gridCol w:w="846"/>
        <w:gridCol w:w="5241"/>
        <w:gridCol w:w="1692"/>
        <w:gridCol w:w="2172"/>
      </w:tblGrid>
      <w:tr w:rsidR="00A00259" w14:paraId="08A0A639" w14:textId="77777777">
        <w:trPr>
          <w:trHeight w:val="906"/>
          <w:jc w:val="center"/>
        </w:trPr>
        <w:tc>
          <w:tcPr>
            <w:tcW w:w="846"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48D1E56" w14:textId="77777777" w:rsidR="00A00259" w:rsidRDefault="00371282">
            <w:pPr>
              <w:pStyle w:val="P68B1DB1-Normal15"/>
              <w:keepNext/>
              <w:spacing w:before="40" w:after="0" w:line="259" w:lineRule="auto"/>
              <w:jc w:val="center"/>
              <w:rPr>
                <w:rFonts w:eastAsia="Times New Roman"/>
                <w:bCs/>
                <w:noProof/>
              </w:rPr>
            </w:pPr>
            <w:r>
              <w:rPr>
                <w:noProof/>
              </w:rPr>
              <w:t xml:space="preserve">Seq. </w:t>
            </w:r>
            <w:r>
              <w:rPr>
                <w:noProof/>
              </w:rPr>
              <w:br/>
              <w:t>Non.</w:t>
            </w:r>
          </w:p>
        </w:tc>
        <w:tc>
          <w:tcPr>
            <w:tcW w:w="5241"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74D1AA45"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Mesure connexe (réforme ou investissement)</w:t>
            </w:r>
          </w:p>
        </w:tc>
        <w:tc>
          <w:tcPr>
            <w:tcW w:w="16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A7E21E3"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Étape/cible</w:t>
            </w:r>
          </w:p>
        </w:tc>
        <w:tc>
          <w:tcPr>
            <w:tcW w:w="2172" w:type="dxa"/>
            <w:vMerge w:val="restart"/>
            <w:tcBorders>
              <w:top w:val="single" w:sz="4" w:space="0" w:color="auto"/>
              <w:left w:val="nil"/>
              <w:bottom w:val="single" w:sz="4" w:space="0" w:color="000000"/>
              <w:right w:val="single" w:sz="4" w:space="0" w:color="auto"/>
            </w:tcBorders>
            <w:shd w:val="clear" w:color="auto" w:fill="BDD7EE"/>
            <w:vAlign w:val="center"/>
            <w:hideMark/>
          </w:tcPr>
          <w:p w14:paraId="43E6CF04"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Nom</w:t>
            </w:r>
          </w:p>
        </w:tc>
      </w:tr>
      <w:tr w:rsidR="00A00259" w14:paraId="1DC8B989" w14:textId="77777777">
        <w:trPr>
          <w:trHeight w:val="308"/>
          <w:jc w:val="center"/>
        </w:trPr>
        <w:tc>
          <w:tcPr>
            <w:tcW w:w="846" w:type="dxa"/>
            <w:vMerge/>
            <w:tcBorders>
              <w:top w:val="single" w:sz="4" w:space="0" w:color="auto"/>
              <w:left w:val="single" w:sz="4" w:space="0" w:color="auto"/>
              <w:bottom w:val="single" w:sz="4" w:space="0" w:color="000000"/>
              <w:right w:val="single" w:sz="4" w:space="0" w:color="auto"/>
            </w:tcBorders>
            <w:vAlign w:val="center"/>
            <w:hideMark/>
          </w:tcPr>
          <w:p w14:paraId="16157D0D"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5241" w:type="dxa"/>
            <w:vMerge/>
            <w:tcBorders>
              <w:top w:val="single" w:sz="4" w:space="0" w:color="auto"/>
              <w:left w:val="single" w:sz="4" w:space="0" w:color="auto"/>
              <w:bottom w:val="single" w:sz="4" w:space="0" w:color="000000"/>
              <w:right w:val="single" w:sz="4" w:space="0" w:color="auto"/>
            </w:tcBorders>
            <w:vAlign w:val="center"/>
            <w:hideMark/>
          </w:tcPr>
          <w:p w14:paraId="516B12DF"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1692" w:type="dxa"/>
            <w:vMerge/>
            <w:tcBorders>
              <w:top w:val="single" w:sz="4" w:space="0" w:color="auto"/>
              <w:left w:val="single" w:sz="4" w:space="0" w:color="auto"/>
              <w:bottom w:val="single" w:sz="4" w:space="0" w:color="000000"/>
              <w:right w:val="single" w:sz="4" w:space="0" w:color="auto"/>
            </w:tcBorders>
            <w:vAlign w:val="center"/>
            <w:hideMark/>
          </w:tcPr>
          <w:p w14:paraId="13BFC2DE"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2172" w:type="dxa"/>
            <w:vMerge/>
            <w:tcBorders>
              <w:top w:val="single" w:sz="4" w:space="0" w:color="auto"/>
              <w:left w:val="nil"/>
              <w:bottom w:val="single" w:sz="4" w:space="0" w:color="000000"/>
              <w:right w:val="single" w:sz="4" w:space="0" w:color="auto"/>
            </w:tcBorders>
            <w:vAlign w:val="center"/>
            <w:hideMark/>
          </w:tcPr>
          <w:p w14:paraId="3EA3678F"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r>
      <w:tr w:rsidR="00A00259" w14:paraId="16BB1756" w14:textId="77777777">
        <w:trPr>
          <w:trHeight w:val="302"/>
          <w:jc w:val="center"/>
        </w:trPr>
        <w:tc>
          <w:tcPr>
            <w:tcW w:w="846"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3882756B" w14:textId="77777777" w:rsidR="00A00259" w:rsidRDefault="00371282">
            <w:pPr>
              <w:pStyle w:val="P68B1DB1-Normal55"/>
              <w:keepNext/>
              <w:spacing w:before="40" w:after="0" w:line="240" w:lineRule="auto"/>
              <w:jc w:val="both"/>
              <w:rPr>
                <w:rFonts w:eastAsia="Times New Roman" w:cs="Times New Roman"/>
                <w:noProof/>
                <w:szCs w:val="18"/>
              </w:rPr>
            </w:pPr>
            <w:r>
              <w:rPr>
                <w:noProof/>
              </w:rPr>
              <w:t>379</w:t>
            </w:r>
          </w:p>
        </w:tc>
        <w:tc>
          <w:tcPr>
            <w:tcW w:w="5241" w:type="dxa"/>
            <w:tcBorders>
              <w:top w:val="single" w:sz="4" w:space="0" w:color="auto"/>
              <w:left w:val="nil"/>
              <w:bottom w:val="single" w:sz="4" w:space="0" w:color="auto"/>
              <w:right w:val="single" w:sz="4" w:space="0" w:color="auto"/>
            </w:tcBorders>
            <w:shd w:val="clear" w:color="000000" w:fill="C6EFCE"/>
            <w:noWrap/>
            <w:vAlign w:val="center"/>
          </w:tcPr>
          <w:p w14:paraId="7FDF49A2"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11 - 3.4. «Améliorer l’accès à des politiques sociales efficaces et inclusives» - 16400_Programme de logement abordable «My Home II»</w:t>
            </w:r>
            <w:r>
              <w:rPr>
                <w:noProof/>
              </w:rPr>
              <w:tab/>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3418BBCC" w14:textId="77777777" w:rsidR="00A00259" w:rsidRDefault="00371282">
            <w:pPr>
              <w:pStyle w:val="P68B1DB1-Normal55"/>
              <w:keepNext/>
              <w:spacing w:before="40" w:after="0" w:line="240" w:lineRule="auto"/>
              <w:jc w:val="both"/>
              <w:rPr>
                <w:rFonts w:eastAsia="Times New Roman" w:cs="Times New Roman"/>
                <w:bCs/>
                <w:noProof/>
                <w:szCs w:val="18"/>
              </w:rPr>
            </w:pPr>
            <w:r>
              <w:rPr>
                <w:noProof/>
              </w:rPr>
              <w:t>Objectif</w:t>
            </w:r>
          </w:p>
        </w:tc>
        <w:tc>
          <w:tcPr>
            <w:tcW w:w="2172" w:type="dxa"/>
            <w:tcBorders>
              <w:top w:val="single" w:sz="4" w:space="0" w:color="auto"/>
              <w:left w:val="nil"/>
              <w:bottom w:val="single" w:sz="4" w:space="0" w:color="auto"/>
              <w:right w:val="single" w:sz="4" w:space="0" w:color="auto"/>
            </w:tcBorders>
            <w:shd w:val="clear" w:color="000000" w:fill="C6EFCE"/>
            <w:noWrap/>
            <w:vAlign w:val="center"/>
          </w:tcPr>
          <w:p w14:paraId="33E942F9" w14:textId="77777777" w:rsidR="00A00259" w:rsidRDefault="00371282">
            <w:pPr>
              <w:pStyle w:val="P68B1DB1-Normal58"/>
              <w:keepNext/>
              <w:spacing w:before="40" w:after="0" w:line="240" w:lineRule="auto"/>
              <w:jc w:val="both"/>
              <w:rPr>
                <w:bCs/>
                <w:noProof/>
              </w:rPr>
            </w:pPr>
            <w:r>
              <w:rPr>
                <w:noProof/>
              </w:rPr>
              <w:t>My Home II - Conventions juridiques signées avec les bénéficiaires finaux - 50%</w:t>
            </w:r>
          </w:p>
        </w:tc>
      </w:tr>
      <w:tr w:rsidR="00A00259" w14:paraId="61D1288C" w14:textId="77777777">
        <w:trPr>
          <w:trHeight w:val="302"/>
          <w:jc w:val="center"/>
        </w:trPr>
        <w:tc>
          <w:tcPr>
            <w:tcW w:w="846"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227AFFA8" w14:textId="77777777" w:rsidR="00A00259" w:rsidRDefault="00371282">
            <w:pPr>
              <w:pStyle w:val="P68B1DB1-Normal55"/>
              <w:keepNext/>
              <w:spacing w:before="40" w:after="0" w:line="240" w:lineRule="auto"/>
              <w:jc w:val="both"/>
              <w:rPr>
                <w:noProof/>
              </w:rPr>
            </w:pPr>
            <w:r>
              <w:rPr>
                <w:noProof/>
              </w:rPr>
              <w:t>327</w:t>
            </w:r>
          </w:p>
        </w:tc>
        <w:tc>
          <w:tcPr>
            <w:tcW w:w="5241" w:type="dxa"/>
            <w:tcBorders>
              <w:top w:val="single" w:sz="4" w:space="0" w:color="auto"/>
              <w:left w:val="nil"/>
              <w:bottom w:val="single" w:sz="4" w:space="0" w:color="auto"/>
              <w:right w:val="single" w:sz="4" w:space="0" w:color="auto"/>
            </w:tcBorders>
            <w:shd w:val="clear" w:color="000000" w:fill="C6EFCE"/>
            <w:noWrap/>
            <w:vAlign w:val="center"/>
          </w:tcPr>
          <w:p w14:paraId="63AE9976" w14:textId="77777777" w:rsidR="00A00259" w:rsidRDefault="00371282">
            <w:pPr>
              <w:pStyle w:val="P68B1DB1-Normal55"/>
              <w:keepNext/>
              <w:spacing w:before="40" w:after="0" w:line="240" w:lineRule="auto"/>
              <w:jc w:val="both"/>
              <w:rPr>
                <w:noProof/>
              </w:rPr>
            </w:pPr>
            <w:r>
              <w:rPr>
                <w:noProof/>
              </w:rPr>
              <w:t>4.7. Améliorer la compétitivité et promouvoir les investissements privés et les exportations - 16980_RRP Loan Facility</w:t>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3C421E02" w14:textId="77777777" w:rsidR="00A00259" w:rsidRDefault="00371282">
            <w:pPr>
              <w:pStyle w:val="P68B1DB1-Normal55"/>
              <w:keepNext/>
              <w:spacing w:before="40" w:after="0" w:line="240" w:lineRule="auto"/>
              <w:jc w:val="both"/>
              <w:rPr>
                <w:noProof/>
              </w:rPr>
            </w:pPr>
            <w:r>
              <w:rPr>
                <w:noProof/>
              </w:rPr>
              <w:t>Objectif</w:t>
            </w:r>
          </w:p>
        </w:tc>
        <w:tc>
          <w:tcPr>
            <w:tcW w:w="2172" w:type="dxa"/>
            <w:tcBorders>
              <w:top w:val="single" w:sz="4" w:space="0" w:color="auto"/>
              <w:left w:val="nil"/>
              <w:bottom w:val="single" w:sz="4" w:space="0" w:color="auto"/>
              <w:right w:val="single" w:sz="4" w:space="0" w:color="auto"/>
            </w:tcBorders>
            <w:shd w:val="clear" w:color="000000" w:fill="C6EFCE"/>
            <w:noWrap/>
            <w:vAlign w:val="center"/>
          </w:tcPr>
          <w:p w14:paraId="4F85F9E8" w14:textId="77777777" w:rsidR="00A00259" w:rsidRDefault="00371282">
            <w:pPr>
              <w:pStyle w:val="P68B1DB1-Normal55"/>
              <w:keepNext/>
              <w:spacing w:before="40" w:after="0" w:line="240" w:lineRule="auto"/>
              <w:jc w:val="both"/>
              <w:rPr>
                <w:noProof/>
              </w:rPr>
            </w:pPr>
            <w:r>
              <w:rPr>
                <w:noProof/>
              </w:rPr>
              <w:t>9 800 millions d’EUR de fonds d’établissements financiers signés avec les bénéficiaires finaux</w:t>
            </w:r>
          </w:p>
        </w:tc>
      </w:tr>
      <w:tr w:rsidR="00A00259" w14:paraId="36462C06" w14:textId="77777777">
        <w:trPr>
          <w:trHeight w:val="302"/>
          <w:jc w:val="center"/>
        </w:trPr>
        <w:tc>
          <w:tcPr>
            <w:tcW w:w="846"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300D78F3" w14:textId="77777777" w:rsidR="00A00259" w:rsidRDefault="00371282">
            <w:pPr>
              <w:pStyle w:val="P68B1DB1-Normal55"/>
              <w:keepNext/>
              <w:spacing w:before="40" w:after="0" w:line="240" w:lineRule="auto"/>
              <w:jc w:val="both"/>
              <w:rPr>
                <w:noProof/>
              </w:rPr>
            </w:pPr>
            <w:r>
              <w:rPr>
                <w:noProof/>
              </w:rPr>
              <w:t>329</w:t>
            </w:r>
          </w:p>
        </w:tc>
        <w:tc>
          <w:tcPr>
            <w:tcW w:w="5241" w:type="dxa"/>
            <w:tcBorders>
              <w:top w:val="single" w:sz="4" w:space="0" w:color="auto"/>
              <w:left w:val="nil"/>
              <w:bottom w:val="single" w:sz="4" w:space="0" w:color="auto"/>
              <w:right w:val="single" w:sz="4" w:space="0" w:color="auto"/>
            </w:tcBorders>
            <w:shd w:val="clear" w:color="000000" w:fill="C6EFCE"/>
            <w:noWrap/>
            <w:vAlign w:val="center"/>
          </w:tcPr>
          <w:p w14:paraId="0FE5BFF2" w14:textId="77777777" w:rsidR="00A00259" w:rsidRDefault="00371282">
            <w:pPr>
              <w:pStyle w:val="P68B1DB1-Normal55"/>
              <w:keepNext/>
              <w:spacing w:before="40" w:after="0" w:line="240" w:lineRule="auto"/>
              <w:jc w:val="both"/>
              <w:rPr>
                <w:noProof/>
              </w:rPr>
            </w:pPr>
            <w:r>
              <w:rPr>
                <w:noProof/>
              </w:rPr>
              <w:t>4.7. Améliorer la compétitivité et promouvoir les investissements privés et les exportations - 16980_RRP Loan Facility</w:t>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7C016D32" w14:textId="77777777" w:rsidR="00A00259" w:rsidRDefault="00371282">
            <w:pPr>
              <w:pStyle w:val="P68B1DB1-Normal55"/>
              <w:keepNext/>
              <w:spacing w:before="40" w:after="0" w:line="240" w:lineRule="auto"/>
              <w:jc w:val="both"/>
              <w:rPr>
                <w:noProof/>
              </w:rPr>
            </w:pPr>
            <w:r>
              <w:rPr>
                <w:noProof/>
              </w:rPr>
              <w:t>Objectif</w:t>
            </w:r>
          </w:p>
        </w:tc>
        <w:tc>
          <w:tcPr>
            <w:tcW w:w="2172" w:type="dxa"/>
            <w:tcBorders>
              <w:top w:val="single" w:sz="4" w:space="0" w:color="auto"/>
              <w:left w:val="nil"/>
              <w:bottom w:val="single" w:sz="4" w:space="0" w:color="auto"/>
              <w:right w:val="single" w:sz="4" w:space="0" w:color="auto"/>
            </w:tcBorders>
            <w:shd w:val="clear" w:color="000000" w:fill="C6EFCE"/>
            <w:noWrap/>
            <w:vAlign w:val="center"/>
          </w:tcPr>
          <w:p w14:paraId="5DC6FF8A" w14:textId="3AA0011B" w:rsidR="00A00259" w:rsidRDefault="00371282">
            <w:pPr>
              <w:pStyle w:val="P68B1DB1-Normal55"/>
              <w:keepNext/>
              <w:spacing w:before="40" w:after="0" w:line="240" w:lineRule="auto"/>
              <w:jc w:val="both"/>
              <w:rPr>
                <w:noProof/>
              </w:rPr>
            </w:pPr>
            <w:r>
              <w:rPr>
                <w:noProof/>
              </w:rPr>
              <w:t>Accords juridiques signés avec des fonds - 500 millions d'euros</w:t>
            </w:r>
          </w:p>
        </w:tc>
      </w:tr>
      <w:tr w:rsidR="00A00259" w14:paraId="07B6424B" w14:textId="77777777">
        <w:trPr>
          <w:trHeight w:val="302"/>
          <w:jc w:val="center"/>
        </w:trPr>
        <w:tc>
          <w:tcPr>
            <w:tcW w:w="846"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3D13A252" w14:textId="77777777" w:rsidR="00A00259" w:rsidRDefault="00371282">
            <w:pPr>
              <w:pStyle w:val="P68B1DB1-Normal55"/>
              <w:keepNext/>
              <w:spacing w:before="40" w:after="0" w:line="240" w:lineRule="auto"/>
              <w:jc w:val="both"/>
              <w:rPr>
                <w:noProof/>
              </w:rPr>
            </w:pPr>
            <w:r>
              <w:rPr>
                <w:noProof/>
              </w:rPr>
              <w:t>330</w:t>
            </w:r>
          </w:p>
        </w:tc>
        <w:tc>
          <w:tcPr>
            <w:tcW w:w="5241" w:type="dxa"/>
            <w:tcBorders>
              <w:top w:val="single" w:sz="4" w:space="0" w:color="auto"/>
              <w:left w:val="nil"/>
              <w:bottom w:val="single" w:sz="4" w:space="0" w:color="auto"/>
              <w:right w:val="single" w:sz="4" w:space="0" w:color="auto"/>
            </w:tcBorders>
            <w:shd w:val="clear" w:color="000000" w:fill="C6EFCE"/>
            <w:noWrap/>
            <w:vAlign w:val="center"/>
          </w:tcPr>
          <w:p w14:paraId="3546E9D9" w14:textId="77777777" w:rsidR="00A00259" w:rsidRDefault="00371282">
            <w:pPr>
              <w:pStyle w:val="P68B1DB1-Normal55"/>
              <w:keepNext/>
              <w:spacing w:before="40" w:after="0" w:line="240" w:lineRule="auto"/>
              <w:jc w:val="both"/>
              <w:rPr>
                <w:noProof/>
              </w:rPr>
            </w:pPr>
            <w:r>
              <w:rPr>
                <w:noProof/>
              </w:rPr>
              <w:t>4.7. Améliorer la compétitivité et promouvoir les investissements privés et les exportations - 16980_RRP Loan Facility</w:t>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7C85FD4C" w14:textId="77777777" w:rsidR="00A00259" w:rsidRDefault="00371282">
            <w:pPr>
              <w:pStyle w:val="P68B1DB1-Normal55"/>
              <w:keepNext/>
              <w:spacing w:before="40" w:after="0" w:line="240" w:lineRule="auto"/>
              <w:jc w:val="both"/>
              <w:rPr>
                <w:noProof/>
              </w:rPr>
            </w:pPr>
            <w:r>
              <w:rPr>
                <w:noProof/>
              </w:rPr>
              <w:t>Objectif</w:t>
            </w:r>
          </w:p>
        </w:tc>
        <w:tc>
          <w:tcPr>
            <w:tcW w:w="2172" w:type="dxa"/>
            <w:tcBorders>
              <w:top w:val="single" w:sz="4" w:space="0" w:color="auto"/>
              <w:left w:val="nil"/>
              <w:bottom w:val="single" w:sz="4" w:space="0" w:color="auto"/>
              <w:right w:val="single" w:sz="4" w:space="0" w:color="auto"/>
            </w:tcBorders>
            <w:shd w:val="clear" w:color="000000" w:fill="C6EFCE"/>
            <w:noWrap/>
            <w:vAlign w:val="center"/>
          </w:tcPr>
          <w:p w14:paraId="3B535A26" w14:textId="56DEABEB" w:rsidR="00A00259" w:rsidRDefault="00371282">
            <w:pPr>
              <w:pStyle w:val="P68B1DB1-Normal55"/>
              <w:keepNext/>
              <w:spacing w:before="40" w:after="0" w:line="240" w:lineRule="auto"/>
              <w:jc w:val="both"/>
              <w:rPr>
                <w:noProof/>
              </w:rPr>
            </w:pPr>
            <w:r>
              <w:rPr>
                <w:noProof/>
              </w:rPr>
              <w:t>Approbation par InvestEU d’opérations d’un montant de 500 millions d’EUR</w:t>
            </w:r>
          </w:p>
        </w:tc>
      </w:tr>
      <w:tr w:rsidR="00A00259" w14:paraId="1888D0DA" w14:textId="77777777">
        <w:trPr>
          <w:trHeight w:val="302"/>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619EC98"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5241" w:type="dxa"/>
            <w:tcBorders>
              <w:top w:val="single" w:sz="4" w:space="0" w:color="auto"/>
              <w:left w:val="nil"/>
              <w:bottom w:val="single" w:sz="4" w:space="0" w:color="auto"/>
              <w:right w:val="single" w:sz="4" w:space="0" w:color="auto"/>
            </w:tcBorders>
            <w:shd w:val="clear" w:color="auto" w:fill="C6EFCE"/>
            <w:noWrap/>
            <w:vAlign w:val="bottom"/>
          </w:tcPr>
          <w:p w14:paraId="5B9669A5"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1692" w:type="dxa"/>
            <w:tcBorders>
              <w:top w:val="single" w:sz="4" w:space="0" w:color="auto"/>
              <w:left w:val="nil"/>
              <w:bottom w:val="single" w:sz="4" w:space="0" w:color="auto"/>
              <w:right w:val="single" w:sz="4" w:space="0" w:color="auto"/>
            </w:tcBorders>
            <w:shd w:val="clear" w:color="auto" w:fill="C6EFCE"/>
            <w:noWrap/>
            <w:vAlign w:val="bottom"/>
          </w:tcPr>
          <w:p w14:paraId="345FC478" w14:textId="77777777" w:rsidR="00A00259" w:rsidRDefault="00371282">
            <w:pPr>
              <w:pStyle w:val="P68B1DB1-Normal55"/>
              <w:keepNext/>
              <w:spacing w:before="40" w:after="0" w:line="259" w:lineRule="auto"/>
              <w:jc w:val="both"/>
              <w:rPr>
                <w:rFonts w:eastAsia="Times New Roman" w:cs="Times New Roman"/>
                <w:noProof/>
                <w:szCs w:val="18"/>
              </w:rPr>
            </w:pPr>
            <w:r>
              <w:rPr>
                <w:noProof/>
              </w:rPr>
              <w:t>Montant des acomptes provisionnels</w:t>
            </w:r>
          </w:p>
        </w:tc>
        <w:tc>
          <w:tcPr>
            <w:tcW w:w="2172" w:type="dxa"/>
            <w:tcBorders>
              <w:top w:val="single" w:sz="4" w:space="0" w:color="auto"/>
              <w:left w:val="nil"/>
              <w:bottom w:val="single" w:sz="4" w:space="0" w:color="auto"/>
              <w:right w:val="single" w:sz="4" w:space="0" w:color="auto"/>
            </w:tcBorders>
            <w:shd w:val="clear" w:color="auto" w:fill="C6EFCE"/>
            <w:noWrap/>
            <w:vAlign w:val="bottom"/>
          </w:tcPr>
          <w:p w14:paraId="59010E27" w14:textId="77777777" w:rsidR="00A00259" w:rsidRDefault="00371282">
            <w:pPr>
              <w:pStyle w:val="P68B1DB1-Normal55"/>
              <w:keepNext/>
              <w:spacing w:before="40" w:after="0" w:line="240" w:lineRule="auto"/>
              <w:jc w:val="both"/>
              <w:rPr>
                <w:rFonts w:eastAsia="Times New Roman" w:cs="Times New Roman"/>
                <w:noProof/>
                <w:szCs w:val="18"/>
              </w:rPr>
            </w:pPr>
            <w:r>
              <w:rPr>
                <w:noProof/>
              </w:rPr>
              <w:t>320 000 000 EUR</w:t>
            </w:r>
          </w:p>
        </w:tc>
      </w:tr>
    </w:tbl>
    <w:p w14:paraId="53C0F723" w14:textId="77777777" w:rsidR="00A00259" w:rsidRDefault="00A00259">
      <w:pPr>
        <w:keepNext/>
        <w:spacing w:before="40" w:after="0" w:line="259" w:lineRule="auto"/>
        <w:jc w:val="both"/>
        <w:rPr>
          <w:rFonts w:ascii="Times New Roman" w:hAnsi="Times New Roman"/>
          <w:noProof/>
          <w:sz w:val="24"/>
        </w:rPr>
      </w:pPr>
    </w:p>
    <w:p w14:paraId="2CD5DF8B" w14:textId="77777777" w:rsidR="00A00259" w:rsidRDefault="00371282">
      <w:pPr>
        <w:pStyle w:val="P68B1DB1-Normal5"/>
        <w:keepNext/>
        <w:numPr>
          <w:ilvl w:val="1"/>
          <w:numId w:val="106"/>
        </w:numPr>
        <w:spacing w:before="40" w:after="160" w:line="259" w:lineRule="auto"/>
        <w:ind w:left="0"/>
        <w:contextualSpacing/>
        <w:jc w:val="both"/>
        <w:rPr>
          <w:rFonts w:eastAsia="Times New Roman" w:cs="Times New Roman"/>
          <w:noProof/>
          <w:szCs w:val="24"/>
        </w:rPr>
      </w:pPr>
      <w:r>
        <w:rPr>
          <w:noProof/>
          <w:szCs w:val="24"/>
        </w:rPr>
        <w:t>Septième demande de paiement  (soutien au prêt):</w:t>
      </w:r>
    </w:p>
    <w:tbl>
      <w:tblPr>
        <w:tblW w:w="9979"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895"/>
        <w:gridCol w:w="4679"/>
        <w:gridCol w:w="1559"/>
        <w:gridCol w:w="2862"/>
      </w:tblGrid>
      <w:tr w:rsidR="00A00259" w14:paraId="7F1AE87E" w14:textId="77777777">
        <w:trPr>
          <w:trHeight w:val="906"/>
          <w:jc w:val="center"/>
        </w:trPr>
        <w:tc>
          <w:tcPr>
            <w:tcW w:w="879" w:type="dxa"/>
            <w:vMerge w:val="restart"/>
            <w:shd w:val="clear" w:color="auto" w:fill="BDD7EE"/>
            <w:vAlign w:val="center"/>
            <w:hideMark/>
          </w:tcPr>
          <w:p w14:paraId="23EDAB91" w14:textId="77777777" w:rsidR="00A00259" w:rsidRDefault="00371282">
            <w:pPr>
              <w:pStyle w:val="P68B1DB1-Normal15"/>
              <w:keepNext/>
              <w:spacing w:before="40" w:after="0" w:line="259" w:lineRule="auto"/>
              <w:ind w:right="313"/>
              <w:jc w:val="center"/>
              <w:rPr>
                <w:rFonts w:eastAsia="Times New Roman"/>
                <w:bCs/>
                <w:noProof/>
              </w:rPr>
            </w:pPr>
            <w:r>
              <w:rPr>
                <w:noProof/>
              </w:rPr>
              <w:t xml:space="preserve">Seq. </w:t>
            </w:r>
            <w:r>
              <w:rPr>
                <w:noProof/>
              </w:rPr>
              <w:br/>
              <w:t>Non.</w:t>
            </w:r>
          </w:p>
        </w:tc>
        <w:tc>
          <w:tcPr>
            <w:tcW w:w="4679" w:type="dxa"/>
            <w:vMerge w:val="restart"/>
            <w:shd w:val="clear" w:color="auto" w:fill="BDD7EE"/>
            <w:vAlign w:val="center"/>
            <w:hideMark/>
          </w:tcPr>
          <w:p w14:paraId="6FDBABDF"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Mesure connexe (réforme ou investissement)</w:t>
            </w:r>
          </w:p>
        </w:tc>
        <w:tc>
          <w:tcPr>
            <w:tcW w:w="1559" w:type="dxa"/>
            <w:vMerge w:val="restart"/>
            <w:shd w:val="clear" w:color="auto" w:fill="BDD7EE"/>
            <w:vAlign w:val="center"/>
            <w:hideMark/>
          </w:tcPr>
          <w:p w14:paraId="595D6DD1"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Étape/cible</w:t>
            </w:r>
          </w:p>
        </w:tc>
        <w:tc>
          <w:tcPr>
            <w:tcW w:w="2862" w:type="dxa"/>
            <w:vMerge w:val="restart"/>
            <w:shd w:val="clear" w:color="auto" w:fill="BDD7EE"/>
            <w:vAlign w:val="center"/>
            <w:hideMark/>
          </w:tcPr>
          <w:p w14:paraId="704AC2AA" w14:textId="133C25D6" w:rsidR="00A00259" w:rsidRDefault="00371282">
            <w:pPr>
              <w:pStyle w:val="P68B1DB1-Normal41"/>
              <w:keepNext/>
              <w:spacing w:before="40" w:after="0" w:line="259" w:lineRule="auto"/>
              <w:jc w:val="center"/>
              <w:rPr>
                <w:rFonts w:eastAsia="Times New Roman" w:cs="Times New Roman"/>
                <w:bCs/>
                <w:noProof/>
              </w:rPr>
            </w:pPr>
            <w:r>
              <w:rPr>
                <w:noProof/>
              </w:rPr>
              <w:t>Nom</w:t>
            </w:r>
          </w:p>
        </w:tc>
      </w:tr>
      <w:tr w:rsidR="00A00259" w14:paraId="672239BE" w14:textId="77777777">
        <w:trPr>
          <w:trHeight w:val="489"/>
          <w:jc w:val="center"/>
        </w:trPr>
        <w:tc>
          <w:tcPr>
            <w:tcW w:w="879" w:type="dxa"/>
            <w:vMerge/>
            <w:vAlign w:val="center"/>
            <w:hideMark/>
          </w:tcPr>
          <w:p w14:paraId="465629FA" w14:textId="77777777" w:rsidR="00A00259" w:rsidRDefault="00A00259">
            <w:pPr>
              <w:keepNext/>
              <w:spacing w:before="40" w:after="0" w:line="259" w:lineRule="auto"/>
              <w:ind w:right="313"/>
              <w:jc w:val="both"/>
              <w:rPr>
                <w:rFonts w:ascii="Times New Roman" w:eastAsia="Times New Roman" w:hAnsi="Times New Roman" w:cs="Times New Roman"/>
                <w:bCs/>
                <w:noProof/>
                <w:sz w:val="18"/>
                <w:szCs w:val="18"/>
              </w:rPr>
            </w:pPr>
          </w:p>
        </w:tc>
        <w:tc>
          <w:tcPr>
            <w:tcW w:w="4679" w:type="dxa"/>
            <w:vMerge/>
            <w:vAlign w:val="center"/>
            <w:hideMark/>
          </w:tcPr>
          <w:p w14:paraId="72952D90"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1559" w:type="dxa"/>
            <w:vMerge/>
            <w:vAlign w:val="center"/>
            <w:hideMark/>
          </w:tcPr>
          <w:p w14:paraId="6001F408"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2862" w:type="dxa"/>
            <w:vMerge/>
            <w:vAlign w:val="center"/>
            <w:hideMark/>
          </w:tcPr>
          <w:p w14:paraId="45FBC786"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r>
      <w:tr w:rsidR="00A00259" w14:paraId="30E1A9DB" w14:textId="77777777">
        <w:trPr>
          <w:trHeight w:val="302"/>
          <w:jc w:val="center"/>
        </w:trPr>
        <w:tc>
          <w:tcPr>
            <w:tcW w:w="879" w:type="dxa"/>
            <w:shd w:val="clear" w:color="auto" w:fill="C6EFCE"/>
            <w:noWrap/>
            <w:vAlign w:val="center"/>
          </w:tcPr>
          <w:p w14:paraId="270E149A" w14:textId="5C35EFDA" w:rsidR="00A00259" w:rsidRDefault="00371282">
            <w:pPr>
              <w:pStyle w:val="P68B1DB1-Normal11"/>
              <w:keepNext/>
              <w:spacing w:before="40" w:after="0" w:line="240" w:lineRule="auto"/>
              <w:ind w:right="313"/>
              <w:jc w:val="both"/>
              <w:rPr>
                <w:rFonts w:eastAsia="Times New Roman" w:cs="Times New Roman"/>
                <w:noProof/>
              </w:rPr>
            </w:pPr>
            <w:r>
              <w:rPr>
                <w:noProof/>
              </w:rPr>
              <w:t>376</w:t>
            </w:r>
          </w:p>
        </w:tc>
        <w:tc>
          <w:tcPr>
            <w:tcW w:w="4679" w:type="dxa"/>
            <w:shd w:val="clear" w:color="auto" w:fill="C6EFCE"/>
            <w:noWrap/>
            <w:vAlign w:val="center"/>
          </w:tcPr>
          <w:p w14:paraId="623924F8" w14:textId="1C3F62FA" w:rsidR="00A00259" w:rsidRDefault="00371282">
            <w:pPr>
              <w:pStyle w:val="P68B1DB1-Normal11"/>
              <w:keepNext/>
              <w:spacing w:before="40" w:after="0" w:line="240" w:lineRule="auto"/>
              <w:jc w:val="both"/>
              <w:rPr>
                <w:rFonts w:eastAsia="Times New Roman" w:cs="Times New Roman"/>
                <w:bCs/>
                <w:noProof/>
              </w:rPr>
            </w:pPr>
            <w:r>
              <w:rPr>
                <w:noProof/>
              </w:rPr>
              <w:t>2 - 1.2. 16401_Programme de modernisation de l'énergie «Upgrade My Home»</w:t>
            </w:r>
          </w:p>
        </w:tc>
        <w:tc>
          <w:tcPr>
            <w:tcW w:w="1559" w:type="dxa"/>
            <w:shd w:val="clear" w:color="auto" w:fill="C6EFCE"/>
            <w:noWrap/>
            <w:vAlign w:val="center"/>
          </w:tcPr>
          <w:p w14:paraId="454C33CE" w14:textId="46C4D00F" w:rsidR="00A00259" w:rsidRDefault="00371282">
            <w:pPr>
              <w:pStyle w:val="P68B1DB1-Normal11"/>
              <w:keepNext/>
              <w:spacing w:before="40" w:after="0" w:line="240" w:lineRule="auto"/>
              <w:jc w:val="both"/>
              <w:rPr>
                <w:rFonts w:eastAsia="Times New Roman" w:cs="Times New Roman"/>
                <w:bCs/>
                <w:noProof/>
              </w:rPr>
            </w:pPr>
            <w:r>
              <w:rPr>
                <w:noProof/>
              </w:rPr>
              <w:t>Objectif</w:t>
            </w:r>
          </w:p>
        </w:tc>
        <w:tc>
          <w:tcPr>
            <w:tcW w:w="2862" w:type="dxa"/>
            <w:shd w:val="clear" w:color="auto" w:fill="C6EFCE"/>
            <w:noWrap/>
            <w:vAlign w:val="center"/>
          </w:tcPr>
          <w:p w14:paraId="176C4D64" w14:textId="076EB4FB" w:rsidR="00A00259" w:rsidRDefault="00371282">
            <w:pPr>
              <w:pStyle w:val="P68B1DB1-Normal58"/>
              <w:keepNext/>
              <w:spacing w:before="40" w:after="0" w:line="240" w:lineRule="auto"/>
              <w:jc w:val="both"/>
              <w:rPr>
                <w:noProof/>
              </w:rPr>
            </w:pPr>
            <w:r>
              <w:rPr>
                <w:noProof/>
              </w:rPr>
              <w:t>Upgrade My Home - Accords juridiques signés avec les bénéficiaires finaux - 100%</w:t>
            </w:r>
          </w:p>
        </w:tc>
      </w:tr>
      <w:tr w:rsidR="00A00259" w14:paraId="4DCAD64F" w14:textId="77777777">
        <w:trPr>
          <w:trHeight w:val="302"/>
          <w:jc w:val="center"/>
        </w:trPr>
        <w:tc>
          <w:tcPr>
            <w:tcW w:w="879" w:type="dxa"/>
            <w:shd w:val="clear" w:color="auto" w:fill="C6EFCE"/>
            <w:noWrap/>
            <w:vAlign w:val="center"/>
          </w:tcPr>
          <w:p w14:paraId="40ADCBE1" w14:textId="3D21B961" w:rsidR="00A00259" w:rsidRDefault="00371282">
            <w:pPr>
              <w:pStyle w:val="P68B1DB1-Normal11"/>
              <w:keepNext/>
              <w:spacing w:before="40" w:after="0" w:line="240" w:lineRule="auto"/>
              <w:ind w:right="313"/>
              <w:jc w:val="both"/>
              <w:rPr>
                <w:noProof/>
              </w:rPr>
            </w:pPr>
            <w:r>
              <w:rPr>
                <w:noProof/>
              </w:rPr>
              <w:t>377</w:t>
            </w:r>
          </w:p>
        </w:tc>
        <w:tc>
          <w:tcPr>
            <w:tcW w:w="4679" w:type="dxa"/>
            <w:shd w:val="clear" w:color="auto" w:fill="C6EFCE"/>
            <w:noWrap/>
            <w:vAlign w:val="center"/>
          </w:tcPr>
          <w:p w14:paraId="66735F43" w14:textId="51D1A0EB" w:rsidR="00A00259" w:rsidRDefault="00371282">
            <w:pPr>
              <w:pStyle w:val="P68B1DB1-Normal11"/>
              <w:keepNext/>
              <w:spacing w:before="40" w:after="0" w:line="240" w:lineRule="auto"/>
              <w:jc w:val="both"/>
              <w:rPr>
                <w:noProof/>
              </w:rPr>
            </w:pPr>
            <w:r>
              <w:rPr>
                <w:noProof/>
              </w:rPr>
              <w:t>2 - 1.2. 16401_Programme de modernisation de l'énergie «Upgrade My Home»</w:t>
            </w:r>
          </w:p>
        </w:tc>
        <w:tc>
          <w:tcPr>
            <w:tcW w:w="1559" w:type="dxa"/>
            <w:shd w:val="clear" w:color="auto" w:fill="C6EFCE"/>
            <w:noWrap/>
            <w:vAlign w:val="center"/>
          </w:tcPr>
          <w:p w14:paraId="731A7616" w14:textId="721739AD" w:rsidR="00A00259" w:rsidRDefault="00371282">
            <w:pPr>
              <w:pStyle w:val="P68B1DB1-Normal11"/>
              <w:keepNext/>
              <w:spacing w:before="40" w:after="0" w:line="240" w:lineRule="auto"/>
              <w:jc w:val="both"/>
              <w:rPr>
                <w:noProof/>
              </w:rPr>
            </w:pPr>
            <w:r>
              <w:rPr>
                <w:noProof/>
              </w:rPr>
              <w:t>Étape</w:t>
            </w:r>
          </w:p>
        </w:tc>
        <w:tc>
          <w:tcPr>
            <w:tcW w:w="2862" w:type="dxa"/>
            <w:shd w:val="clear" w:color="auto" w:fill="C6EFCE"/>
            <w:noWrap/>
            <w:vAlign w:val="center"/>
          </w:tcPr>
          <w:p w14:paraId="593127A5" w14:textId="000C87AE" w:rsidR="00A00259" w:rsidRDefault="00371282">
            <w:pPr>
              <w:pStyle w:val="P68B1DB1-Normal58"/>
              <w:keepNext/>
              <w:spacing w:before="40" w:after="0" w:line="240" w:lineRule="auto"/>
              <w:jc w:val="both"/>
              <w:rPr>
                <w:noProof/>
              </w:rPr>
            </w:pPr>
            <w:r>
              <w:rPr>
                <w:noProof/>
              </w:rPr>
              <w:t>Upgrade My Home - Le ministère des Finances a terminé l'investissement</w:t>
            </w:r>
          </w:p>
        </w:tc>
      </w:tr>
      <w:tr w:rsidR="00A00259" w14:paraId="4CADC31D" w14:textId="77777777">
        <w:trPr>
          <w:trHeight w:val="302"/>
          <w:jc w:val="center"/>
        </w:trPr>
        <w:tc>
          <w:tcPr>
            <w:tcW w:w="879" w:type="dxa"/>
            <w:shd w:val="clear" w:color="auto" w:fill="C6EFCE"/>
            <w:noWrap/>
            <w:vAlign w:val="center"/>
          </w:tcPr>
          <w:p w14:paraId="2887093C" w14:textId="38E2F20F" w:rsidR="00A00259" w:rsidRDefault="00371282">
            <w:pPr>
              <w:pStyle w:val="P68B1DB1-Normal55"/>
              <w:keepNext/>
              <w:spacing w:before="40" w:after="0" w:line="240" w:lineRule="auto"/>
              <w:ind w:right="313"/>
              <w:jc w:val="both"/>
              <w:rPr>
                <w:noProof/>
              </w:rPr>
            </w:pPr>
            <w:r>
              <w:rPr>
                <w:noProof/>
              </w:rPr>
              <w:t>327 bis</w:t>
            </w:r>
          </w:p>
        </w:tc>
        <w:tc>
          <w:tcPr>
            <w:tcW w:w="4679" w:type="dxa"/>
            <w:shd w:val="clear" w:color="auto" w:fill="C6EFCE"/>
            <w:noWrap/>
            <w:vAlign w:val="center"/>
          </w:tcPr>
          <w:p w14:paraId="5F7A051B" w14:textId="756D0037" w:rsidR="00A00259" w:rsidRDefault="00371282">
            <w:pPr>
              <w:pStyle w:val="P68B1DB1-Normal55"/>
              <w:keepNext/>
              <w:spacing w:before="40" w:after="0" w:line="240" w:lineRule="auto"/>
              <w:jc w:val="both"/>
              <w:rPr>
                <w:noProof/>
              </w:rPr>
            </w:pPr>
            <w:r>
              <w:rPr>
                <w:noProof/>
              </w:rPr>
              <w:t>4.7. Améliorer la compétitivité et promouvoir les investissements privés et les exportations - 16980_RRP Loan Facility</w:t>
            </w:r>
          </w:p>
        </w:tc>
        <w:tc>
          <w:tcPr>
            <w:tcW w:w="1559" w:type="dxa"/>
            <w:shd w:val="clear" w:color="auto" w:fill="C6EFCE"/>
            <w:noWrap/>
            <w:vAlign w:val="center"/>
          </w:tcPr>
          <w:p w14:paraId="6722D37E" w14:textId="71AE24DB" w:rsidR="00A00259" w:rsidRDefault="00371282">
            <w:pPr>
              <w:pStyle w:val="P68B1DB1-Normal55"/>
              <w:keepNext/>
              <w:spacing w:before="40" w:after="0" w:line="240" w:lineRule="auto"/>
              <w:jc w:val="both"/>
              <w:rPr>
                <w:noProof/>
              </w:rPr>
            </w:pPr>
            <w:r>
              <w:rPr>
                <w:noProof/>
              </w:rPr>
              <w:t>Objectif</w:t>
            </w:r>
          </w:p>
        </w:tc>
        <w:tc>
          <w:tcPr>
            <w:tcW w:w="2862" w:type="dxa"/>
            <w:shd w:val="clear" w:color="auto" w:fill="C6EFCE"/>
            <w:noWrap/>
            <w:vAlign w:val="center"/>
          </w:tcPr>
          <w:p w14:paraId="3E187E30" w14:textId="27A33F34" w:rsidR="00A00259" w:rsidRDefault="00371282">
            <w:pPr>
              <w:pStyle w:val="P68B1DB1-Normal11"/>
              <w:keepNext/>
              <w:spacing w:before="40" w:after="0" w:line="240" w:lineRule="auto"/>
              <w:jc w:val="both"/>
              <w:rPr>
                <w:noProof/>
              </w:rPr>
            </w:pPr>
            <w:r>
              <w:rPr>
                <w:noProof/>
              </w:rPr>
              <w:t>13 366 446 891 EUR de fonds d’établissements financiers signés avec les bénéficiaires finaux</w:t>
            </w:r>
          </w:p>
        </w:tc>
      </w:tr>
      <w:tr w:rsidR="00A00259" w14:paraId="5CC47AA7" w14:textId="77777777">
        <w:trPr>
          <w:trHeight w:val="302"/>
          <w:jc w:val="center"/>
        </w:trPr>
        <w:tc>
          <w:tcPr>
            <w:tcW w:w="879" w:type="dxa"/>
            <w:shd w:val="clear" w:color="auto" w:fill="C6EFCE"/>
            <w:noWrap/>
            <w:vAlign w:val="center"/>
          </w:tcPr>
          <w:p w14:paraId="6652324C" w14:textId="0CBB3605" w:rsidR="00A00259" w:rsidRDefault="00371282">
            <w:pPr>
              <w:pStyle w:val="P68B1DB1-Normal11"/>
              <w:keepNext/>
              <w:spacing w:before="40" w:after="0" w:line="240" w:lineRule="auto"/>
              <w:ind w:right="313"/>
              <w:jc w:val="both"/>
              <w:rPr>
                <w:noProof/>
              </w:rPr>
            </w:pPr>
            <w:r>
              <w:rPr>
                <w:noProof/>
              </w:rPr>
              <w:t>328 bis</w:t>
            </w:r>
          </w:p>
        </w:tc>
        <w:tc>
          <w:tcPr>
            <w:tcW w:w="4679" w:type="dxa"/>
            <w:shd w:val="clear" w:color="auto" w:fill="C6EFCE"/>
            <w:noWrap/>
            <w:vAlign w:val="center"/>
          </w:tcPr>
          <w:p w14:paraId="7A607408" w14:textId="051418CA" w:rsidR="00A00259" w:rsidRDefault="00371282">
            <w:pPr>
              <w:pStyle w:val="P68B1DB1-Normal11"/>
              <w:keepNext/>
              <w:spacing w:before="40" w:after="0" w:line="240" w:lineRule="auto"/>
              <w:jc w:val="both"/>
              <w:rPr>
                <w:noProof/>
              </w:rPr>
            </w:pPr>
            <w:r>
              <w:rPr>
                <w:noProof/>
              </w:rPr>
              <w:t>4.7. Améliorer la compétitivité et promouvoir les investissements privés et les exportations - 16980_RRP Loan Facility</w:t>
            </w:r>
          </w:p>
        </w:tc>
        <w:tc>
          <w:tcPr>
            <w:tcW w:w="1559" w:type="dxa"/>
            <w:shd w:val="clear" w:color="auto" w:fill="C6EFCE"/>
            <w:noWrap/>
            <w:vAlign w:val="center"/>
          </w:tcPr>
          <w:p w14:paraId="615062B9" w14:textId="6F07AEFC" w:rsidR="00A00259" w:rsidRDefault="00371282">
            <w:pPr>
              <w:pStyle w:val="P68B1DB1-Normal11"/>
              <w:keepNext/>
              <w:spacing w:before="40" w:after="0" w:line="240" w:lineRule="auto"/>
              <w:jc w:val="both"/>
              <w:rPr>
                <w:noProof/>
              </w:rPr>
            </w:pPr>
            <w:r>
              <w:rPr>
                <w:noProof/>
              </w:rPr>
              <w:t>Étape</w:t>
            </w:r>
          </w:p>
        </w:tc>
        <w:tc>
          <w:tcPr>
            <w:tcW w:w="2862" w:type="dxa"/>
            <w:shd w:val="clear" w:color="auto" w:fill="C6EFCE"/>
            <w:noWrap/>
            <w:vAlign w:val="center"/>
          </w:tcPr>
          <w:p w14:paraId="63E82AF2" w14:textId="14D0DCD4" w:rsidR="00A00259" w:rsidRDefault="00371282">
            <w:pPr>
              <w:pStyle w:val="P68B1DB1-Normal11"/>
              <w:keepNext/>
              <w:spacing w:before="40" w:after="0" w:line="240" w:lineRule="auto"/>
              <w:jc w:val="both"/>
              <w:rPr>
                <w:noProof/>
              </w:rPr>
            </w:pPr>
            <w:r>
              <w:rPr>
                <w:noProof/>
              </w:rPr>
              <w:t>Facilité de prêt - Le ministère des Finances a terminé l'investissement</w:t>
            </w:r>
          </w:p>
        </w:tc>
      </w:tr>
      <w:tr w:rsidR="00A00259" w14:paraId="55D82C68" w14:textId="77777777">
        <w:trPr>
          <w:trHeight w:val="302"/>
          <w:jc w:val="center"/>
        </w:trPr>
        <w:tc>
          <w:tcPr>
            <w:tcW w:w="879" w:type="dxa"/>
            <w:shd w:val="clear" w:color="auto" w:fill="C6EFCE"/>
            <w:noWrap/>
            <w:vAlign w:val="center"/>
          </w:tcPr>
          <w:p w14:paraId="5C3DF6B2" w14:textId="77777777" w:rsidR="00A00259" w:rsidRDefault="00371282">
            <w:pPr>
              <w:pStyle w:val="P68B1DB1-Normal11"/>
              <w:keepNext/>
              <w:spacing w:before="40" w:after="0" w:line="240" w:lineRule="auto"/>
              <w:ind w:right="313"/>
              <w:jc w:val="both"/>
              <w:rPr>
                <w:noProof/>
              </w:rPr>
            </w:pPr>
            <w:r>
              <w:rPr>
                <w:noProof/>
              </w:rPr>
              <w:t>329 bis</w:t>
            </w:r>
          </w:p>
        </w:tc>
        <w:tc>
          <w:tcPr>
            <w:tcW w:w="4679" w:type="dxa"/>
            <w:shd w:val="clear" w:color="auto" w:fill="C6EFCE"/>
            <w:noWrap/>
            <w:vAlign w:val="center"/>
          </w:tcPr>
          <w:p w14:paraId="502DF716" w14:textId="77777777" w:rsidR="00A00259" w:rsidRDefault="00371282">
            <w:pPr>
              <w:pStyle w:val="P68B1DB1-Normal11"/>
              <w:keepNext/>
              <w:spacing w:before="40" w:after="0" w:line="240" w:lineRule="auto"/>
              <w:jc w:val="both"/>
              <w:rPr>
                <w:noProof/>
              </w:rPr>
            </w:pPr>
            <w:r>
              <w:rPr>
                <w:noProof/>
              </w:rPr>
              <w:t>4.7. Améliorer la compétitivité et promouvoir les investissements privés et les exportations - 16980_RRP Loan Facility</w:t>
            </w:r>
          </w:p>
        </w:tc>
        <w:tc>
          <w:tcPr>
            <w:tcW w:w="1559" w:type="dxa"/>
            <w:shd w:val="clear" w:color="auto" w:fill="C6EFCE"/>
            <w:noWrap/>
            <w:vAlign w:val="center"/>
          </w:tcPr>
          <w:p w14:paraId="0E6CDA77" w14:textId="77777777" w:rsidR="00A00259" w:rsidRDefault="00371282">
            <w:pPr>
              <w:pStyle w:val="P68B1DB1-Normal11"/>
              <w:keepNext/>
              <w:spacing w:before="40" w:after="0" w:line="240" w:lineRule="auto"/>
              <w:jc w:val="both"/>
              <w:rPr>
                <w:noProof/>
              </w:rPr>
            </w:pPr>
            <w:r>
              <w:rPr>
                <w:noProof/>
              </w:rPr>
              <w:t>Objectif</w:t>
            </w:r>
          </w:p>
        </w:tc>
        <w:tc>
          <w:tcPr>
            <w:tcW w:w="2862" w:type="dxa"/>
            <w:shd w:val="clear" w:color="auto" w:fill="C6EFCE"/>
            <w:noWrap/>
            <w:vAlign w:val="center"/>
          </w:tcPr>
          <w:p w14:paraId="0105C80C" w14:textId="49BCADD1" w:rsidR="00A00259" w:rsidRDefault="00371282">
            <w:pPr>
              <w:pStyle w:val="P68B1DB1-Normal11"/>
              <w:keepNext/>
              <w:spacing w:before="40" w:after="0" w:line="240" w:lineRule="auto"/>
              <w:jc w:val="both"/>
              <w:rPr>
                <w:noProof/>
              </w:rPr>
            </w:pPr>
            <w:r>
              <w:rPr>
                <w:noProof/>
              </w:rPr>
              <w:t>Accords juridiques signés avec des fonds - 650 000 000 EUR</w:t>
            </w:r>
          </w:p>
        </w:tc>
      </w:tr>
      <w:tr w:rsidR="00A00259" w14:paraId="3C97DF89" w14:textId="77777777">
        <w:trPr>
          <w:trHeight w:val="302"/>
          <w:jc w:val="center"/>
        </w:trPr>
        <w:tc>
          <w:tcPr>
            <w:tcW w:w="879" w:type="dxa"/>
            <w:shd w:val="clear" w:color="auto" w:fill="C6EFCE"/>
            <w:noWrap/>
            <w:vAlign w:val="center"/>
          </w:tcPr>
          <w:p w14:paraId="13103599" w14:textId="6C0755F3" w:rsidR="00A00259" w:rsidRDefault="00371282">
            <w:pPr>
              <w:pStyle w:val="P68B1DB1-Normal11"/>
              <w:keepNext/>
              <w:spacing w:before="40" w:after="0" w:line="240" w:lineRule="auto"/>
              <w:ind w:right="313"/>
              <w:jc w:val="both"/>
              <w:rPr>
                <w:noProof/>
              </w:rPr>
            </w:pPr>
            <w:r>
              <w:rPr>
                <w:noProof/>
              </w:rPr>
              <w:t>330a</w:t>
            </w:r>
          </w:p>
        </w:tc>
        <w:tc>
          <w:tcPr>
            <w:tcW w:w="4679" w:type="dxa"/>
            <w:shd w:val="clear" w:color="auto" w:fill="C6EFCE"/>
            <w:noWrap/>
            <w:vAlign w:val="center"/>
          </w:tcPr>
          <w:p w14:paraId="6FE4E5B0" w14:textId="70792E41" w:rsidR="00A00259" w:rsidRDefault="00371282">
            <w:pPr>
              <w:pStyle w:val="P68B1DB1-Normal11"/>
              <w:keepNext/>
              <w:spacing w:before="40" w:after="0" w:line="240" w:lineRule="auto"/>
              <w:jc w:val="both"/>
              <w:rPr>
                <w:noProof/>
              </w:rPr>
            </w:pPr>
            <w:r>
              <w:rPr>
                <w:noProof/>
              </w:rPr>
              <w:t>4.7. Améliorer la compétitivité et promouvoir les investissements privés et les exportations - 16980_RRP Loan Facility</w:t>
            </w:r>
          </w:p>
        </w:tc>
        <w:tc>
          <w:tcPr>
            <w:tcW w:w="1559" w:type="dxa"/>
            <w:shd w:val="clear" w:color="auto" w:fill="C6EFCE"/>
            <w:noWrap/>
            <w:vAlign w:val="center"/>
          </w:tcPr>
          <w:p w14:paraId="3B4C94D9" w14:textId="73F071DD" w:rsidR="00A00259" w:rsidRDefault="00371282">
            <w:pPr>
              <w:pStyle w:val="P68B1DB1-Normal11"/>
              <w:keepNext/>
              <w:spacing w:before="40" w:after="0" w:line="240" w:lineRule="auto"/>
              <w:jc w:val="both"/>
              <w:rPr>
                <w:noProof/>
              </w:rPr>
            </w:pPr>
            <w:r>
              <w:rPr>
                <w:noProof/>
              </w:rPr>
              <w:t>Objectif</w:t>
            </w:r>
          </w:p>
        </w:tc>
        <w:tc>
          <w:tcPr>
            <w:tcW w:w="2862" w:type="dxa"/>
            <w:shd w:val="clear" w:color="auto" w:fill="C6EFCE"/>
            <w:noWrap/>
            <w:vAlign w:val="center"/>
          </w:tcPr>
          <w:p w14:paraId="03F72D77" w14:textId="26E9F22E" w:rsidR="00A00259" w:rsidRDefault="00371282">
            <w:pPr>
              <w:pStyle w:val="P68B1DB1-Normal11"/>
              <w:keepNext/>
              <w:spacing w:before="40" w:after="0" w:line="240" w:lineRule="auto"/>
              <w:jc w:val="both"/>
              <w:rPr>
                <w:noProof/>
              </w:rPr>
            </w:pPr>
            <w:r>
              <w:rPr>
                <w:noProof/>
              </w:rPr>
              <w:t>Approbation par InvestEU d’opérations d’un montant de 300 000 000 EUR</w:t>
            </w:r>
          </w:p>
        </w:tc>
      </w:tr>
      <w:tr w:rsidR="00A00259" w14:paraId="362D9E2E" w14:textId="77777777">
        <w:trPr>
          <w:trHeight w:val="302"/>
          <w:jc w:val="center"/>
        </w:trPr>
        <w:tc>
          <w:tcPr>
            <w:tcW w:w="879" w:type="dxa"/>
            <w:shd w:val="clear" w:color="auto" w:fill="C6EFCE"/>
            <w:noWrap/>
            <w:vAlign w:val="center"/>
          </w:tcPr>
          <w:p w14:paraId="612C6686" w14:textId="77777777" w:rsidR="00A00259" w:rsidRDefault="00A00259">
            <w:pPr>
              <w:keepNext/>
              <w:spacing w:before="40" w:after="0" w:line="240" w:lineRule="auto"/>
              <w:ind w:right="313"/>
              <w:jc w:val="both"/>
              <w:rPr>
                <w:rFonts w:ascii="Times New Roman" w:hAnsi="Times New Roman"/>
                <w:noProof/>
                <w:sz w:val="18"/>
              </w:rPr>
            </w:pPr>
          </w:p>
        </w:tc>
        <w:tc>
          <w:tcPr>
            <w:tcW w:w="4679" w:type="dxa"/>
            <w:shd w:val="clear" w:color="auto" w:fill="C6EFCE"/>
            <w:noWrap/>
            <w:vAlign w:val="center"/>
          </w:tcPr>
          <w:p w14:paraId="7F6618B0" w14:textId="77777777" w:rsidR="00A00259" w:rsidRDefault="00A00259">
            <w:pPr>
              <w:keepNext/>
              <w:spacing w:before="40" w:after="0" w:line="240" w:lineRule="auto"/>
              <w:jc w:val="both"/>
              <w:rPr>
                <w:rFonts w:ascii="Times New Roman" w:hAnsi="Times New Roman"/>
                <w:noProof/>
                <w:sz w:val="18"/>
              </w:rPr>
            </w:pPr>
          </w:p>
        </w:tc>
        <w:tc>
          <w:tcPr>
            <w:tcW w:w="1559" w:type="dxa"/>
            <w:shd w:val="clear" w:color="auto" w:fill="C6EFCE"/>
            <w:noWrap/>
            <w:vAlign w:val="bottom"/>
          </w:tcPr>
          <w:p w14:paraId="0ACE1B5E" w14:textId="77777777" w:rsidR="00A00259" w:rsidRDefault="00371282">
            <w:pPr>
              <w:pStyle w:val="P68B1DB1-Normal55"/>
              <w:keepNext/>
              <w:spacing w:before="40" w:after="0" w:line="240" w:lineRule="auto"/>
              <w:jc w:val="both"/>
              <w:rPr>
                <w:noProof/>
              </w:rPr>
            </w:pPr>
            <w:r>
              <w:rPr>
                <w:noProof/>
              </w:rPr>
              <w:t>Montant des acomptes provisionnels</w:t>
            </w:r>
          </w:p>
        </w:tc>
        <w:tc>
          <w:tcPr>
            <w:tcW w:w="2862" w:type="dxa"/>
            <w:shd w:val="clear" w:color="auto" w:fill="C6EFCE"/>
            <w:noWrap/>
            <w:vAlign w:val="bottom"/>
          </w:tcPr>
          <w:p w14:paraId="1FFC8957" w14:textId="1B92630F" w:rsidR="00A00259" w:rsidRDefault="00371282">
            <w:pPr>
              <w:pStyle w:val="P68B1DB1-Normal55"/>
              <w:keepNext/>
              <w:spacing w:before="40" w:after="0" w:line="240" w:lineRule="auto"/>
              <w:jc w:val="both"/>
              <w:rPr>
                <w:noProof/>
              </w:rPr>
            </w:pPr>
            <w:r>
              <w:rPr>
                <w:noProof/>
              </w:rPr>
              <w:t>4 220 163 088 EUR</w:t>
            </w:r>
          </w:p>
        </w:tc>
      </w:tr>
    </w:tbl>
    <w:p w14:paraId="78694D5C" w14:textId="3164DEB8" w:rsidR="00A00259" w:rsidRDefault="00371282">
      <w:pPr>
        <w:pStyle w:val="P68B1DB1-Normal59"/>
        <w:rPr>
          <w:bCs/>
          <w:noProof/>
        </w:rPr>
      </w:pPr>
      <w:r>
        <w:rPr>
          <w:noProof/>
        </w:rPr>
        <w:br w:type="page"/>
      </w:r>
    </w:p>
    <w:p w14:paraId="7AC9AA0B" w14:textId="3F347095" w:rsidR="00A00259" w:rsidRDefault="00371282">
      <w:pPr>
        <w:pStyle w:val="P68B1DB1-Normal5"/>
        <w:keepNext/>
        <w:numPr>
          <w:ilvl w:val="1"/>
          <w:numId w:val="106"/>
        </w:numPr>
        <w:spacing w:before="40" w:after="160" w:line="259" w:lineRule="auto"/>
        <w:ind w:left="0"/>
        <w:contextualSpacing/>
        <w:jc w:val="both"/>
        <w:rPr>
          <w:rFonts w:cs="Times New Roman"/>
          <w:noProof/>
          <w:szCs w:val="24"/>
        </w:rPr>
      </w:pPr>
      <w:r>
        <w:rPr>
          <w:noProof/>
          <w:szCs w:val="24"/>
        </w:rPr>
        <w:t xml:space="preserve">Huitième demande de paiement (soutien au prêt): </w:t>
      </w:r>
    </w:p>
    <w:tbl>
      <w:tblPr>
        <w:tblW w:w="992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964"/>
        <w:gridCol w:w="5131"/>
        <w:gridCol w:w="1701"/>
        <w:gridCol w:w="2127"/>
      </w:tblGrid>
      <w:tr w:rsidR="00A00259" w14:paraId="64BA1176" w14:textId="77777777">
        <w:trPr>
          <w:trHeight w:val="964"/>
          <w:jc w:val="center"/>
        </w:trPr>
        <w:tc>
          <w:tcPr>
            <w:tcW w:w="964" w:type="dxa"/>
            <w:vMerge w:val="restart"/>
            <w:shd w:val="clear" w:color="auto" w:fill="BDD7EE"/>
            <w:vAlign w:val="center"/>
            <w:hideMark/>
          </w:tcPr>
          <w:p w14:paraId="258D704B" w14:textId="77777777" w:rsidR="00A00259" w:rsidRDefault="00371282">
            <w:pPr>
              <w:pStyle w:val="P68B1DB1-Normal15"/>
              <w:keepNext/>
              <w:spacing w:before="40" w:after="0" w:line="259" w:lineRule="auto"/>
              <w:jc w:val="center"/>
              <w:rPr>
                <w:rFonts w:eastAsia="Times New Roman"/>
                <w:bCs/>
                <w:noProof/>
              </w:rPr>
            </w:pPr>
            <w:r>
              <w:rPr>
                <w:noProof/>
              </w:rPr>
              <w:t xml:space="preserve">Seq. </w:t>
            </w:r>
            <w:r>
              <w:rPr>
                <w:noProof/>
              </w:rPr>
              <w:br/>
              <w:t>Non.</w:t>
            </w:r>
          </w:p>
        </w:tc>
        <w:tc>
          <w:tcPr>
            <w:tcW w:w="5131" w:type="dxa"/>
            <w:vMerge w:val="restart"/>
            <w:shd w:val="clear" w:color="auto" w:fill="BDD7EE"/>
            <w:vAlign w:val="center"/>
            <w:hideMark/>
          </w:tcPr>
          <w:p w14:paraId="3E19B04F"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Mesure connexe (réforme ou investissement)</w:t>
            </w:r>
          </w:p>
        </w:tc>
        <w:tc>
          <w:tcPr>
            <w:tcW w:w="1701" w:type="dxa"/>
            <w:vMerge w:val="restart"/>
            <w:shd w:val="clear" w:color="auto" w:fill="BDD7EE"/>
            <w:vAlign w:val="center"/>
            <w:hideMark/>
          </w:tcPr>
          <w:p w14:paraId="7A8D8FFA"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Étape/cible</w:t>
            </w:r>
          </w:p>
        </w:tc>
        <w:tc>
          <w:tcPr>
            <w:tcW w:w="2127" w:type="dxa"/>
            <w:vMerge w:val="restart"/>
            <w:shd w:val="clear" w:color="auto" w:fill="BDD7EE"/>
            <w:vAlign w:val="center"/>
            <w:hideMark/>
          </w:tcPr>
          <w:p w14:paraId="23D95C63" w14:textId="77777777" w:rsidR="00A00259" w:rsidRDefault="00371282">
            <w:pPr>
              <w:pStyle w:val="P68B1DB1-Normal10"/>
              <w:keepNext/>
              <w:spacing w:before="40" w:after="0" w:line="259" w:lineRule="auto"/>
              <w:jc w:val="center"/>
              <w:rPr>
                <w:rFonts w:eastAsia="Times New Roman" w:cs="Times New Roman"/>
                <w:bCs/>
                <w:noProof/>
                <w:szCs w:val="18"/>
              </w:rPr>
            </w:pPr>
            <w:r>
              <w:rPr>
                <w:noProof/>
              </w:rPr>
              <w:t>Nom</w:t>
            </w:r>
          </w:p>
        </w:tc>
      </w:tr>
      <w:tr w:rsidR="00A00259" w14:paraId="76F6E9B3" w14:textId="77777777">
        <w:trPr>
          <w:trHeight w:val="418"/>
          <w:jc w:val="center"/>
        </w:trPr>
        <w:tc>
          <w:tcPr>
            <w:tcW w:w="964" w:type="dxa"/>
            <w:vMerge/>
            <w:vAlign w:val="center"/>
            <w:hideMark/>
          </w:tcPr>
          <w:p w14:paraId="513CD15B"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5131" w:type="dxa"/>
            <w:vMerge/>
            <w:vAlign w:val="center"/>
            <w:hideMark/>
          </w:tcPr>
          <w:p w14:paraId="253862B5"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1701" w:type="dxa"/>
            <w:vMerge/>
            <w:vAlign w:val="center"/>
            <w:hideMark/>
          </w:tcPr>
          <w:p w14:paraId="7F2F7AA3"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c>
          <w:tcPr>
            <w:tcW w:w="2127" w:type="dxa"/>
            <w:vMerge/>
            <w:vAlign w:val="center"/>
            <w:hideMark/>
          </w:tcPr>
          <w:p w14:paraId="5B80CAF4" w14:textId="77777777" w:rsidR="00A00259" w:rsidRDefault="00A00259">
            <w:pPr>
              <w:keepNext/>
              <w:spacing w:before="40" w:after="0" w:line="259" w:lineRule="auto"/>
              <w:jc w:val="both"/>
              <w:rPr>
                <w:rFonts w:ascii="Times New Roman" w:eastAsia="Times New Roman" w:hAnsi="Times New Roman" w:cs="Times New Roman"/>
                <w:bCs/>
                <w:noProof/>
                <w:sz w:val="18"/>
                <w:szCs w:val="18"/>
              </w:rPr>
            </w:pPr>
          </w:p>
        </w:tc>
      </w:tr>
      <w:tr w:rsidR="00A00259" w14:paraId="5173C44C" w14:textId="77777777">
        <w:trPr>
          <w:trHeight w:val="320"/>
          <w:jc w:val="center"/>
        </w:trPr>
        <w:tc>
          <w:tcPr>
            <w:tcW w:w="964" w:type="dxa"/>
            <w:shd w:val="clear" w:color="auto" w:fill="C6EFCE"/>
            <w:noWrap/>
            <w:vAlign w:val="center"/>
          </w:tcPr>
          <w:p w14:paraId="1F605CA5" w14:textId="77777777" w:rsidR="00A00259" w:rsidRDefault="00371282">
            <w:pPr>
              <w:pStyle w:val="P68B1DB1-Normal11"/>
              <w:keepNext/>
              <w:spacing w:before="40" w:after="0" w:line="240" w:lineRule="auto"/>
              <w:jc w:val="both"/>
              <w:rPr>
                <w:rFonts w:eastAsia="Times New Roman" w:cs="Times New Roman"/>
                <w:noProof/>
              </w:rPr>
            </w:pPr>
            <w:r>
              <w:rPr>
                <w:noProof/>
              </w:rPr>
              <w:t>380</w:t>
            </w:r>
          </w:p>
        </w:tc>
        <w:tc>
          <w:tcPr>
            <w:tcW w:w="5131" w:type="dxa"/>
            <w:shd w:val="clear" w:color="auto" w:fill="C6EFCE"/>
            <w:noWrap/>
            <w:vAlign w:val="center"/>
          </w:tcPr>
          <w:p w14:paraId="4ECEE5C8" w14:textId="77777777" w:rsidR="00A00259" w:rsidRDefault="00371282">
            <w:pPr>
              <w:pStyle w:val="P68B1DB1-Normal11"/>
              <w:keepNext/>
              <w:spacing w:before="40" w:after="0" w:line="240" w:lineRule="auto"/>
              <w:jc w:val="both"/>
              <w:rPr>
                <w:rFonts w:eastAsia="Times New Roman" w:cs="Times New Roman"/>
                <w:noProof/>
              </w:rPr>
            </w:pPr>
            <w:r>
              <w:rPr>
                <w:noProof/>
              </w:rPr>
              <w:t>11 - 3.4. «Améliorer l’accès à des politiques sociales efficaces et inclusives» - 16400_Programme de logement abordable «My Home II»</w:t>
            </w:r>
          </w:p>
        </w:tc>
        <w:tc>
          <w:tcPr>
            <w:tcW w:w="1701" w:type="dxa"/>
            <w:shd w:val="clear" w:color="auto" w:fill="C6EFCE"/>
            <w:noWrap/>
            <w:vAlign w:val="center"/>
          </w:tcPr>
          <w:p w14:paraId="7251FA34" w14:textId="77777777" w:rsidR="00A00259" w:rsidRDefault="00371282">
            <w:pPr>
              <w:pStyle w:val="P68B1DB1-Normal11"/>
              <w:keepNext/>
              <w:spacing w:before="40" w:after="0" w:line="240" w:lineRule="auto"/>
              <w:jc w:val="both"/>
              <w:rPr>
                <w:rFonts w:eastAsia="Times New Roman" w:cs="Times New Roman"/>
                <w:noProof/>
              </w:rPr>
            </w:pPr>
            <w:r>
              <w:rPr>
                <w:noProof/>
              </w:rPr>
              <w:t>Objectif</w:t>
            </w:r>
          </w:p>
        </w:tc>
        <w:tc>
          <w:tcPr>
            <w:tcW w:w="2127" w:type="dxa"/>
            <w:shd w:val="clear" w:color="auto" w:fill="C6EFCE"/>
            <w:noWrap/>
            <w:vAlign w:val="center"/>
          </w:tcPr>
          <w:p w14:paraId="4DF880D8" w14:textId="68D493EB" w:rsidR="00A00259" w:rsidRDefault="00371282">
            <w:pPr>
              <w:pStyle w:val="P68B1DB1-Normal58"/>
              <w:keepNext/>
              <w:spacing w:before="40" w:after="0" w:line="240" w:lineRule="auto"/>
              <w:jc w:val="both"/>
              <w:rPr>
                <w:noProof/>
              </w:rPr>
            </w:pPr>
            <w:r>
              <w:rPr>
                <w:noProof/>
              </w:rPr>
              <w:t>My Home II - Conventions juridiques signées avec les bénéficiaires finaux - 100%</w:t>
            </w:r>
          </w:p>
        </w:tc>
      </w:tr>
      <w:tr w:rsidR="00A00259" w14:paraId="55736B2C" w14:textId="77777777">
        <w:trPr>
          <w:trHeight w:val="320"/>
          <w:jc w:val="center"/>
        </w:trPr>
        <w:tc>
          <w:tcPr>
            <w:tcW w:w="964" w:type="dxa"/>
            <w:shd w:val="clear" w:color="auto" w:fill="C6EFCE"/>
            <w:noWrap/>
            <w:vAlign w:val="center"/>
          </w:tcPr>
          <w:p w14:paraId="613E6BAD" w14:textId="77777777" w:rsidR="00A00259" w:rsidRDefault="00371282">
            <w:pPr>
              <w:pStyle w:val="P68B1DB1-Normal11"/>
              <w:keepNext/>
              <w:spacing w:before="40" w:after="0" w:line="240" w:lineRule="auto"/>
              <w:jc w:val="both"/>
              <w:rPr>
                <w:rFonts w:eastAsia="Times New Roman" w:cs="Times New Roman"/>
                <w:noProof/>
              </w:rPr>
            </w:pPr>
            <w:r>
              <w:rPr>
                <w:noProof/>
              </w:rPr>
              <w:t>381</w:t>
            </w:r>
          </w:p>
        </w:tc>
        <w:tc>
          <w:tcPr>
            <w:tcW w:w="5131" w:type="dxa"/>
            <w:shd w:val="clear" w:color="auto" w:fill="C6EFCE"/>
            <w:noWrap/>
            <w:vAlign w:val="center"/>
          </w:tcPr>
          <w:p w14:paraId="32B5C469" w14:textId="77777777" w:rsidR="00A00259" w:rsidRDefault="00371282">
            <w:pPr>
              <w:pStyle w:val="P68B1DB1-Normal11"/>
              <w:keepNext/>
              <w:spacing w:before="40" w:after="0" w:line="240" w:lineRule="auto"/>
              <w:jc w:val="both"/>
              <w:rPr>
                <w:rFonts w:eastAsia="Times New Roman" w:cs="Times New Roman"/>
                <w:bCs/>
                <w:noProof/>
              </w:rPr>
            </w:pPr>
            <w:r>
              <w:rPr>
                <w:noProof/>
              </w:rPr>
              <w:t>11 - 3.4. «Améliorer l’accès à des politiques sociales efficaces et inclusives» - 16400_Programme de logement abordable «My Home II»</w:t>
            </w:r>
          </w:p>
        </w:tc>
        <w:tc>
          <w:tcPr>
            <w:tcW w:w="1701" w:type="dxa"/>
            <w:shd w:val="clear" w:color="auto" w:fill="C6EFCE"/>
            <w:noWrap/>
            <w:vAlign w:val="center"/>
          </w:tcPr>
          <w:p w14:paraId="023CAD97" w14:textId="77777777" w:rsidR="00A00259" w:rsidRDefault="00371282">
            <w:pPr>
              <w:pStyle w:val="P68B1DB1-Normal11"/>
              <w:keepNext/>
              <w:spacing w:before="40" w:after="0" w:line="240" w:lineRule="auto"/>
              <w:jc w:val="both"/>
              <w:rPr>
                <w:rFonts w:eastAsia="Times New Roman" w:cs="Times New Roman"/>
                <w:bCs/>
                <w:noProof/>
              </w:rPr>
            </w:pPr>
            <w:r>
              <w:rPr>
                <w:noProof/>
              </w:rPr>
              <w:t>Étape</w:t>
            </w:r>
          </w:p>
        </w:tc>
        <w:tc>
          <w:tcPr>
            <w:tcW w:w="2127" w:type="dxa"/>
            <w:shd w:val="clear" w:color="auto" w:fill="C6EFCE"/>
            <w:noWrap/>
            <w:vAlign w:val="center"/>
          </w:tcPr>
          <w:p w14:paraId="6CDC2B3B" w14:textId="77777777" w:rsidR="00A00259" w:rsidRDefault="00371282">
            <w:pPr>
              <w:pStyle w:val="P68B1DB1-Normal58"/>
              <w:keepNext/>
              <w:spacing w:before="40" w:after="0" w:line="240" w:lineRule="auto"/>
              <w:jc w:val="both"/>
              <w:rPr>
                <w:bCs/>
                <w:noProof/>
              </w:rPr>
            </w:pPr>
            <w:r>
              <w:rPr>
                <w:noProof/>
              </w:rPr>
              <w:t>My Home II - Le ministère des Finances a terminé l'investissement</w:t>
            </w:r>
          </w:p>
        </w:tc>
      </w:tr>
      <w:tr w:rsidR="00A00259" w14:paraId="6D5227E8" w14:textId="77777777">
        <w:trPr>
          <w:trHeight w:val="320"/>
          <w:jc w:val="center"/>
        </w:trPr>
        <w:tc>
          <w:tcPr>
            <w:tcW w:w="964" w:type="dxa"/>
            <w:shd w:val="clear" w:color="auto" w:fill="C6EFCE"/>
            <w:noWrap/>
            <w:vAlign w:val="center"/>
          </w:tcPr>
          <w:p w14:paraId="1DF0A2B4" w14:textId="2313AFC0" w:rsidR="00A00259" w:rsidRDefault="00371282">
            <w:pPr>
              <w:pStyle w:val="P68B1DB1-Normal11"/>
              <w:keepNext/>
              <w:spacing w:before="40" w:after="0" w:line="240" w:lineRule="auto"/>
              <w:jc w:val="both"/>
              <w:rPr>
                <w:noProof/>
              </w:rPr>
            </w:pPr>
            <w:r>
              <w:rPr>
                <w:noProof/>
              </w:rPr>
              <w:t>330b</w:t>
            </w:r>
          </w:p>
        </w:tc>
        <w:tc>
          <w:tcPr>
            <w:tcW w:w="5131" w:type="dxa"/>
            <w:shd w:val="clear" w:color="auto" w:fill="C6EFCE"/>
            <w:noWrap/>
            <w:vAlign w:val="center"/>
          </w:tcPr>
          <w:p w14:paraId="339E9661" w14:textId="77777777" w:rsidR="00A00259" w:rsidRDefault="00371282">
            <w:pPr>
              <w:pStyle w:val="P68B1DB1-Normal11"/>
              <w:keepNext/>
              <w:spacing w:before="40" w:after="0" w:line="240" w:lineRule="auto"/>
              <w:jc w:val="both"/>
              <w:rPr>
                <w:noProof/>
              </w:rPr>
            </w:pPr>
            <w:r>
              <w:rPr>
                <w:noProof/>
              </w:rPr>
              <w:t>4.7. Améliorer la compétitivité et promouvoir les investissements privés et les exportations - 16980_RRP Loan Facility</w:t>
            </w:r>
          </w:p>
        </w:tc>
        <w:tc>
          <w:tcPr>
            <w:tcW w:w="1701" w:type="dxa"/>
            <w:shd w:val="clear" w:color="auto" w:fill="C6EFCE"/>
            <w:noWrap/>
            <w:vAlign w:val="center"/>
          </w:tcPr>
          <w:p w14:paraId="65FBC98C" w14:textId="77777777" w:rsidR="00A00259" w:rsidRDefault="00371282">
            <w:pPr>
              <w:pStyle w:val="P68B1DB1-Normal11"/>
              <w:keepNext/>
              <w:spacing w:before="40" w:after="0" w:line="240" w:lineRule="auto"/>
              <w:jc w:val="both"/>
              <w:rPr>
                <w:noProof/>
              </w:rPr>
            </w:pPr>
            <w:r>
              <w:rPr>
                <w:noProof/>
              </w:rPr>
              <w:t>Objectif</w:t>
            </w:r>
          </w:p>
        </w:tc>
        <w:tc>
          <w:tcPr>
            <w:tcW w:w="2127" w:type="dxa"/>
            <w:shd w:val="clear" w:color="auto" w:fill="C6EFCE"/>
            <w:noWrap/>
            <w:vAlign w:val="center"/>
          </w:tcPr>
          <w:p w14:paraId="076FF68D" w14:textId="6B020F64" w:rsidR="00A00259" w:rsidRDefault="00371282">
            <w:pPr>
              <w:pStyle w:val="P68B1DB1-Normal11"/>
              <w:keepNext/>
              <w:spacing w:before="40" w:after="0" w:line="240" w:lineRule="auto"/>
              <w:jc w:val="both"/>
              <w:rPr>
                <w:noProof/>
              </w:rPr>
            </w:pPr>
            <w:r>
              <w:rPr>
                <w:noProof/>
              </w:rPr>
              <w:t>Approbation par InvestEU d’opérations d’un montant de 100 000 000 EUR</w:t>
            </w:r>
          </w:p>
        </w:tc>
      </w:tr>
      <w:tr w:rsidR="00A00259" w14:paraId="256D569A" w14:textId="77777777">
        <w:trPr>
          <w:trHeight w:val="320"/>
          <w:jc w:val="center"/>
        </w:trPr>
        <w:tc>
          <w:tcPr>
            <w:tcW w:w="964" w:type="dxa"/>
            <w:shd w:val="clear" w:color="auto" w:fill="C6EFCE"/>
            <w:noWrap/>
            <w:vAlign w:val="center"/>
          </w:tcPr>
          <w:p w14:paraId="03D1E153" w14:textId="77777777" w:rsidR="00A00259" w:rsidRDefault="00371282">
            <w:pPr>
              <w:pStyle w:val="P68B1DB1-Normal55"/>
              <w:keepNext/>
              <w:spacing w:before="40" w:after="0" w:line="240" w:lineRule="auto"/>
              <w:jc w:val="both"/>
              <w:rPr>
                <w:noProof/>
              </w:rPr>
            </w:pPr>
            <w:r>
              <w:rPr>
                <w:noProof/>
              </w:rPr>
              <w:t>382</w:t>
            </w:r>
          </w:p>
        </w:tc>
        <w:tc>
          <w:tcPr>
            <w:tcW w:w="5131" w:type="dxa"/>
            <w:shd w:val="clear" w:color="auto" w:fill="C6EFCE"/>
            <w:noWrap/>
            <w:vAlign w:val="center"/>
          </w:tcPr>
          <w:p w14:paraId="25BDF250" w14:textId="77777777" w:rsidR="00A00259" w:rsidRDefault="00371282">
            <w:pPr>
              <w:pStyle w:val="P68B1DB1-Normal55"/>
              <w:keepNext/>
              <w:spacing w:before="40" w:after="0" w:line="240" w:lineRule="auto"/>
              <w:jc w:val="both"/>
              <w:rPr>
                <w:noProof/>
              </w:rPr>
            </w:pPr>
            <w:r>
              <w:rPr>
                <w:noProof/>
              </w:rPr>
              <w:t>4.7. Améliorer la compétitivité et promouvoir les investissements privés et les exportations - 16403 Injection de capitaux dans la Banque hellénique de développement</w:t>
            </w:r>
          </w:p>
        </w:tc>
        <w:tc>
          <w:tcPr>
            <w:tcW w:w="1701" w:type="dxa"/>
            <w:shd w:val="clear" w:color="auto" w:fill="C6EFCE"/>
            <w:noWrap/>
            <w:vAlign w:val="center"/>
          </w:tcPr>
          <w:p w14:paraId="0305B3A5" w14:textId="77777777" w:rsidR="00A00259" w:rsidRDefault="00371282">
            <w:pPr>
              <w:pStyle w:val="P68B1DB1-Normal55"/>
              <w:keepNext/>
              <w:spacing w:before="40" w:after="0" w:line="240" w:lineRule="auto"/>
              <w:jc w:val="both"/>
              <w:rPr>
                <w:noProof/>
              </w:rPr>
            </w:pPr>
            <w:r>
              <w:rPr>
                <w:noProof/>
              </w:rPr>
              <w:t>Étape</w:t>
            </w:r>
          </w:p>
        </w:tc>
        <w:tc>
          <w:tcPr>
            <w:tcW w:w="2127" w:type="dxa"/>
            <w:shd w:val="clear" w:color="auto" w:fill="C6EFCE"/>
            <w:noWrap/>
            <w:vAlign w:val="center"/>
          </w:tcPr>
          <w:p w14:paraId="0CC9667C" w14:textId="77777777" w:rsidR="00A00259" w:rsidRDefault="00371282">
            <w:pPr>
              <w:pStyle w:val="P68B1DB1-Normal55"/>
              <w:keepNext/>
              <w:spacing w:before="40" w:after="0" w:line="240" w:lineRule="auto"/>
              <w:jc w:val="both"/>
              <w:rPr>
                <w:noProof/>
              </w:rPr>
            </w:pPr>
            <w:r>
              <w:rPr>
                <w:noProof/>
              </w:rPr>
              <w:t>Politique d'investissement</w:t>
            </w:r>
          </w:p>
        </w:tc>
      </w:tr>
      <w:tr w:rsidR="00A00259" w14:paraId="0634A44D" w14:textId="77777777">
        <w:trPr>
          <w:trHeight w:val="320"/>
          <w:jc w:val="center"/>
        </w:trPr>
        <w:tc>
          <w:tcPr>
            <w:tcW w:w="964" w:type="dxa"/>
            <w:shd w:val="clear" w:color="auto" w:fill="C6EFCE"/>
            <w:noWrap/>
            <w:vAlign w:val="center"/>
          </w:tcPr>
          <w:p w14:paraId="6EA01B37" w14:textId="77777777" w:rsidR="00A00259" w:rsidRDefault="00371282">
            <w:pPr>
              <w:pStyle w:val="P68B1DB1-Normal55"/>
              <w:keepNext/>
              <w:spacing w:before="40" w:after="0" w:line="240" w:lineRule="auto"/>
              <w:jc w:val="both"/>
              <w:rPr>
                <w:noProof/>
              </w:rPr>
            </w:pPr>
            <w:r>
              <w:rPr>
                <w:noProof/>
              </w:rPr>
              <w:t>383</w:t>
            </w:r>
          </w:p>
        </w:tc>
        <w:tc>
          <w:tcPr>
            <w:tcW w:w="5131" w:type="dxa"/>
            <w:shd w:val="clear" w:color="auto" w:fill="C6EFCE"/>
            <w:noWrap/>
            <w:vAlign w:val="center"/>
          </w:tcPr>
          <w:p w14:paraId="0F40F04D" w14:textId="77777777" w:rsidR="00A00259" w:rsidRDefault="00371282">
            <w:pPr>
              <w:pStyle w:val="P68B1DB1-Normal55"/>
              <w:keepNext/>
              <w:spacing w:before="40" w:after="0" w:line="240" w:lineRule="auto"/>
              <w:jc w:val="both"/>
              <w:rPr>
                <w:noProof/>
              </w:rPr>
            </w:pPr>
            <w:r>
              <w:rPr>
                <w:noProof/>
              </w:rPr>
              <w:t>4.7. Améliorer la compétitivité et promouvoir les investissements privés et les exportations - 16403 Injection de capitaux dans la Banque hellénique de développement</w:t>
            </w:r>
          </w:p>
        </w:tc>
        <w:tc>
          <w:tcPr>
            <w:tcW w:w="1701" w:type="dxa"/>
            <w:shd w:val="clear" w:color="auto" w:fill="C6EFCE"/>
            <w:noWrap/>
            <w:vAlign w:val="center"/>
          </w:tcPr>
          <w:p w14:paraId="494F77A3" w14:textId="77777777" w:rsidR="00A00259" w:rsidRDefault="00371282">
            <w:pPr>
              <w:pStyle w:val="P68B1DB1-Normal55"/>
              <w:keepNext/>
              <w:spacing w:before="40" w:after="0" w:line="240" w:lineRule="auto"/>
              <w:jc w:val="both"/>
              <w:rPr>
                <w:noProof/>
              </w:rPr>
            </w:pPr>
            <w:r>
              <w:rPr>
                <w:noProof/>
              </w:rPr>
              <w:t>Étape</w:t>
            </w:r>
          </w:p>
        </w:tc>
        <w:tc>
          <w:tcPr>
            <w:tcW w:w="2127" w:type="dxa"/>
            <w:shd w:val="clear" w:color="auto" w:fill="C6EFCE"/>
            <w:noWrap/>
            <w:vAlign w:val="center"/>
          </w:tcPr>
          <w:p w14:paraId="08AD94DD" w14:textId="77777777" w:rsidR="00A00259" w:rsidRDefault="00371282">
            <w:pPr>
              <w:pStyle w:val="P68B1DB1-Normal55"/>
              <w:keepNext/>
              <w:spacing w:before="40" w:after="0" w:line="240" w:lineRule="auto"/>
              <w:jc w:val="both"/>
              <w:rPr>
                <w:noProof/>
              </w:rPr>
            </w:pPr>
            <w:r>
              <w:rPr>
                <w:noProof/>
              </w:rPr>
              <w:t>Injection de capital</w:t>
            </w:r>
          </w:p>
        </w:tc>
      </w:tr>
      <w:tr w:rsidR="00A00259" w14:paraId="650E8261" w14:textId="77777777">
        <w:trPr>
          <w:trHeight w:val="320"/>
          <w:jc w:val="center"/>
        </w:trPr>
        <w:tc>
          <w:tcPr>
            <w:tcW w:w="964" w:type="dxa"/>
            <w:shd w:val="clear" w:color="auto" w:fill="C6EFCE"/>
            <w:noWrap/>
            <w:vAlign w:val="center"/>
          </w:tcPr>
          <w:p w14:paraId="2C8FD26D" w14:textId="77777777" w:rsidR="00A00259" w:rsidRDefault="00371282">
            <w:pPr>
              <w:pStyle w:val="P68B1DB1-Normal55"/>
              <w:keepNext/>
              <w:spacing w:before="40" w:after="0" w:line="240" w:lineRule="auto"/>
              <w:jc w:val="both"/>
              <w:rPr>
                <w:noProof/>
              </w:rPr>
            </w:pPr>
            <w:r>
              <w:rPr>
                <w:noProof/>
              </w:rPr>
              <w:t>384</w:t>
            </w:r>
          </w:p>
        </w:tc>
        <w:tc>
          <w:tcPr>
            <w:tcW w:w="5131" w:type="dxa"/>
            <w:shd w:val="clear" w:color="auto" w:fill="C6EFCE"/>
            <w:noWrap/>
            <w:vAlign w:val="center"/>
          </w:tcPr>
          <w:p w14:paraId="248858C5" w14:textId="77777777" w:rsidR="00A00259" w:rsidRDefault="00371282">
            <w:pPr>
              <w:pStyle w:val="P68B1DB1-Normal55"/>
              <w:keepNext/>
              <w:spacing w:before="40" w:after="0" w:line="240" w:lineRule="auto"/>
              <w:jc w:val="both"/>
              <w:rPr>
                <w:noProof/>
              </w:rPr>
            </w:pPr>
            <w:r>
              <w:rPr>
                <w:noProof/>
              </w:rPr>
              <w:t>4.7. Améliorer la compétitivité et promouvoir les investissements privés et les exportations - 16405 Évaluation des piliers de la Banque hellénique de développement</w:t>
            </w:r>
          </w:p>
        </w:tc>
        <w:tc>
          <w:tcPr>
            <w:tcW w:w="1701" w:type="dxa"/>
            <w:shd w:val="clear" w:color="auto" w:fill="C6EFCE"/>
            <w:noWrap/>
            <w:vAlign w:val="center"/>
          </w:tcPr>
          <w:p w14:paraId="1DC247BF" w14:textId="77777777" w:rsidR="00A00259" w:rsidRDefault="00371282">
            <w:pPr>
              <w:pStyle w:val="P68B1DB1-Normal55"/>
              <w:keepNext/>
              <w:spacing w:before="40" w:after="0" w:line="240" w:lineRule="auto"/>
              <w:jc w:val="both"/>
              <w:rPr>
                <w:noProof/>
              </w:rPr>
            </w:pPr>
            <w:r>
              <w:rPr>
                <w:noProof/>
              </w:rPr>
              <w:t>Étape</w:t>
            </w:r>
          </w:p>
        </w:tc>
        <w:tc>
          <w:tcPr>
            <w:tcW w:w="2127" w:type="dxa"/>
            <w:shd w:val="clear" w:color="auto" w:fill="C6EFCE"/>
            <w:noWrap/>
            <w:vAlign w:val="center"/>
          </w:tcPr>
          <w:p w14:paraId="41473D7C" w14:textId="77777777" w:rsidR="00A00259" w:rsidRDefault="00371282">
            <w:pPr>
              <w:pStyle w:val="P68B1DB1-Normal55"/>
              <w:keepNext/>
              <w:spacing w:before="40" w:after="0" w:line="240" w:lineRule="auto"/>
              <w:jc w:val="both"/>
              <w:rPr>
                <w:noProof/>
              </w:rPr>
            </w:pPr>
            <w:r>
              <w:rPr>
                <w:noProof/>
              </w:rPr>
              <w:t>La Banque hellénique de développement fait l'objet d'une évaluation des piliers</w:t>
            </w:r>
          </w:p>
        </w:tc>
      </w:tr>
      <w:tr w:rsidR="00A00259" w14:paraId="349B17CA" w14:textId="77777777">
        <w:trPr>
          <w:trHeight w:val="320"/>
          <w:jc w:val="center"/>
        </w:trPr>
        <w:tc>
          <w:tcPr>
            <w:tcW w:w="964" w:type="dxa"/>
            <w:shd w:val="clear" w:color="auto" w:fill="C6EFCE"/>
            <w:noWrap/>
            <w:vAlign w:val="bottom"/>
          </w:tcPr>
          <w:p w14:paraId="78ACB640" w14:textId="77777777" w:rsidR="00A00259" w:rsidRDefault="00A00259">
            <w:pPr>
              <w:keepNext/>
              <w:spacing w:before="40" w:after="0" w:line="240" w:lineRule="auto"/>
              <w:jc w:val="both"/>
              <w:rPr>
                <w:rFonts w:ascii="Times New Roman" w:eastAsia="Times New Roman" w:hAnsi="Times New Roman" w:cs="Times New Roman"/>
                <w:noProof/>
                <w:sz w:val="18"/>
                <w:szCs w:val="18"/>
              </w:rPr>
            </w:pPr>
          </w:p>
        </w:tc>
        <w:tc>
          <w:tcPr>
            <w:tcW w:w="5131" w:type="dxa"/>
            <w:shd w:val="clear" w:color="auto" w:fill="C6EFCE"/>
            <w:noWrap/>
            <w:vAlign w:val="bottom"/>
          </w:tcPr>
          <w:p w14:paraId="14D8AE7D" w14:textId="77777777" w:rsidR="00A00259" w:rsidRDefault="00A00259">
            <w:pPr>
              <w:keepNext/>
              <w:spacing w:before="40" w:after="0" w:line="240" w:lineRule="auto"/>
              <w:jc w:val="both"/>
              <w:rPr>
                <w:rFonts w:ascii="Times New Roman" w:hAnsi="Times New Roman" w:cs="Times New Roman"/>
                <w:noProof/>
                <w:sz w:val="18"/>
                <w:szCs w:val="18"/>
              </w:rPr>
            </w:pPr>
          </w:p>
        </w:tc>
        <w:tc>
          <w:tcPr>
            <w:tcW w:w="1701" w:type="dxa"/>
            <w:shd w:val="clear" w:color="auto" w:fill="C6EFCE"/>
            <w:noWrap/>
            <w:vAlign w:val="bottom"/>
          </w:tcPr>
          <w:p w14:paraId="57AAA0FD" w14:textId="77777777" w:rsidR="00A00259" w:rsidRDefault="00371282">
            <w:pPr>
              <w:pStyle w:val="P68B1DB1-Normal55"/>
              <w:keepNext/>
              <w:spacing w:before="40" w:after="0" w:line="240" w:lineRule="auto"/>
              <w:jc w:val="both"/>
              <w:rPr>
                <w:rFonts w:cs="Times New Roman"/>
                <w:noProof/>
                <w:szCs w:val="18"/>
              </w:rPr>
            </w:pPr>
            <w:r>
              <w:rPr>
                <w:noProof/>
              </w:rPr>
              <w:t>Montant des acomptes provisionnels</w:t>
            </w:r>
          </w:p>
        </w:tc>
        <w:tc>
          <w:tcPr>
            <w:tcW w:w="2127" w:type="dxa"/>
            <w:shd w:val="clear" w:color="auto" w:fill="C6EFCE"/>
            <w:noWrap/>
            <w:vAlign w:val="bottom"/>
          </w:tcPr>
          <w:p w14:paraId="47EEF0DD" w14:textId="096CB452" w:rsidR="00A00259" w:rsidRDefault="00371282">
            <w:pPr>
              <w:pStyle w:val="P68B1DB1-Normal11"/>
              <w:keepNext/>
              <w:spacing w:before="40" w:after="0" w:line="240" w:lineRule="auto"/>
              <w:jc w:val="both"/>
              <w:rPr>
                <w:noProof/>
              </w:rPr>
            </w:pPr>
            <w:r>
              <w:rPr>
                <w:noProof/>
              </w:rPr>
              <w:t>2 349 092 029 EUR</w:t>
            </w:r>
          </w:p>
        </w:tc>
      </w:tr>
    </w:tbl>
    <w:p w14:paraId="3CEC817E" w14:textId="77777777" w:rsidR="00A00259" w:rsidRDefault="00371282">
      <w:pPr>
        <w:rPr>
          <w:rFonts w:ascii="Times New Roman" w:hAnsi="Times New Roman" w:cs="Times New Roman"/>
          <w:b/>
          <w:bCs/>
          <w:noProof/>
          <w:sz w:val="24"/>
        </w:rPr>
      </w:pPr>
      <w:r>
        <w:rPr>
          <w:noProof/>
        </w:rPr>
        <w:br w:type="page"/>
      </w:r>
    </w:p>
    <w:p w14:paraId="583081D5" w14:textId="77777777" w:rsidR="00A00259" w:rsidRDefault="00371282">
      <w:pPr>
        <w:pStyle w:val="P68B1DB1-Normal2"/>
        <w:keepNext/>
        <w:tabs>
          <w:tab w:val="num" w:pos="850"/>
        </w:tabs>
        <w:spacing w:before="120" w:after="120" w:line="259" w:lineRule="auto"/>
        <w:ind w:left="360"/>
        <w:jc w:val="both"/>
        <w:outlineLvl w:val="0"/>
        <w:rPr>
          <w:rFonts w:eastAsia="Times New Roman" w:cs="Times New Roman"/>
          <w:noProof/>
        </w:rPr>
      </w:pPr>
      <w:r>
        <w:rPr>
          <w:noProof/>
        </w:rPr>
        <w:t xml:space="preserve">SECTION 3: DISPOSITIONS SUPPLÉMENTAIRES </w:t>
      </w:r>
    </w:p>
    <w:p w14:paraId="57F1B805" w14:textId="77777777" w:rsidR="00A00259" w:rsidRDefault="00371282">
      <w:pPr>
        <w:pStyle w:val="P68B1DB1-Normal17"/>
        <w:numPr>
          <w:ilvl w:val="6"/>
          <w:numId w:val="0"/>
        </w:numPr>
        <w:spacing w:before="120" w:after="120" w:line="240" w:lineRule="auto"/>
        <w:jc w:val="both"/>
        <w:rPr>
          <w:rFonts w:eastAsia="Times New Roman" w:cs="Times New Roman"/>
          <w:noProof/>
        </w:rPr>
      </w:pPr>
      <w:r>
        <w:rPr>
          <w:noProof/>
        </w:rPr>
        <w:t>Modalités de suivi et de mise en œuvre du plan pour la reprise et la résilience</w:t>
      </w:r>
    </w:p>
    <w:p w14:paraId="6F2D8A61" w14:textId="77777777" w:rsidR="00A00259" w:rsidRDefault="00371282">
      <w:pPr>
        <w:pStyle w:val="P68B1DB1-Normal5"/>
        <w:spacing w:before="120" w:after="120" w:line="240" w:lineRule="auto"/>
        <w:jc w:val="both"/>
        <w:rPr>
          <w:rFonts w:cs="Times New Roman"/>
          <w:noProof/>
        </w:rPr>
      </w:pPr>
      <w:r>
        <w:rPr>
          <w:noProof/>
        </w:rPr>
        <w:t xml:space="preserve">Le suivi et la mise en œuvre du plan pour la reprise et la résilience de la Grèce s’effectuent conformément aux dispositions suivantes. </w:t>
      </w:r>
    </w:p>
    <w:p w14:paraId="4122A107" w14:textId="77777777" w:rsidR="00A00259" w:rsidRDefault="00371282">
      <w:pPr>
        <w:pStyle w:val="P68B1DB1-Normal5"/>
        <w:spacing w:before="120" w:after="120" w:line="240" w:lineRule="auto"/>
        <w:jc w:val="both"/>
        <w:rPr>
          <w:rFonts w:cs="Times New Roman"/>
          <w:noProof/>
        </w:rPr>
      </w:pPr>
      <w:r>
        <w:rPr>
          <w:noProof/>
        </w:rPr>
        <w:t>Le principal organe chargé de la coordination de la mise en œuvre et du suivi du plan pour la reprise et la résilience sera l’agence de coordination de la facilité pour la reprise et la résilience, un service public spécial indépendant du ministère des finances, institué par la loi 4738/2020. L’agence de coordination de la facilité pour la reprise et la résilience est également l’organisme responsable pour vérifier que les jalons et cibles fixés dans le plan pour la reprise et la résilience ont été atteints et assure également la liaison (unique) entre la Commission européenne et les autorités grecques. Plus précisément, ses tâches consistent à suivre activement l’avancement des projets, sur la base des jalons et cibles convenus, et à soumettre les demandes de paiement à la Commission européenne après vérification de leur achèvement. Ce dernier est accompagné d'une déclaration de gestion indiquant que les fonds ont été utilisés aux fins prévues et conformément au principe de bonne gestion financière, ainsi que d'un résumé des audits effectués, y compris les faiblesses constatées et toute mesure corrective prise.</w:t>
      </w:r>
    </w:p>
    <w:p w14:paraId="688851B2" w14:textId="77777777" w:rsidR="00A00259" w:rsidRDefault="00371282">
      <w:pPr>
        <w:pStyle w:val="P68B1DB1-Normal5"/>
        <w:spacing w:before="120" w:after="120" w:line="240" w:lineRule="auto"/>
        <w:jc w:val="both"/>
        <w:rPr>
          <w:rFonts w:cs="Times New Roman"/>
          <w:noProof/>
        </w:rPr>
      </w:pPr>
      <w:r>
        <w:rPr>
          <w:noProof/>
        </w:rPr>
        <w:t xml:space="preserve">La responsabilité globale de la mise en œuvre de chaque mesure spécifique relève de la compétence du ministère compétent, dont les services soutiendront le suivi de l’avancement des projets et maintiendront une coopération étroite avec l’agence de coordination de la facilité pour la reprise et la résilience. </w:t>
      </w:r>
    </w:p>
    <w:p w14:paraId="50B316CB" w14:textId="77777777" w:rsidR="00A00259" w:rsidRDefault="00371282">
      <w:pPr>
        <w:pStyle w:val="P68B1DB1-Normal5"/>
        <w:spacing w:before="120" w:after="120" w:line="240" w:lineRule="auto"/>
        <w:jc w:val="both"/>
        <w:rPr>
          <w:rFonts w:cs="Times New Roman"/>
          <w:noProof/>
        </w:rPr>
      </w:pPr>
      <w:r>
        <w:rPr>
          <w:noProof/>
        </w:rPr>
        <w:t xml:space="preserve">Toutes les mesures du plan sont mises en œuvre par des organismes nationaux (ci-après dénommés «organismes d’exécution») désignés par le ministère compétent et sont responsables de la réalisation des jalons et cibles convenus ainsi que de la communication de l’ensemble des données et de la documentation à l’agence de coordination de la facilité pour la reprise et la résilience par l’intermédiaire du système d’information de gestion qui est mis en place. </w:t>
      </w:r>
    </w:p>
    <w:p w14:paraId="017E50A0" w14:textId="77777777" w:rsidR="00A00259" w:rsidRDefault="00371282">
      <w:pPr>
        <w:pStyle w:val="P68B1DB1-Normal5"/>
        <w:spacing w:before="120" w:after="120" w:line="240" w:lineRule="auto"/>
        <w:jc w:val="both"/>
        <w:rPr>
          <w:rFonts w:cs="Times New Roman"/>
          <w:noProof/>
        </w:rPr>
      </w:pPr>
      <w:r>
        <w:rPr>
          <w:noProof/>
        </w:rPr>
        <w:t>Enfin, le comité d'audit financier (EDEL, qui fait partie du secrétariat général de la politique fiscale (Bureau général de la comptabilité de l'État) du ministère des finances) veille au respect des principes de bonne gestion financière.</w:t>
      </w:r>
    </w:p>
    <w:p w14:paraId="08A354A1" w14:textId="77777777" w:rsidR="00A00259" w:rsidRDefault="00371282">
      <w:pPr>
        <w:pStyle w:val="P68B1DB1-Normal17"/>
        <w:numPr>
          <w:ilvl w:val="6"/>
          <w:numId w:val="0"/>
        </w:numPr>
        <w:spacing w:before="120" w:after="120" w:line="240" w:lineRule="auto"/>
        <w:jc w:val="both"/>
        <w:rPr>
          <w:rFonts w:cs="Times New Roman"/>
          <w:noProof/>
        </w:rPr>
      </w:pPr>
      <w:r>
        <w:rPr>
          <w:noProof/>
        </w:rPr>
        <w:t>Modalités permettant à la Commission d'accéder pleinement aux données sous-jacentes</w:t>
      </w:r>
    </w:p>
    <w:p w14:paraId="7CF24C46" w14:textId="77777777" w:rsidR="00A00259" w:rsidRDefault="00371282">
      <w:pPr>
        <w:pStyle w:val="P68B1DB1-Normal5"/>
        <w:spacing w:before="120" w:after="120" w:line="240" w:lineRule="auto"/>
        <w:jc w:val="both"/>
        <w:rPr>
          <w:rFonts w:cs="Times New Roman"/>
          <w:noProof/>
        </w:rPr>
      </w:pPr>
      <w:r>
        <w:rPr>
          <w:noProof/>
        </w:rPr>
        <w:t>Afin de permettre à la Commission d'accéder pleinement aux données pertinentes sous-jacentes, la Grèce met en place les dispositions suivantes:</w:t>
      </w:r>
    </w:p>
    <w:p w14:paraId="76650493" w14:textId="77777777" w:rsidR="00A00259" w:rsidRDefault="00371282">
      <w:pPr>
        <w:pStyle w:val="P68B1DB1-Normal5"/>
        <w:spacing w:before="120" w:after="120" w:line="240" w:lineRule="auto"/>
        <w:jc w:val="both"/>
        <w:rPr>
          <w:rFonts w:cs="Times New Roman"/>
          <w:noProof/>
        </w:rPr>
      </w:pPr>
      <w:r>
        <w:rPr>
          <w:noProof/>
        </w:rPr>
        <w:t>L’Agence de coordination de la facilité pour la reprise et la résilience, en tant qu’organe central de coordination du plan pour la reprise et la résilience de la Grèce et de sa mise en œuvre, est responsable de la coordination et du suivi globaux du plan. En particulier, il joue le rôle d’organe de coordination pour le suivi des progrès accomplis en ce qui concerne les jalons et cibles, pour le suivi et, le cas échéant, la mise en œuvre des activités de contrôle et d’audit, ainsi que pour la présentation de rapports et de demandes de paiement. Il coordonne la communication des jalons et cibles, des indicateurs pertinents, mais aussi des informations financières qualitatives et d’autres données, par exemple sur les bénéficiaires finaux. L’encodage des données a lieu dans l’ensemble des organes de mise en œuvre, qui sont tenus de communiquer les données requises à l’agence de coordination de la facilité pour la reprise et la résilience par l’intermédiaire du système d’information de gestion.</w:t>
      </w:r>
    </w:p>
    <w:p w14:paraId="1C6D7204" w14:textId="77777777" w:rsidR="00A00259" w:rsidRDefault="00371282">
      <w:pPr>
        <w:pStyle w:val="P68B1DB1-Normal5"/>
        <w:spacing w:before="120" w:after="120" w:line="240" w:lineRule="auto"/>
        <w:jc w:val="both"/>
        <w:rPr>
          <w:rFonts w:cs="Times New Roman"/>
          <w:noProof/>
        </w:rPr>
      </w:pPr>
      <w:r>
        <w:rPr>
          <w:noProof/>
        </w:rPr>
        <w:t xml:space="preserve">Conformément à l’article 24, paragraphe 2, du règlement (UE) 2021/241, lorsque les jalons et cibles pertinents convenus à la section 2.1 de la présente annexe sont atteints, la Grèce présente à la Commission une demande dûment justifiée de paiement de la contribution financière et, le cas échéant, du prêt. La Grèce veille à ce que, sur demande, la Commission ait pleinement accès aux données pertinentes sous-jacentes qui étayent la justification appropriée de la demande de paiement, tant pour l’évaluation de la demande de paiement conformément à l’article 24, paragraphe 3, du règlement (UE) 2021/241 qu’à des fins d’audit et de contrôle. </w:t>
      </w:r>
    </w:p>
    <w:p w14:paraId="2DBBCB9C" w14:textId="77777777" w:rsidR="00A00259" w:rsidRDefault="00A00259">
      <w:pPr>
        <w:rPr>
          <w:noProof/>
        </w:rPr>
      </w:pPr>
    </w:p>
    <w:p w14:paraId="187EF671" w14:textId="77777777" w:rsidR="00A00259" w:rsidRDefault="00A00259">
      <w:pPr>
        <w:rPr>
          <w:noProof/>
        </w:rPr>
      </w:pPr>
    </w:p>
    <w:sectPr w:rsidR="00A00259">
      <w:headerReference w:type="even" r:id="rId456"/>
      <w:headerReference w:type="default" r:id="rId457"/>
      <w:footerReference w:type="even" r:id="rId458"/>
      <w:footerReference w:type="default" r:id="rId459"/>
      <w:headerReference w:type="first" r:id="rId460"/>
      <w:footerReference w:type="first" r:id="rId461"/>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E41C75" w14:textId="77777777" w:rsidR="00371282" w:rsidRDefault="00371282">
      <w:r>
        <w:separator/>
      </w:r>
    </w:p>
  </w:endnote>
  <w:endnote w:type="continuationSeparator" w:id="0">
    <w:p w14:paraId="6F319FCD" w14:textId="77777777" w:rsidR="00371282" w:rsidRDefault="00371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quot;Times New Roman&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16747">
    <w:altName w:val="Times New Roman"/>
    <w:panose1 w:val="00000000000000000000"/>
    <w:charset w:val="00"/>
    <w:family w:val="roman"/>
    <w:notTrueType/>
    <w:pitch w:val="default"/>
  </w:font>
  <w:font w:name="card">
    <w:altName w:val="Times New Roman"/>
    <w:charset w:val="00"/>
    <w:family w:val="auto"/>
    <w:pitch w:val="default"/>
  </w:font>
  <w:font w:name="EC Square Sans Pro">
    <w:altName w:val="Segoe UI"/>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C32B5" w14:textId="333AE461" w:rsidR="00FA1408" w:rsidRPr="00FA1408" w:rsidRDefault="00FA1408" w:rsidP="00FA1408">
    <w:pPr>
      <w:pStyle w:val="FooterCoverPage"/>
      <w:rPr>
        <w:rFonts w:ascii="Arial" w:hAnsi="Arial" w:cs="Arial"/>
        <w:b/>
        <w:sz w:val="48"/>
      </w:rPr>
    </w:pPr>
    <w:r w:rsidRPr="00FA1408">
      <w:rPr>
        <w:rFonts w:ascii="Arial" w:hAnsi="Arial" w:cs="Arial"/>
        <w:b/>
        <w:sz w:val="48"/>
      </w:rPr>
      <w:t>FR</w:t>
    </w:r>
    <w:r w:rsidRPr="00FA1408">
      <w:rPr>
        <w:rFonts w:ascii="Arial" w:hAnsi="Arial" w:cs="Arial"/>
        <w:b/>
        <w:sz w:val="48"/>
      </w:rPr>
      <w:tab/>
    </w:r>
    <w:r w:rsidRPr="00FA1408">
      <w:rPr>
        <w:rFonts w:ascii="Arial" w:hAnsi="Arial" w:cs="Arial"/>
        <w:b/>
        <w:sz w:val="48"/>
      </w:rPr>
      <w:tab/>
    </w:r>
    <w:r w:rsidRPr="00FA1408">
      <w:tab/>
    </w:r>
    <w:r w:rsidRPr="00FA140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9C0E3" w14:textId="10683F40" w:rsidR="00FA1408" w:rsidRPr="00FA1408" w:rsidRDefault="00FA1408" w:rsidP="00FA1408">
    <w:pPr>
      <w:pStyle w:val="FooterCoverPage"/>
      <w:rPr>
        <w:rFonts w:ascii="Arial" w:hAnsi="Arial" w:cs="Arial"/>
        <w:b/>
        <w:sz w:val="48"/>
      </w:rPr>
    </w:pPr>
    <w:r w:rsidRPr="00FA1408">
      <w:rPr>
        <w:rFonts w:ascii="Arial" w:hAnsi="Arial" w:cs="Arial"/>
        <w:b/>
        <w:sz w:val="48"/>
      </w:rPr>
      <w:t>FR</w:t>
    </w:r>
    <w:r w:rsidRPr="00FA1408">
      <w:rPr>
        <w:rFonts w:ascii="Arial" w:hAnsi="Arial" w:cs="Arial"/>
        <w:b/>
        <w:sz w:val="48"/>
      </w:rPr>
      <w:tab/>
    </w:r>
    <w:r w:rsidRPr="00FA1408">
      <w:rPr>
        <w:rFonts w:ascii="Arial" w:hAnsi="Arial" w:cs="Arial"/>
        <w:b/>
        <w:sz w:val="48"/>
      </w:rPr>
      <w:tab/>
    </w:r>
    <w:r w:rsidRPr="00FA1408">
      <w:tab/>
    </w:r>
    <w:r w:rsidRPr="00FA140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2C40A" w14:textId="77777777" w:rsidR="00FA1408" w:rsidRPr="00FA1408" w:rsidRDefault="00FA1408" w:rsidP="00FA140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81A1F" w14:textId="77777777" w:rsidR="00A00259" w:rsidRDefault="00A0025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8297074"/>
      <w:docPartObj>
        <w:docPartGallery w:val="Page Numbers (Bottom of Page)"/>
        <w:docPartUnique/>
      </w:docPartObj>
    </w:sdtPr>
    <w:sdtEndPr/>
    <w:sdtContent>
      <w:p w14:paraId="2D055BA0" w14:textId="7B88DD34" w:rsidR="00A00259" w:rsidRDefault="00371282">
        <w:pPr>
          <w:pStyle w:val="Footer"/>
          <w:jc w:val="center"/>
        </w:pPr>
        <w:r>
          <w:fldChar w:fldCharType="begin"/>
        </w:r>
        <w:r>
          <w:instrText xml:space="preserve"> PAGE   \* MERGEFORMAT </w:instrText>
        </w:r>
        <w:r>
          <w:fldChar w:fldCharType="separate"/>
        </w:r>
        <w:r w:rsidR="00FA1408">
          <w:rPr>
            <w:noProof/>
          </w:rPr>
          <w:t>5</w:t>
        </w:r>
        <w:r>
          <w:fldChar w:fldCharType="end"/>
        </w:r>
      </w:p>
    </w:sdtContent>
  </w:sdt>
  <w:p w14:paraId="4198C1D9" w14:textId="77777777" w:rsidR="00A00259" w:rsidRDefault="00A00259">
    <w:pPr>
      <w:pStyle w:val="FooterCouncil"/>
      <w:tabs>
        <w:tab w:val="left" w:pos="3330"/>
      </w:tabs>
      <w:rPr>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F51F5" w14:textId="77777777" w:rsidR="00A00259" w:rsidRDefault="00A0025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C20D9" w14:textId="77777777" w:rsidR="00A00259" w:rsidRDefault="00A0025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134720"/>
      <w:docPartObj>
        <w:docPartGallery w:val="Page Numbers (Bottom of Page)"/>
        <w:docPartUnique/>
      </w:docPartObj>
    </w:sdtPr>
    <w:sdtEndPr/>
    <w:sdtContent>
      <w:p w14:paraId="680FD466" w14:textId="4D2A2410" w:rsidR="00A00259" w:rsidRDefault="00371282">
        <w:pPr>
          <w:pStyle w:val="Footer"/>
          <w:jc w:val="center"/>
        </w:pPr>
        <w:r>
          <w:fldChar w:fldCharType="begin"/>
        </w:r>
        <w:r>
          <w:instrText xml:space="preserve"> PAGE   \* MERGEFORMAT </w:instrText>
        </w:r>
        <w:r>
          <w:fldChar w:fldCharType="separate"/>
        </w:r>
        <w:r w:rsidR="00FA1408">
          <w:rPr>
            <w:noProof/>
          </w:rPr>
          <w:t>6</w:t>
        </w:r>
        <w:r>
          <w:fldChar w:fldCharType="end"/>
        </w:r>
      </w:p>
    </w:sdtContent>
  </w:sdt>
  <w:p w14:paraId="51669D3C" w14:textId="77777777" w:rsidR="00A00259" w:rsidRDefault="00A00259">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C8BF3" w14:textId="77777777" w:rsidR="00A00259" w:rsidRDefault="00A0025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87773" w14:textId="77777777" w:rsidR="00A00259" w:rsidRDefault="00A0025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6367563"/>
      <w:docPartObj>
        <w:docPartGallery w:val="Page Numbers (Bottom of Page)"/>
        <w:docPartUnique/>
      </w:docPartObj>
    </w:sdtPr>
    <w:sdtEndPr/>
    <w:sdtContent>
      <w:p w14:paraId="735838A2" w14:textId="3FA5F702" w:rsidR="00A00259" w:rsidRDefault="00371282">
        <w:pPr>
          <w:pStyle w:val="Footer"/>
          <w:jc w:val="center"/>
        </w:pPr>
        <w:r>
          <w:fldChar w:fldCharType="begin"/>
        </w:r>
        <w:r>
          <w:instrText xml:space="preserve"> PAGE   \* MERGEFORMAT </w:instrText>
        </w:r>
        <w:r>
          <w:fldChar w:fldCharType="separate"/>
        </w:r>
        <w:r w:rsidR="00FA1408">
          <w:rPr>
            <w:noProof/>
          </w:rPr>
          <w:t>7</w:t>
        </w:r>
        <w:r>
          <w:fldChar w:fldCharType="end"/>
        </w:r>
      </w:p>
    </w:sdtContent>
  </w:sdt>
  <w:p w14:paraId="54BC1ED6" w14:textId="77777777" w:rsidR="00A00259" w:rsidRDefault="00A00259">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75EFA" w14:textId="77777777" w:rsidR="00A00259" w:rsidRDefault="00A0025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B816D" w14:textId="77777777" w:rsidR="00A00259" w:rsidRDefault="00A0025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6447403"/>
      <w:docPartObj>
        <w:docPartGallery w:val="Page Numbers (Bottom of Page)"/>
        <w:docPartUnique/>
      </w:docPartObj>
    </w:sdtPr>
    <w:sdtEndPr/>
    <w:sdtContent>
      <w:p w14:paraId="5CDEAEFD" w14:textId="468F4D7C" w:rsidR="00A00259" w:rsidRDefault="00371282">
        <w:pPr>
          <w:pStyle w:val="Footer"/>
          <w:jc w:val="center"/>
        </w:pPr>
        <w:r>
          <w:fldChar w:fldCharType="begin"/>
        </w:r>
        <w:r>
          <w:instrText xml:space="preserve"> PAGE   \* MERGEFORMAT </w:instrText>
        </w:r>
        <w:r>
          <w:fldChar w:fldCharType="separate"/>
        </w:r>
        <w:r w:rsidR="001D2F61">
          <w:rPr>
            <w:noProof/>
          </w:rPr>
          <w:t>14</w:t>
        </w:r>
        <w:r>
          <w:fldChar w:fldCharType="end"/>
        </w:r>
      </w:p>
    </w:sdtContent>
  </w:sdt>
  <w:p w14:paraId="1D78F809" w14:textId="77777777" w:rsidR="00A00259" w:rsidRDefault="00A00259">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857EC" w14:textId="77777777" w:rsidR="00A00259" w:rsidRDefault="00A0025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88953" w14:textId="77777777" w:rsidR="00A00259" w:rsidRDefault="00A0025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2501962"/>
      <w:docPartObj>
        <w:docPartGallery w:val="Page Numbers (Bottom of Page)"/>
        <w:docPartUnique/>
      </w:docPartObj>
    </w:sdtPr>
    <w:sdtEndPr/>
    <w:sdtContent>
      <w:p w14:paraId="64CE5A76" w14:textId="2A271939"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7A136D01" w14:textId="77777777" w:rsidR="00A00259" w:rsidRDefault="00A00259">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08A9C" w14:textId="77777777" w:rsidR="00A00259" w:rsidRDefault="00A0025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1ECD5" w14:textId="77777777" w:rsidR="00A00259" w:rsidRDefault="00A0025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322067"/>
      <w:docPartObj>
        <w:docPartGallery w:val="Page Numbers (Bottom of Page)"/>
        <w:docPartUnique/>
      </w:docPartObj>
    </w:sdtPr>
    <w:sdtEndPr/>
    <w:sdtContent>
      <w:p w14:paraId="3C3ABAB7" w14:textId="10BED6AA"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7A8B4E5A" w14:textId="77777777" w:rsidR="00A00259" w:rsidRDefault="00A00259">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9DBA1" w14:textId="77777777" w:rsidR="00A00259" w:rsidRDefault="00A0025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D0A69" w14:textId="77777777" w:rsidR="00A00259" w:rsidRDefault="00A0025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0397501"/>
      <w:docPartObj>
        <w:docPartGallery w:val="Page Numbers (Bottom of Page)"/>
        <w:docPartUnique/>
      </w:docPartObj>
    </w:sdtPr>
    <w:sdtEndPr/>
    <w:sdtContent>
      <w:p w14:paraId="04572603" w14:textId="4C398CD5"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26182EA2" w14:textId="77777777" w:rsidR="00A00259" w:rsidRDefault="00A00259">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8C89D" w14:textId="77777777" w:rsidR="00A00259" w:rsidRDefault="00A0025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2C915" w14:textId="77777777" w:rsidR="00A00259" w:rsidRDefault="00A0025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8005923"/>
      <w:docPartObj>
        <w:docPartGallery w:val="Page Numbers (Bottom of Page)"/>
        <w:docPartUnique/>
      </w:docPartObj>
    </w:sdtPr>
    <w:sdtEndPr/>
    <w:sdtContent>
      <w:p w14:paraId="1FE7D94F" w14:textId="027387EB"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50F07804" w14:textId="77777777" w:rsidR="00A00259" w:rsidRDefault="00A00259">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EE7C5" w14:textId="77777777" w:rsidR="00A00259" w:rsidRDefault="00A0025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DAAAF" w14:textId="77777777" w:rsidR="00A00259" w:rsidRDefault="00A0025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1527620"/>
      <w:docPartObj>
        <w:docPartGallery w:val="Page Numbers (Bottom of Page)"/>
        <w:docPartUnique/>
      </w:docPartObj>
    </w:sdtPr>
    <w:sdtEndPr/>
    <w:sdtContent>
      <w:p w14:paraId="02F58332" w14:textId="188C3D82"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25679BD5" w14:textId="77777777" w:rsidR="00A00259" w:rsidRDefault="00A00259">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03009" w14:textId="77777777" w:rsidR="00A00259" w:rsidRDefault="00A0025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E54FF" w14:textId="77777777" w:rsidR="00A00259" w:rsidRDefault="00A0025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0641025"/>
      <w:docPartObj>
        <w:docPartGallery w:val="Page Numbers (Bottom of Page)"/>
        <w:docPartUnique/>
      </w:docPartObj>
    </w:sdtPr>
    <w:sdtEndPr/>
    <w:sdtContent>
      <w:p w14:paraId="0D9DB954" w14:textId="02EA439B"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11E24AFD" w14:textId="77777777" w:rsidR="00A00259" w:rsidRDefault="00A00259">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9B9EA" w14:textId="77777777" w:rsidR="00A00259" w:rsidRDefault="00A0025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89D76" w14:textId="77777777" w:rsidR="00A00259" w:rsidRDefault="00A0025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1734456"/>
      <w:docPartObj>
        <w:docPartGallery w:val="Page Numbers (Bottom of Page)"/>
        <w:docPartUnique/>
      </w:docPartObj>
    </w:sdtPr>
    <w:sdtEndPr/>
    <w:sdtContent>
      <w:p w14:paraId="6ADB3366" w14:textId="2B84C3CD"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0BBE6EE2" w14:textId="77777777" w:rsidR="00A00259" w:rsidRDefault="00A00259">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466C7" w14:textId="77777777" w:rsidR="00A00259" w:rsidRDefault="00A0025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A6048" w14:textId="77777777" w:rsidR="00A00259" w:rsidRDefault="00A0025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9007064"/>
      <w:docPartObj>
        <w:docPartGallery w:val="Page Numbers (Bottom of Page)"/>
        <w:docPartUnique/>
      </w:docPartObj>
    </w:sdtPr>
    <w:sdtEndPr/>
    <w:sdtContent>
      <w:p w14:paraId="51A94CCB" w14:textId="57D64EF7"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352B89D8" w14:textId="77777777" w:rsidR="00A00259" w:rsidRDefault="00A00259">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E15E7" w14:textId="77777777" w:rsidR="00A00259" w:rsidRDefault="00A0025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2EF1E" w14:textId="77777777" w:rsidR="00A00259" w:rsidRDefault="00A0025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9853508"/>
      <w:docPartObj>
        <w:docPartGallery w:val="Page Numbers (Bottom of Page)"/>
        <w:docPartUnique/>
      </w:docPartObj>
    </w:sdtPr>
    <w:sdtEndPr/>
    <w:sdtContent>
      <w:p w14:paraId="0074E392" w14:textId="7AC3E375"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25910CAF" w14:textId="77777777" w:rsidR="00A00259" w:rsidRDefault="00A00259">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71B53" w14:textId="77777777" w:rsidR="00A00259" w:rsidRDefault="00A0025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B494F" w14:textId="77777777" w:rsidR="00A00259" w:rsidRDefault="00A0025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5418590"/>
      <w:docPartObj>
        <w:docPartGallery w:val="Page Numbers (Bottom of Page)"/>
        <w:docPartUnique/>
      </w:docPartObj>
    </w:sdtPr>
    <w:sdtEndPr/>
    <w:sdtContent>
      <w:p w14:paraId="72262868" w14:textId="048427D3"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0305F531" w14:textId="77777777" w:rsidR="00A00259" w:rsidRDefault="00A00259">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60D15" w14:textId="77777777" w:rsidR="00A00259" w:rsidRDefault="00A0025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1BB9A" w14:textId="77777777" w:rsidR="00A00259" w:rsidRDefault="00A0025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631307"/>
      <w:docPartObj>
        <w:docPartGallery w:val="Page Numbers (Bottom of Page)"/>
        <w:docPartUnique/>
      </w:docPartObj>
    </w:sdtPr>
    <w:sdtEndPr/>
    <w:sdtContent>
      <w:p w14:paraId="226FFA3A" w14:textId="5F3B25A5"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625323CB" w14:textId="77777777" w:rsidR="00A00259" w:rsidRDefault="00A00259">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4A7FE" w14:textId="77777777" w:rsidR="00A00259" w:rsidRDefault="00A0025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B3073" w14:textId="77777777" w:rsidR="00A00259" w:rsidRDefault="00A0025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1863880"/>
      <w:docPartObj>
        <w:docPartGallery w:val="Page Numbers (Bottom of Page)"/>
        <w:docPartUnique/>
      </w:docPartObj>
    </w:sdtPr>
    <w:sdtEndPr/>
    <w:sdtContent>
      <w:p w14:paraId="246CA240" w14:textId="02735EE9"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19BDDA92" w14:textId="77777777" w:rsidR="00A00259" w:rsidRDefault="00A00259">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202E0" w14:textId="77777777" w:rsidR="00A00259" w:rsidRDefault="00A0025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7C624" w14:textId="77777777" w:rsidR="00A00259" w:rsidRDefault="00A0025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6966269"/>
      <w:docPartObj>
        <w:docPartGallery w:val="Page Numbers (Bottom of Page)"/>
        <w:docPartUnique/>
      </w:docPartObj>
    </w:sdtPr>
    <w:sdtEndPr/>
    <w:sdtContent>
      <w:p w14:paraId="13500FF7" w14:textId="7A9CE4BB"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0CC0994C" w14:textId="77777777" w:rsidR="00A00259" w:rsidRDefault="00A00259">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C9480" w14:textId="77777777" w:rsidR="00A00259" w:rsidRDefault="00A0025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29353" w14:textId="77777777" w:rsidR="00A00259" w:rsidRDefault="00A0025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2384964"/>
      <w:docPartObj>
        <w:docPartGallery w:val="Page Numbers (Bottom of Page)"/>
        <w:docPartUnique/>
      </w:docPartObj>
    </w:sdtPr>
    <w:sdtEndPr/>
    <w:sdtContent>
      <w:p w14:paraId="3E3C9995" w14:textId="105F3EA3"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41FE4650" w14:textId="77777777" w:rsidR="00A00259" w:rsidRDefault="00A00259">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BDF85" w14:textId="77777777" w:rsidR="00A00259" w:rsidRDefault="00A0025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53C88" w14:textId="77777777" w:rsidR="00A00259" w:rsidRDefault="00A0025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0315493"/>
      <w:docPartObj>
        <w:docPartGallery w:val="Page Numbers (Bottom of Page)"/>
        <w:docPartUnique/>
      </w:docPartObj>
    </w:sdtPr>
    <w:sdtEndPr/>
    <w:sdtContent>
      <w:p w14:paraId="38AB52B8" w14:textId="74B65CDD"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4111610D" w14:textId="77777777" w:rsidR="00A00259" w:rsidRDefault="00A00259">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F71DD" w14:textId="77777777" w:rsidR="00A00259" w:rsidRDefault="00A0025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F61E7" w14:textId="77777777" w:rsidR="00A00259" w:rsidRDefault="00A0025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9366794"/>
      <w:docPartObj>
        <w:docPartGallery w:val="Page Numbers (Bottom of Page)"/>
        <w:docPartUnique/>
      </w:docPartObj>
    </w:sdtPr>
    <w:sdtEndPr/>
    <w:sdtContent>
      <w:p w14:paraId="179360FC" w14:textId="7F3C2F3A"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478A2168" w14:textId="77777777" w:rsidR="00A00259" w:rsidRDefault="00A00259">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344FE" w14:textId="77777777" w:rsidR="00A00259" w:rsidRDefault="00A0025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C1603" w14:textId="77777777" w:rsidR="00A00259" w:rsidRDefault="00A0025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1014227"/>
      <w:docPartObj>
        <w:docPartGallery w:val="Page Numbers (Bottom of Page)"/>
        <w:docPartUnique/>
      </w:docPartObj>
    </w:sdtPr>
    <w:sdtEndPr/>
    <w:sdtContent>
      <w:p w14:paraId="25D9D265" w14:textId="2472F9F1"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350A4624" w14:textId="77777777" w:rsidR="00A00259" w:rsidRDefault="00A00259">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12DA1" w14:textId="77777777" w:rsidR="00A00259" w:rsidRDefault="00A0025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0D072" w14:textId="77777777" w:rsidR="00A00259" w:rsidRDefault="00A0025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6369466"/>
      <w:docPartObj>
        <w:docPartGallery w:val="Page Numbers (Bottom of Page)"/>
        <w:docPartUnique/>
      </w:docPartObj>
    </w:sdtPr>
    <w:sdtEndPr/>
    <w:sdtContent>
      <w:p w14:paraId="6CFB84CF" w14:textId="3E8DCBD3"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56C2B0B8" w14:textId="77777777" w:rsidR="00A00259" w:rsidRDefault="00A00259">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407E7" w14:textId="77777777" w:rsidR="00A00259" w:rsidRDefault="00A0025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CA7DA" w14:textId="77777777" w:rsidR="00A00259" w:rsidRDefault="00A0025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2711512"/>
      <w:docPartObj>
        <w:docPartGallery w:val="Page Numbers (Bottom of Page)"/>
        <w:docPartUnique/>
      </w:docPartObj>
    </w:sdtPr>
    <w:sdtEndPr/>
    <w:sdtContent>
      <w:p w14:paraId="0799F76B" w14:textId="18259B75"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3DE8FC0D" w14:textId="77777777" w:rsidR="00A00259" w:rsidRDefault="00A00259">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E0F56" w14:textId="77777777" w:rsidR="00A00259" w:rsidRDefault="00A0025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B7BF2" w14:textId="77777777" w:rsidR="00A00259" w:rsidRDefault="00A0025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0234994"/>
      <w:docPartObj>
        <w:docPartGallery w:val="Page Numbers (Bottom of Page)"/>
        <w:docPartUnique/>
      </w:docPartObj>
    </w:sdtPr>
    <w:sdtEndPr/>
    <w:sdtContent>
      <w:p w14:paraId="5235068C" w14:textId="57D218EF"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3D846F04" w14:textId="77777777" w:rsidR="00A00259" w:rsidRDefault="00A00259">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7A616" w14:textId="77777777" w:rsidR="00A00259" w:rsidRDefault="00A00259">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9683D" w14:textId="77777777" w:rsidR="00A00259" w:rsidRDefault="00A00259">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3815131"/>
      <w:docPartObj>
        <w:docPartGallery w:val="Page Numbers (Bottom of Page)"/>
        <w:docPartUnique/>
      </w:docPartObj>
    </w:sdtPr>
    <w:sdtEndPr/>
    <w:sdtContent>
      <w:p w14:paraId="7181360D" w14:textId="46DC2DFB"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2129A28A" w14:textId="77777777" w:rsidR="00A00259" w:rsidRDefault="00A00259">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CD927" w14:textId="77777777" w:rsidR="00A00259" w:rsidRDefault="00A00259">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468E6" w14:textId="77777777" w:rsidR="00A00259" w:rsidRDefault="00A00259">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7901587"/>
      <w:docPartObj>
        <w:docPartGallery w:val="Page Numbers (Bottom of Page)"/>
        <w:docPartUnique/>
      </w:docPartObj>
    </w:sdtPr>
    <w:sdtEndPr/>
    <w:sdtContent>
      <w:p w14:paraId="77AC9160" w14:textId="338F3DDA"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5ACEE205" w14:textId="77777777" w:rsidR="00A00259" w:rsidRDefault="00A00259">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20A1A" w14:textId="77777777" w:rsidR="00A00259" w:rsidRDefault="00A00259">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706E8" w14:textId="77777777" w:rsidR="00A00259" w:rsidRDefault="00A00259">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1514754"/>
      <w:docPartObj>
        <w:docPartGallery w:val="Page Numbers (Bottom of Page)"/>
        <w:docPartUnique/>
      </w:docPartObj>
    </w:sdtPr>
    <w:sdtEndPr/>
    <w:sdtContent>
      <w:p w14:paraId="57605F1C" w14:textId="58167832"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0F25A2CB" w14:textId="77777777" w:rsidR="00A00259" w:rsidRDefault="00A00259">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9DA87" w14:textId="77777777" w:rsidR="00A00259" w:rsidRDefault="00A00259">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355F2" w14:textId="77777777" w:rsidR="00A00259" w:rsidRDefault="00A00259">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9020662"/>
      <w:docPartObj>
        <w:docPartGallery w:val="Page Numbers (Bottom of Page)"/>
        <w:docPartUnique/>
      </w:docPartObj>
    </w:sdtPr>
    <w:sdtEndPr/>
    <w:sdtContent>
      <w:p w14:paraId="62093E38" w14:textId="0F80604E"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06CC20A2" w14:textId="77777777" w:rsidR="00A00259" w:rsidRDefault="00A00259">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0ED01" w14:textId="77777777" w:rsidR="00A00259" w:rsidRDefault="00A00259">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E2F3F" w14:textId="77777777" w:rsidR="00A00259" w:rsidRDefault="00A00259">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4352682"/>
      <w:docPartObj>
        <w:docPartGallery w:val="Page Numbers (Bottom of Page)"/>
        <w:docPartUnique/>
      </w:docPartObj>
    </w:sdtPr>
    <w:sdtEndPr/>
    <w:sdtContent>
      <w:p w14:paraId="4E4C6EED" w14:textId="255BE8AE"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0F8CC571" w14:textId="77777777" w:rsidR="00A00259" w:rsidRDefault="00A00259">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FDA96" w14:textId="77777777" w:rsidR="00A00259" w:rsidRDefault="00A00259">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F1148" w14:textId="77777777" w:rsidR="00A00259" w:rsidRDefault="00A00259">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3283935"/>
      <w:docPartObj>
        <w:docPartGallery w:val="Page Numbers (Bottom of Page)"/>
        <w:docPartUnique/>
      </w:docPartObj>
    </w:sdtPr>
    <w:sdtEndPr/>
    <w:sdtContent>
      <w:p w14:paraId="4631CF6C" w14:textId="27CE2AE1"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6FA49991" w14:textId="77777777" w:rsidR="00A00259" w:rsidRDefault="00A00259">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74105" w14:textId="77777777" w:rsidR="00A00259" w:rsidRDefault="00A00259">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3F7CB" w14:textId="77777777" w:rsidR="00A00259" w:rsidRDefault="00A00259">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9592647"/>
      <w:docPartObj>
        <w:docPartGallery w:val="Page Numbers (Bottom of Page)"/>
        <w:docPartUnique/>
      </w:docPartObj>
    </w:sdtPr>
    <w:sdtEndPr/>
    <w:sdtContent>
      <w:p w14:paraId="2C1791E5" w14:textId="34E43495"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52767D4E" w14:textId="77777777" w:rsidR="00A00259" w:rsidRDefault="00A00259">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9A4DA" w14:textId="77777777" w:rsidR="00A00259" w:rsidRDefault="00A00259">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9F3F9" w14:textId="77777777" w:rsidR="00A00259" w:rsidRDefault="00A00259">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4603754"/>
      <w:docPartObj>
        <w:docPartGallery w:val="Page Numbers (Bottom of Page)"/>
        <w:docPartUnique/>
      </w:docPartObj>
    </w:sdtPr>
    <w:sdtEndPr/>
    <w:sdtContent>
      <w:p w14:paraId="3D9E3AD2" w14:textId="56A5C65B"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0623B81A" w14:textId="77777777" w:rsidR="00A00259" w:rsidRDefault="00A00259">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D7307" w14:textId="77777777" w:rsidR="00A00259" w:rsidRDefault="00A00259">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A5BBF" w14:textId="77777777" w:rsidR="00A00259" w:rsidRDefault="00A00259">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9005655"/>
      <w:docPartObj>
        <w:docPartGallery w:val="Page Numbers (Bottom of Page)"/>
        <w:docPartUnique/>
      </w:docPartObj>
    </w:sdtPr>
    <w:sdtEndPr/>
    <w:sdtContent>
      <w:p w14:paraId="7A1F9ADF" w14:textId="58373D10"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302A3EDB" w14:textId="77777777" w:rsidR="00A00259" w:rsidRDefault="00A00259">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2F2D1" w14:textId="77777777" w:rsidR="00A00259" w:rsidRDefault="00A00259">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ABEA0" w14:textId="77777777" w:rsidR="00A00259" w:rsidRDefault="00A00259">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3400024"/>
      <w:docPartObj>
        <w:docPartGallery w:val="Page Numbers (Bottom of Page)"/>
        <w:docPartUnique/>
      </w:docPartObj>
    </w:sdtPr>
    <w:sdtEndPr/>
    <w:sdtContent>
      <w:p w14:paraId="7060E016" w14:textId="0602C56C"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5EF382B9" w14:textId="77777777" w:rsidR="00A00259" w:rsidRDefault="00A00259">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1927A" w14:textId="77777777" w:rsidR="00A00259" w:rsidRDefault="00A00259">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EA531" w14:textId="77777777" w:rsidR="00A00259" w:rsidRDefault="00A00259">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858713"/>
      <w:docPartObj>
        <w:docPartGallery w:val="Page Numbers (Bottom of Page)"/>
        <w:docPartUnique/>
      </w:docPartObj>
    </w:sdtPr>
    <w:sdtEndPr/>
    <w:sdtContent>
      <w:p w14:paraId="25C63EE5" w14:textId="5E6FD349"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39A23C02" w14:textId="77777777" w:rsidR="00A00259" w:rsidRDefault="00A00259">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9F5F7" w14:textId="77777777" w:rsidR="00A00259" w:rsidRDefault="00A00259">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52961" w14:textId="77777777" w:rsidR="00A00259" w:rsidRDefault="00A00259">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1724545"/>
      <w:docPartObj>
        <w:docPartGallery w:val="Page Numbers (Bottom of Page)"/>
        <w:docPartUnique/>
      </w:docPartObj>
    </w:sdtPr>
    <w:sdtEndPr/>
    <w:sdtContent>
      <w:p w14:paraId="31A34DD7" w14:textId="727289FA"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5CD0DA69" w14:textId="77777777" w:rsidR="00A00259" w:rsidRDefault="00A00259">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C4015" w14:textId="77777777" w:rsidR="00A00259" w:rsidRDefault="00A00259">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53B7C" w14:textId="77777777" w:rsidR="00A00259" w:rsidRDefault="00A00259">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9884809"/>
      <w:docPartObj>
        <w:docPartGallery w:val="Page Numbers (Bottom of Page)"/>
        <w:docPartUnique/>
      </w:docPartObj>
    </w:sdtPr>
    <w:sdtEndPr/>
    <w:sdtContent>
      <w:p w14:paraId="1C08D4A8" w14:textId="2A570615"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5053197D" w14:textId="77777777" w:rsidR="00A00259" w:rsidRDefault="00A00259">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1188C" w14:textId="77777777" w:rsidR="00A00259" w:rsidRDefault="00A00259">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699A2" w14:textId="77777777" w:rsidR="00A00259" w:rsidRDefault="00A00259">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7002516"/>
      <w:docPartObj>
        <w:docPartGallery w:val="Page Numbers (Bottom of Page)"/>
        <w:docPartUnique/>
      </w:docPartObj>
    </w:sdtPr>
    <w:sdtEndPr/>
    <w:sdtContent>
      <w:p w14:paraId="733272DB" w14:textId="20A75C0D"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13B5BB98" w14:textId="77777777" w:rsidR="00A00259" w:rsidRDefault="00A00259">
    <w:pPr>
      <w:pStyle w:val="FooterCouncil"/>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26366" w14:textId="77777777" w:rsidR="00A00259" w:rsidRDefault="00A00259">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87B44" w14:textId="77777777" w:rsidR="00A00259" w:rsidRDefault="00A00259">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3952940"/>
      <w:docPartObj>
        <w:docPartGallery w:val="Page Numbers (Bottom of Page)"/>
        <w:docPartUnique/>
      </w:docPartObj>
    </w:sdtPr>
    <w:sdtEndPr/>
    <w:sdtContent>
      <w:p w14:paraId="156A00E9" w14:textId="43329BDA"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463B6AAF" w14:textId="77777777" w:rsidR="00A00259" w:rsidRDefault="00A00259">
    <w:pPr>
      <w:pStyle w:val="FooterCouncil"/>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434CA" w14:textId="77777777" w:rsidR="00A00259" w:rsidRDefault="00A00259">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AEF38" w14:textId="77777777" w:rsidR="00A00259" w:rsidRDefault="00A00259">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0846001"/>
      <w:docPartObj>
        <w:docPartGallery w:val="Page Numbers (Bottom of Page)"/>
        <w:docPartUnique/>
      </w:docPartObj>
    </w:sdtPr>
    <w:sdtEndPr/>
    <w:sdtContent>
      <w:p w14:paraId="6BDC4441" w14:textId="579E74C8"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068AA17D" w14:textId="77777777" w:rsidR="00A00259" w:rsidRDefault="00A00259">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A33F1" w14:textId="77777777" w:rsidR="00A00259" w:rsidRDefault="00A00259">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3C618" w14:textId="77777777" w:rsidR="00A00259" w:rsidRDefault="00A00259">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6758049"/>
      <w:docPartObj>
        <w:docPartGallery w:val="Page Numbers (Bottom of Page)"/>
        <w:docPartUnique/>
      </w:docPartObj>
    </w:sdtPr>
    <w:sdtEndPr/>
    <w:sdtContent>
      <w:p w14:paraId="5225E7A0" w14:textId="0147E13C"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47E430D4" w14:textId="77777777" w:rsidR="00A00259" w:rsidRDefault="00A00259">
    <w:pPr>
      <w:pStyle w:val="FooterCouncil"/>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88E7C" w14:textId="77777777" w:rsidR="00A00259" w:rsidRDefault="00A00259">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2BB3C" w14:textId="77777777" w:rsidR="00A00259" w:rsidRDefault="00A00259">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6242112"/>
      <w:docPartObj>
        <w:docPartGallery w:val="Page Numbers (Bottom of Page)"/>
        <w:docPartUnique/>
      </w:docPartObj>
    </w:sdtPr>
    <w:sdtEndPr/>
    <w:sdtContent>
      <w:p w14:paraId="132E7F5A" w14:textId="22C0D7ED"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1100A804" w14:textId="77777777" w:rsidR="00A00259" w:rsidRDefault="00A00259">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6AB30" w14:textId="77777777" w:rsidR="00A00259" w:rsidRDefault="00A00259">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12A34" w14:textId="77777777" w:rsidR="00A00259" w:rsidRDefault="00A00259">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3157980"/>
      <w:docPartObj>
        <w:docPartGallery w:val="Page Numbers (Bottom of Page)"/>
        <w:docPartUnique/>
      </w:docPartObj>
    </w:sdtPr>
    <w:sdtEndPr/>
    <w:sdtContent>
      <w:p w14:paraId="04122B8B" w14:textId="2748C4C6"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730DBDF3" w14:textId="77777777" w:rsidR="00A00259" w:rsidRDefault="00A00259">
    <w:pPr>
      <w:pStyle w:val="FooterCouncil"/>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61C14" w14:textId="77777777" w:rsidR="00A00259" w:rsidRDefault="00A00259">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E6DDB" w14:textId="77777777" w:rsidR="00A00259" w:rsidRDefault="00A00259">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379909"/>
      <w:docPartObj>
        <w:docPartGallery w:val="Page Numbers (Bottom of Page)"/>
        <w:docPartUnique/>
      </w:docPartObj>
    </w:sdtPr>
    <w:sdtEndPr/>
    <w:sdtContent>
      <w:p w14:paraId="40D45E50" w14:textId="6446956E"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3710205A" w14:textId="77777777" w:rsidR="00A00259" w:rsidRDefault="00A00259">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5D871" w14:textId="77777777" w:rsidR="00A00259" w:rsidRDefault="00A00259">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0F3BE" w14:textId="77777777" w:rsidR="00A00259" w:rsidRDefault="00A00259">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6454655"/>
      <w:docPartObj>
        <w:docPartGallery w:val="Page Numbers (Bottom of Page)"/>
        <w:docPartUnique/>
      </w:docPartObj>
    </w:sdtPr>
    <w:sdtEndPr/>
    <w:sdtContent>
      <w:p w14:paraId="52F705B5" w14:textId="2478F625"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37B6E8BA" w14:textId="77777777" w:rsidR="00A00259" w:rsidRDefault="00A00259">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A28DC" w14:textId="77777777" w:rsidR="00A00259" w:rsidRDefault="00A00259">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21EEB" w14:textId="77777777" w:rsidR="00A00259" w:rsidRDefault="00A00259">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0989253"/>
      <w:docPartObj>
        <w:docPartGallery w:val="Page Numbers (Bottom of Page)"/>
        <w:docPartUnique/>
      </w:docPartObj>
    </w:sdtPr>
    <w:sdtEndPr/>
    <w:sdtContent>
      <w:p w14:paraId="57064180" w14:textId="0293005E"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16938E32" w14:textId="77777777" w:rsidR="00A00259" w:rsidRDefault="00A00259">
    <w:pPr>
      <w:pStyle w:val="FooterCouncil"/>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A8138" w14:textId="77777777" w:rsidR="00A00259" w:rsidRDefault="00A00259">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B482D" w14:textId="77777777" w:rsidR="00A00259" w:rsidRDefault="00A00259">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2961394"/>
      <w:docPartObj>
        <w:docPartGallery w:val="Page Numbers (Bottom of Page)"/>
        <w:docPartUnique/>
      </w:docPartObj>
    </w:sdtPr>
    <w:sdtEndPr/>
    <w:sdtContent>
      <w:p w14:paraId="1335D858" w14:textId="515BE7CD"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5F1EC55B" w14:textId="77777777" w:rsidR="00A00259" w:rsidRDefault="00A00259">
    <w:pPr>
      <w:pStyle w:val="FooterCouncil"/>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425D9" w14:textId="77777777" w:rsidR="00A00259" w:rsidRDefault="00A00259">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98CB4" w14:textId="77777777" w:rsidR="00A00259" w:rsidRDefault="00A00259">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9641045"/>
      <w:docPartObj>
        <w:docPartGallery w:val="Page Numbers (Bottom of Page)"/>
        <w:docPartUnique/>
      </w:docPartObj>
    </w:sdtPr>
    <w:sdtEndPr/>
    <w:sdtContent>
      <w:p w14:paraId="57E3E394" w14:textId="3FDE9A97"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71F5224B" w14:textId="77777777" w:rsidR="00A00259" w:rsidRDefault="00A00259">
    <w:pPr>
      <w:pStyle w:val="FooterCouncil"/>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1E3E0" w14:textId="77777777" w:rsidR="00A00259" w:rsidRDefault="00A00259">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BAFBD" w14:textId="77777777" w:rsidR="00A00259" w:rsidRDefault="00A00259">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3316271"/>
      <w:docPartObj>
        <w:docPartGallery w:val="Page Numbers (Bottom of Page)"/>
        <w:docPartUnique/>
      </w:docPartObj>
    </w:sdtPr>
    <w:sdtEndPr/>
    <w:sdtContent>
      <w:p w14:paraId="6D0DA39C" w14:textId="03536A89"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4723F118" w14:textId="77777777" w:rsidR="00A00259" w:rsidRDefault="00A00259">
    <w:pPr>
      <w:pStyle w:val="FooterCouncil"/>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5590F" w14:textId="77777777" w:rsidR="00A00259" w:rsidRDefault="00A00259">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A03D1" w14:textId="77777777" w:rsidR="00A00259" w:rsidRDefault="00A00259">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3031677"/>
      <w:docPartObj>
        <w:docPartGallery w:val="Page Numbers (Bottom of Page)"/>
        <w:docPartUnique/>
      </w:docPartObj>
    </w:sdtPr>
    <w:sdtEndPr/>
    <w:sdtContent>
      <w:p w14:paraId="3F8515BA" w14:textId="7844FEB6"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502C2667" w14:textId="77777777" w:rsidR="00A00259" w:rsidRDefault="00A00259">
    <w:pPr>
      <w:pStyle w:val="FooterCouncil"/>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82FAB" w14:textId="77777777" w:rsidR="00A00259" w:rsidRDefault="00A00259">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0F9F2" w14:textId="77777777" w:rsidR="00A00259" w:rsidRDefault="00A00259">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3460206"/>
      <w:docPartObj>
        <w:docPartGallery w:val="Page Numbers (Bottom of Page)"/>
        <w:docPartUnique/>
      </w:docPartObj>
    </w:sdtPr>
    <w:sdtEndPr/>
    <w:sdtContent>
      <w:p w14:paraId="0010FB3B" w14:textId="2049A8F5"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296D3F70" w14:textId="77777777" w:rsidR="00A00259" w:rsidRDefault="00A00259">
    <w:pPr>
      <w:pStyle w:val="FooterCouncil"/>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2AE00" w14:textId="77777777" w:rsidR="00A00259" w:rsidRDefault="00A00259">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4CB30" w14:textId="77777777" w:rsidR="00A00259" w:rsidRDefault="00A00259">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8392381"/>
      <w:docPartObj>
        <w:docPartGallery w:val="Page Numbers (Bottom of Page)"/>
        <w:docPartUnique/>
      </w:docPartObj>
    </w:sdtPr>
    <w:sdtEndPr/>
    <w:sdtContent>
      <w:p w14:paraId="304ECEB4" w14:textId="12DC8C79"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02E046D6" w14:textId="77777777" w:rsidR="00A00259" w:rsidRDefault="00A00259">
    <w:pPr>
      <w:pStyle w:val="FooterCouncil"/>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5850A" w14:textId="77777777" w:rsidR="00A00259" w:rsidRDefault="00A00259">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AFF45" w14:textId="77777777" w:rsidR="00A00259" w:rsidRDefault="00A00259">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3664215"/>
      <w:docPartObj>
        <w:docPartGallery w:val="Page Numbers (Bottom of Page)"/>
        <w:docPartUnique/>
      </w:docPartObj>
    </w:sdtPr>
    <w:sdtEndPr/>
    <w:sdtContent>
      <w:p w14:paraId="0F8921C1" w14:textId="0184465B"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257B941C" w14:textId="77777777" w:rsidR="00A00259" w:rsidRDefault="00A00259">
    <w:pPr>
      <w:pStyle w:val="FooterCouncil"/>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24DBA" w14:textId="77777777" w:rsidR="00A00259" w:rsidRDefault="00A00259">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E9A28" w14:textId="77777777" w:rsidR="00A00259" w:rsidRDefault="00A00259">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6957615"/>
      <w:docPartObj>
        <w:docPartGallery w:val="Page Numbers (Bottom of Page)"/>
        <w:docPartUnique/>
      </w:docPartObj>
    </w:sdtPr>
    <w:sdtEndPr/>
    <w:sdtContent>
      <w:p w14:paraId="3AC12A2A" w14:textId="15AF9C25"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3EAD849A" w14:textId="77777777" w:rsidR="00A00259" w:rsidRDefault="00A00259">
    <w:pPr>
      <w:pStyle w:val="FooterCouncil"/>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92ECC" w14:textId="77777777" w:rsidR="00A00259" w:rsidRDefault="00A00259">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CDB7A" w14:textId="77777777" w:rsidR="00A00259" w:rsidRDefault="00A00259">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994643"/>
      <w:docPartObj>
        <w:docPartGallery w:val="Page Numbers (Bottom of Page)"/>
        <w:docPartUnique/>
      </w:docPartObj>
    </w:sdtPr>
    <w:sdtEndPr/>
    <w:sdtContent>
      <w:p w14:paraId="435DCF2C" w14:textId="4B0C299A"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21CA83BF" w14:textId="77777777" w:rsidR="00A00259" w:rsidRDefault="00A00259">
    <w:pPr>
      <w:pStyle w:val="FooterCouncil"/>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95026" w14:textId="77777777" w:rsidR="00A00259" w:rsidRDefault="00A00259">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271E1" w14:textId="77777777" w:rsidR="00A00259" w:rsidRDefault="00A00259">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2035440"/>
      <w:docPartObj>
        <w:docPartGallery w:val="Page Numbers (Bottom of Page)"/>
        <w:docPartUnique/>
      </w:docPartObj>
    </w:sdtPr>
    <w:sdtEndPr/>
    <w:sdtContent>
      <w:p w14:paraId="3BDA8A1D" w14:textId="292D8516"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30C4CA8B" w14:textId="77777777" w:rsidR="00A00259" w:rsidRDefault="00A00259">
    <w:pPr>
      <w:pStyle w:val="FooterCouncil"/>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25F67" w14:textId="77777777" w:rsidR="00A00259" w:rsidRDefault="00A00259">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2DB82" w14:textId="77777777" w:rsidR="00A00259" w:rsidRDefault="00A00259">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6453540"/>
      <w:docPartObj>
        <w:docPartGallery w:val="Page Numbers (Bottom of Page)"/>
        <w:docPartUnique/>
      </w:docPartObj>
    </w:sdtPr>
    <w:sdtEndPr/>
    <w:sdtContent>
      <w:p w14:paraId="395140C9" w14:textId="4C1F738F"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5502F42A" w14:textId="77777777" w:rsidR="00A00259" w:rsidRDefault="00A00259">
    <w:pPr>
      <w:pStyle w:val="FooterCouncil"/>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C17B7" w14:textId="77777777" w:rsidR="00A00259" w:rsidRDefault="00A00259">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CF61D" w14:textId="77777777" w:rsidR="00A00259" w:rsidRDefault="00A00259">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2517200"/>
      <w:docPartObj>
        <w:docPartGallery w:val="Page Numbers (Bottom of Page)"/>
        <w:docPartUnique/>
      </w:docPartObj>
    </w:sdtPr>
    <w:sdtEndPr/>
    <w:sdtContent>
      <w:p w14:paraId="7D6862EE" w14:textId="75BB2839"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379C7A98" w14:textId="77777777" w:rsidR="00A00259" w:rsidRDefault="00A00259">
    <w:pPr>
      <w:pStyle w:val="FooterCouncil"/>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8AC68" w14:textId="77777777" w:rsidR="00A00259" w:rsidRDefault="00A00259">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2C5A8" w14:textId="77777777" w:rsidR="00A00259" w:rsidRDefault="00A00259">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1448594"/>
      <w:docPartObj>
        <w:docPartGallery w:val="Page Numbers (Bottom of Page)"/>
        <w:docPartUnique/>
      </w:docPartObj>
    </w:sdtPr>
    <w:sdtEndPr/>
    <w:sdtContent>
      <w:p w14:paraId="41EA1F34" w14:textId="20A5C70B"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5B8CF7A5" w14:textId="77777777" w:rsidR="00A00259" w:rsidRDefault="00A00259">
    <w:pPr>
      <w:pStyle w:val="FooterCouncil"/>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CCE80" w14:textId="77777777" w:rsidR="00A00259" w:rsidRDefault="00A00259">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E3489" w14:textId="77777777" w:rsidR="00A00259" w:rsidRDefault="00A00259">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5184781"/>
      <w:docPartObj>
        <w:docPartGallery w:val="Page Numbers (Bottom of Page)"/>
        <w:docPartUnique/>
      </w:docPartObj>
    </w:sdtPr>
    <w:sdtEndPr/>
    <w:sdtContent>
      <w:p w14:paraId="1345F360" w14:textId="5C093746"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1FE40FB5" w14:textId="77777777" w:rsidR="00A00259" w:rsidRDefault="00A00259">
    <w:pPr>
      <w:pStyle w:val="FooterCouncil"/>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7C989" w14:textId="77777777" w:rsidR="00A00259" w:rsidRDefault="00A00259">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883DF" w14:textId="77777777" w:rsidR="00A00259" w:rsidRDefault="00A00259">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2079073"/>
      <w:docPartObj>
        <w:docPartGallery w:val="Page Numbers (Bottom of Page)"/>
        <w:docPartUnique/>
      </w:docPartObj>
    </w:sdtPr>
    <w:sdtEndPr/>
    <w:sdtContent>
      <w:p w14:paraId="1C2B13B6" w14:textId="451C47E1"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0EC0C15A" w14:textId="77777777" w:rsidR="00A00259" w:rsidRDefault="00A00259">
    <w:pPr>
      <w:pStyle w:val="FooterCouncil"/>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0B0E1" w14:textId="77777777" w:rsidR="00A00259" w:rsidRDefault="00A00259">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0C9FE" w14:textId="77777777" w:rsidR="00A00259" w:rsidRDefault="00A00259">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785425"/>
      <w:docPartObj>
        <w:docPartGallery w:val="Page Numbers (Bottom of Page)"/>
        <w:docPartUnique/>
      </w:docPartObj>
    </w:sdtPr>
    <w:sdtEndPr/>
    <w:sdtContent>
      <w:p w14:paraId="5B038A63" w14:textId="3059C109"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6304F473" w14:textId="77777777" w:rsidR="00A00259" w:rsidRDefault="00A00259">
    <w:pPr>
      <w:pStyle w:val="FooterCouncil"/>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29433" w14:textId="77777777" w:rsidR="00A00259" w:rsidRDefault="00A00259">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538A9" w14:textId="77777777" w:rsidR="00A00259" w:rsidRDefault="00A00259">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311859"/>
      <w:docPartObj>
        <w:docPartGallery w:val="Page Numbers (Bottom of Page)"/>
        <w:docPartUnique/>
      </w:docPartObj>
    </w:sdtPr>
    <w:sdtEndPr/>
    <w:sdtContent>
      <w:p w14:paraId="39E22A83" w14:textId="491334DC"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51C99793" w14:textId="77777777" w:rsidR="00A00259" w:rsidRDefault="00A00259">
    <w:pPr>
      <w:pStyle w:val="FooterCouncil"/>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F9262" w14:textId="77777777" w:rsidR="00A00259" w:rsidRDefault="00A00259">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D3629" w14:textId="77777777" w:rsidR="00A00259" w:rsidRDefault="00A00259">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473922"/>
      <w:docPartObj>
        <w:docPartGallery w:val="Page Numbers (Bottom of Page)"/>
        <w:docPartUnique/>
      </w:docPartObj>
    </w:sdtPr>
    <w:sdtEndPr/>
    <w:sdtContent>
      <w:p w14:paraId="789BF1D3" w14:textId="2F84BB53"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6A027D1A" w14:textId="77777777" w:rsidR="00A00259" w:rsidRDefault="00A00259">
    <w:pPr>
      <w:pStyle w:val="FooterCouncil"/>
    </w:pP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E8FC5" w14:textId="77777777" w:rsidR="00A00259" w:rsidRDefault="00A00259">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562BB" w14:textId="77777777" w:rsidR="00A00259" w:rsidRDefault="00A00259">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3329199"/>
      <w:docPartObj>
        <w:docPartGallery w:val="Page Numbers (Bottom of Page)"/>
        <w:docPartUnique/>
      </w:docPartObj>
    </w:sdtPr>
    <w:sdtEndPr/>
    <w:sdtContent>
      <w:p w14:paraId="3B3C7FAB" w14:textId="6868D396"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6DC08F5D" w14:textId="77777777" w:rsidR="00A00259" w:rsidRDefault="00A00259">
    <w:pPr>
      <w:pStyle w:val="FooterCouncil"/>
    </w:pP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56172" w14:textId="77777777" w:rsidR="00A00259" w:rsidRDefault="00A00259">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0D275" w14:textId="77777777" w:rsidR="00A00259" w:rsidRDefault="00A00259">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367176"/>
      <w:docPartObj>
        <w:docPartGallery w:val="Page Numbers (Bottom of Page)"/>
        <w:docPartUnique/>
      </w:docPartObj>
    </w:sdtPr>
    <w:sdtEndPr/>
    <w:sdtContent>
      <w:p w14:paraId="6EF0E01C" w14:textId="7919A1F3"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3A3DF935" w14:textId="77777777" w:rsidR="00A00259" w:rsidRDefault="00A00259">
    <w:pPr>
      <w:pStyle w:val="FooterCouncil"/>
    </w:pP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EDBF5" w14:textId="77777777" w:rsidR="00A00259" w:rsidRDefault="00A00259">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64749" w14:textId="77777777" w:rsidR="00A00259" w:rsidRDefault="00A00259">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7359217"/>
      <w:docPartObj>
        <w:docPartGallery w:val="Page Numbers (Bottom of Page)"/>
        <w:docPartUnique/>
      </w:docPartObj>
    </w:sdtPr>
    <w:sdtEndPr/>
    <w:sdtContent>
      <w:p w14:paraId="4968BA22" w14:textId="0D27C9A7"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78339AC0" w14:textId="77777777" w:rsidR="00A00259" w:rsidRDefault="00A00259">
    <w:pPr>
      <w:pStyle w:val="FooterCouncil"/>
    </w:pP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6A371" w14:textId="77777777" w:rsidR="00A00259" w:rsidRDefault="00A00259">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A0277" w14:textId="77777777" w:rsidR="00A00259" w:rsidRDefault="00A00259">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8473672"/>
      <w:docPartObj>
        <w:docPartGallery w:val="Page Numbers (Bottom of Page)"/>
        <w:docPartUnique/>
      </w:docPartObj>
    </w:sdtPr>
    <w:sdtEndPr/>
    <w:sdtContent>
      <w:p w14:paraId="67FF127D" w14:textId="59B833FA"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7038D40E" w14:textId="77777777" w:rsidR="00A00259" w:rsidRDefault="00A00259">
    <w:pPr>
      <w:pStyle w:val="FooterCouncil"/>
    </w:pPr>
  </w:p>
</w:ftr>
</file>

<file path=word/footer2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AA6F4" w14:textId="77777777" w:rsidR="00A00259" w:rsidRDefault="00A00259">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98C31" w14:textId="77777777" w:rsidR="00A00259" w:rsidRDefault="00A00259">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8276639"/>
      <w:docPartObj>
        <w:docPartGallery w:val="Page Numbers (Bottom of Page)"/>
        <w:docPartUnique/>
      </w:docPartObj>
    </w:sdtPr>
    <w:sdtEndPr/>
    <w:sdtContent>
      <w:p w14:paraId="3BA36A3C" w14:textId="7F8ED69E"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62B60BCF" w14:textId="77777777" w:rsidR="00A00259" w:rsidRDefault="00A00259">
    <w:pPr>
      <w:pStyle w:val="FooterCouncil"/>
    </w:pPr>
  </w:p>
</w:ftr>
</file>

<file path=word/footer2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0939A" w14:textId="77777777" w:rsidR="00A00259" w:rsidRDefault="00A00259">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4261B" w14:textId="77777777" w:rsidR="00A00259" w:rsidRDefault="00A00259">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5277674"/>
      <w:docPartObj>
        <w:docPartGallery w:val="Page Numbers (Bottom of Page)"/>
        <w:docPartUnique/>
      </w:docPartObj>
    </w:sdtPr>
    <w:sdtEndPr/>
    <w:sdtContent>
      <w:p w14:paraId="779EEB63" w14:textId="72BBEC03"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58694830" w14:textId="77777777" w:rsidR="00A00259" w:rsidRDefault="00A00259">
    <w:pPr>
      <w:pStyle w:val="FooterCouncil"/>
    </w:pPr>
  </w:p>
</w:ftr>
</file>

<file path=word/footer2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90F94" w14:textId="77777777" w:rsidR="00A00259" w:rsidRDefault="00A00259">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D597B" w14:textId="77777777" w:rsidR="00A00259" w:rsidRDefault="00A00259">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9946171"/>
      <w:docPartObj>
        <w:docPartGallery w:val="Page Numbers (Bottom of Page)"/>
        <w:docPartUnique/>
      </w:docPartObj>
    </w:sdtPr>
    <w:sdtEndPr/>
    <w:sdtContent>
      <w:p w14:paraId="50AFB7AE" w14:textId="6FB10828"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4304A0B5" w14:textId="77777777" w:rsidR="00A00259" w:rsidRDefault="00A00259">
    <w:pPr>
      <w:pStyle w:val="FooterCouncil"/>
    </w:pPr>
  </w:p>
</w:ftr>
</file>

<file path=word/footer2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79D22" w14:textId="77777777" w:rsidR="00A00259" w:rsidRDefault="00A00259">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701B7" w14:textId="77777777" w:rsidR="00A00259" w:rsidRDefault="00A00259">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0599252"/>
      <w:docPartObj>
        <w:docPartGallery w:val="Page Numbers (Bottom of Page)"/>
        <w:docPartUnique/>
      </w:docPartObj>
    </w:sdtPr>
    <w:sdtEndPr/>
    <w:sdtContent>
      <w:p w14:paraId="27EDEB09" w14:textId="7F84E488"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49FF2943" w14:textId="77777777" w:rsidR="00A00259" w:rsidRDefault="00A00259">
    <w:pPr>
      <w:pStyle w:val="FooterCouncil"/>
    </w:pPr>
  </w:p>
</w:ftr>
</file>

<file path=word/footer2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C2F63" w14:textId="77777777" w:rsidR="00A00259" w:rsidRDefault="00A00259">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BA0AA" w14:textId="77777777" w:rsidR="00A00259" w:rsidRDefault="00A00259">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142383"/>
      <w:docPartObj>
        <w:docPartGallery w:val="Page Numbers (Bottom of Page)"/>
        <w:docPartUnique/>
      </w:docPartObj>
    </w:sdtPr>
    <w:sdtEndPr/>
    <w:sdtContent>
      <w:p w14:paraId="169EAB9A" w14:textId="63EB1B19"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4AA51132" w14:textId="77777777" w:rsidR="00A00259" w:rsidRDefault="00A00259">
    <w:pPr>
      <w:pStyle w:val="FooterCouncil"/>
    </w:pPr>
  </w:p>
</w:ftr>
</file>

<file path=word/footer2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C96BA" w14:textId="77777777" w:rsidR="00A00259" w:rsidRDefault="00A00259">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9A7F2" w14:textId="77777777" w:rsidR="00A00259" w:rsidRDefault="00A00259">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079900"/>
      <w:docPartObj>
        <w:docPartGallery w:val="Page Numbers (Bottom of Page)"/>
        <w:docPartUnique/>
      </w:docPartObj>
    </w:sdtPr>
    <w:sdtEndPr/>
    <w:sdtContent>
      <w:p w14:paraId="46528524" w14:textId="640FC69B" w:rsidR="00A00259" w:rsidRDefault="00371282">
        <w:pPr>
          <w:pStyle w:val="Footer"/>
          <w:jc w:val="center"/>
        </w:pPr>
        <w:r>
          <w:fldChar w:fldCharType="begin"/>
        </w:r>
        <w:r>
          <w:instrText xml:space="preserve"> PAGE   \* MERGEFORMAT </w:instrText>
        </w:r>
        <w:r>
          <w:fldChar w:fldCharType="separate"/>
        </w:r>
        <w:r>
          <w:t>2</w:t>
        </w:r>
        <w:r>
          <w:fldChar w:fldCharType="end"/>
        </w:r>
      </w:p>
    </w:sdtContent>
  </w:sdt>
  <w:p w14:paraId="2ABCF28B" w14:textId="77777777" w:rsidR="00A00259" w:rsidRDefault="00A00259">
    <w:pPr>
      <w:pStyle w:val="FooterCouncil"/>
    </w:pPr>
  </w:p>
</w:ftr>
</file>

<file path=word/footer2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0B284" w14:textId="77777777" w:rsidR="00A00259" w:rsidRDefault="00A002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E49E04" w14:textId="77777777" w:rsidR="00371282" w:rsidRDefault="00371282">
      <w:pPr>
        <w:spacing w:after="0" w:line="240" w:lineRule="auto"/>
      </w:pPr>
      <w:r>
        <w:separator/>
      </w:r>
    </w:p>
  </w:footnote>
  <w:footnote w:type="continuationSeparator" w:id="0">
    <w:p w14:paraId="0CE2BE90" w14:textId="77777777" w:rsidR="00371282" w:rsidRDefault="00371282">
      <w:pPr>
        <w:spacing w:after="0" w:line="240" w:lineRule="auto"/>
      </w:pPr>
      <w:r>
        <w:continuationSeparator/>
      </w:r>
    </w:p>
  </w:footnote>
  <w:footnote w:type="continuationNotice" w:id="1">
    <w:p w14:paraId="5422884B" w14:textId="77777777" w:rsidR="00371282" w:rsidRDefault="00371282">
      <w:pPr>
        <w:spacing w:after="0" w:line="240" w:lineRule="auto"/>
      </w:pPr>
    </w:p>
  </w:footnote>
  <w:footnote w:id="2">
    <w:p w14:paraId="1F83925F" w14:textId="77777777" w:rsidR="00A00259" w:rsidRDefault="00371282">
      <w:pPr>
        <w:pStyle w:val="FootnoteText"/>
        <w:ind w:left="0" w:firstLine="0"/>
      </w:pPr>
      <w:r>
        <w:rPr>
          <w:rStyle w:val="FootnoteReference"/>
        </w:rPr>
        <w:footnoteRef/>
      </w:r>
      <w:r>
        <w:t xml:space="preserve"> Les intermédiaires financiers </w:t>
      </w:r>
      <w:r>
        <w:rPr>
          <w:rFonts w:eastAsia="Times New Roman"/>
        </w:rPr>
        <w:t>sont tenus de fournir une justification du domaine d’intervention sélectionné pour chaque projet soutenu, ainsi qu’une description du projet, aux fins du calcul de la contribution climatique. Le partenaire chargé de la mise en œuvre est également tenu de fournir à l’État membre un rapport semestriel sur la mise en œuvre de chaque projet/activité.</w:t>
      </w:r>
    </w:p>
  </w:footnote>
  <w:footnote w:id="3">
    <w:p w14:paraId="1592FB6A" w14:textId="77777777" w:rsidR="00A00259" w:rsidRDefault="00371282">
      <w:pPr>
        <w:pStyle w:val="FootnoteText"/>
        <w:ind w:left="0" w:firstLine="0"/>
      </w:pPr>
      <w:r>
        <w:rPr>
          <w:rStyle w:val="FootnoteReference"/>
        </w:rPr>
        <w:footnoteRef/>
      </w:r>
      <w:r>
        <w:t xml:space="preserve"> À l’exception des projets relevant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4">
    <w:p w14:paraId="42C3CE20" w14:textId="77777777" w:rsidR="00A00259" w:rsidRDefault="00371282">
      <w:pPr>
        <w:pStyle w:val="FootnoteText"/>
        <w:ind w:left="0" w:firstLine="0"/>
      </w:pPr>
      <w:r>
        <w:rPr>
          <w:rStyle w:val="FootnoteReference"/>
        </w:rPr>
        <w:footnoteRef/>
      </w:r>
      <w: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5">
    <w:p w14:paraId="6CC77970" w14:textId="77777777" w:rsidR="00A00259" w:rsidRDefault="00371282">
      <w:pPr>
        <w:spacing w:after="0" w:line="240" w:lineRule="auto"/>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sz w:val="20"/>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6">
    <w:p w14:paraId="3B8AB965" w14:textId="77777777" w:rsidR="00A00259" w:rsidRDefault="00371282">
      <w:pPr>
        <w:pStyle w:val="FootnoteText"/>
        <w:ind w:left="0" w:firstLine="0"/>
      </w:pPr>
      <w:r>
        <w:rPr>
          <w:rStyle w:val="FootnoteReference"/>
        </w:rPr>
        <w:footnoteRef/>
      </w:r>
      <w: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7">
    <w:p w14:paraId="53F72D55" w14:textId="77777777" w:rsidR="00A00259" w:rsidRDefault="00371282">
      <w:pPr>
        <w:spacing w:after="0" w:line="240" w:lineRule="auto"/>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8">
    <w:p w14:paraId="4C930752" w14:textId="77777777" w:rsidR="00A00259" w:rsidRDefault="00371282">
      <w:pPr>
        <w:spacing w:after="0" w:line="240" w:lineRule="auto"/>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r>
        <w:rPr>
          <w:rFonts w:ascii="Times New Roman" w:eastAsia="EC Square Sans Pro" w:hAnsi="Times New Roman" w:cs="Times New Roman"/>
        </w:rPr>
        <w:t> </w:t>
      </w:r>
    </w:p>
  </w:footnote>
  <w:footnote w:id="9">
    <w:p w14:paraId="3F8CAEC7" w14:textId="77777777" w:rsidR="00A00259" w:rsidRDefault="00371282">
      <w:pPr>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0">
    <w:p w14:paraId="1319E7E8" w14:textId="77777777" w:rsidR="00A00259" w:rsidRDefault="00371282">
      <w:pPr>
        <w:spacing w:after="0" w:line="240" w:lineRule="auto"/>
        <w:jc w:val="both"/>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1">
    <w:p w14:paraId="63E25A10" w14:textId="77777777" w:rsidR="00A00259" w:rsidRDefault="00371282">
      <w:pPr>
        <w:spacing w:after="0" w:line="240" w:lineRule="auto"/>
        <w:jc w:val="both"/>
        <w:rPr>
          <w:rFonts w:eastAsia="Times New Roman"/>
        </w:rPr>
      </w:pPr>
      <w:r>
        <w:rPr>
          <w:rStyle w:val="FootnoteReference"/>
        </w:rPr>
        <w:footnoteRef/>
      </w:r>
      <w:r>
        <w:t xml:space="preserve"> </w:t>
      </w:r>
      <w:r>
        <w:rPr>
          <w:rFonts w:ascii="Times New Roman" w:eastAsia="Times New Roman" w:hAnsi="Times New Roman" w:cs="Times New Roman"/>
          <w:sz w:val="20"/>
          <w:szCs w:val="20"/>
        </w:rPr>
        <w:t>Il est considéré qu’un bénéficiaire final a un «accent substantiel» sur un secteur ou une activité commerciale si ce secteur ou cette activité est identifié comme étant une partie essentielle de l’activité commerciale du bénéficiaire final, respectivement en ce qui concerne les recettes brutes, les bénéfices ou la clientèle du bénéficiaire final. Les recettes brutes générées par le secteur ou l'activité faisant l'objet de restrictions ne dépassent en aucun cas 50 % des recettes brutes.</w:t>
      </w:r>
    </w:p>
  </w:footnote>
  <w:footnote w:id="12">
    <w:p w14:paraId="7DA60D26" w14:textId="77777777" w:rsidR="00A00259" w:rsidRDefault="0037128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13">
    <w:p w14:paraId="665355E0" w14:textId="77777777" w:rsidR="00A00259" w:rsidRDefault="00371282">
      <w:pPr>
        <w:spacing w:after="0" w:line="240" w:lineRule="auto"/>
        <w:jc w:val="both"/>
        <w:rPr>
          <w:rFonts w:eastAsia="EC Square Sans Pro"/>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Y compris les activités et les actifs relevant du système d’échange de quotas d’émission (SEQE) de l’UE qui permettent d’atteindre des émissions de gaz à effet de serre prévues qui ne sont pas inférieures aux référentiels pertinents.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4">
    <w:p w14:paraId="261261F2" w14:textId="77777777" w:rsidR="00A00259" w:rsidRDefault="00371282">
      <w:pPr>
        <w:spacing w:after="0" w:line="240" w:lineRule="auto"/>
        <w:jc w:val="both"/>
        <w:rPr>
          <w:rFonts w:ascii="Times New Roman" w:eastAsia="Times New Roman" w:hAnsi="Times New Roman" w:cs="Times New Roman"/>
        </w:rPr>
      </w:pPr>
      <w:r>
        <w:rPr>
          <w:rStyle w:val="FootnoteReference"/>
        </w:rPr>
        <w:footnoteRef/>
      </w:r>
      <w:r>
        <w:rPr>
          <w:rStyle w:val="FootnoteReference"/>
        </w:rPr>
        <w:t xml:space="preserve"> </w:t>
      </w:r>
      <w:r>
        <w:rPr>
          <w:rFonts w:ascii="Times New Roman" w:hAnsi="Times New Roman" w:cs="Times New Roman"/>
          <w:sz w:val="20"/>
          <w:szCs w:val="20"/>
        </w:rPr>
        <w:t>Les véhicules polluants sont définis comme des véhicules à émissions non nulles.</w:t>
      </w:r>
    </w:p>
  </w:footnote>
  <w:footnote w:id="15">
    <w:p w14:paraId="2A444626" w14:textId="77777777" w:rsidR="00A00259" w:rsidRDefault="00371282">
      <w:pPr>
        <w:spacing w:after="0" w:line="240" w:lineRule="auto"/>
        <w:jc w:val="both"/>
        <w:rPr>
          <w:rFonts w:eastAsia="Times New Roman"/>
        </w:rPr>
      </w:pPr>
      <w:r>
        <w:rPr>
          <w:rStyle w:val="FootnoteReference"/>
        </w:rPr>
        <w:footnoteRef/>
      </w:r>
      <w:r>
        <w:t xml:space="preserve"> </w:t>
      </w:r>
      <w:r>
        <w:rPr>
          <w:rFonts w:ascii="Times New Roman" w:eastAsia="Times New Roman" w:hAnsi="Times New Roman" w:cs="Times New Roman"/>
          <w:sz w:val="20"/>
          <w:szCs w:val="20"/>
        </w:rPr>
        <w:t>Cette exclusion ne s’applique pas aux actions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5B99D" w14:textId="77777777" w:rsidR="00FA1408" w:rsidRPr="00FA1408" w:rsidRDefault="00FA1408" w:rsidP="00FA140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27DD7" w14:textId="77777777" w:rsidR="00FA1408" w:rsidRPr="00FA1408" w:rsidRDefault="00FA1408" w:rsidP="00FA140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8C4E9" w14:textId="77777777" w:rsidR="00FA1408" w:rsidRPr="00FA1408" w:rsidRDefault="00FA1408" w:rsidP="00FA140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D4779" w14:textId="77777777" w:rsidR="00A00259" w:rsidRDefault="00A0025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D0AF9" w14:textId="77777777" w:rsidR="00A00259" w:rsidRDefault="00371282">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98591"/>
      <w:docPartObj>
        <w:docPartGallery w:val="Page Numbers (Top of Page)"/>
        <w:docPartUnique/>
      </w:docPartObj>
    </w:sdtPr>
    <w:sdtEndPr/>
    <w:sdtContent>
      <w:p w14:paraId="12D34C5D" w14:textId="77777777" w:rsidR="00A00259" w:rsidRDefault="00371282">
        <w:pPr>
          <w:pStyle w:val="Header"/>
          <w:jc w:val="center"/>
        </w:pPr>
        <w:r>
          <w:fldChar w:fldCharType="begin"/>
        </w:r>
        <w:r>
          <w:instrText xml:space="preserve"> PAGE   \* MERGEFORMAT </w:instrText>
        </w:r>
        <w:r>
          <w:fldChar w:fldCharType="separate"/>
        </w:r>
        <w:r>
          <w:t>2</w:t>
        </w:r>
        <w:r>
          <w:fldChar w:fldCharType="end"/>
        </w:r>
      </w:p>
    </w:sdtContent>
  </w:sdt>
  <w:p w14:paraId="4F253CCA" w14:textId="77777777" w:rsidR="00A00259" w:rsidRDefault="00A0025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11CF1" w14:textId="77777777" w:rsidR="00A00259" w:rsidRDefault="00A0025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D0DD9" w14:textId="77777777" w:rsidR="00A00259" w:rsidRDefault="00371282">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3916F" w14:textId="77777777" w:rsidR="00A00259" w:rsidRDefault="00A0025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13812" w14:textId="77777777" w:rsidR="00A00259" w:rsidRDefault="00A0025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1F00E" w14:textId="77777777" w:rsidR="00A00259" w:rsidRDefault="00371282">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3CC1D" w14:textId="77777777" w:rsidR="00A00259" w:rsidRDefault="00A0025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24370" w14:textId="77777777" w:rsidR="00A00259" w:rsidRDefault="00A0025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7B8A9" w14:textId="77777777" w:rsidR="00A00259" w:rsidRDefault="00371282">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3D2D4" w14:textId="77777777" w:rsidR="00A00259" w:rsidRDefault="00A0025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18FEF" w14:textId="77777777" w:rsidR="00A00259" w:rsidRDefault="00A0025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08E7A" w14:textId="77777777" w:rsidR="00A00259" w:rsidRDefault="00371282">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834DF" w14:textId="77777777" w:rsidR="00A00259" w:rsidRDefault="00A0025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EF105" w14:textId="77777777" w:rsidR="00A00259" w:rsidRDefault="00A0025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13EB6" w14:textId="77777777" w:rsidR="00A00259" w:rsidRDefault="00371282">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1ECAF" w14:textId="77777777" w:rsidR="00A00259" w:rsidRDefault="00A0025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FC060" w14:textId="77777777" w:rsidR="00A00259" w:rsidRDefault="00A0025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99975" w14:textId="77777777" w:rsidR="00A00259" w:rsidRDefault="00371282">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C82C5" w14:textId="77777777" w:rsidR="00A00259" w:rsidRDefault="00A0025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10793" w14:textId="77777777" w:rsidR="00A00259" w:rsidRDefault="00A0025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B74C0" w14:textId="77777777" w:rsidR="00A00259" w:rsidRDefault="00371282">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75C2A" w14:textId="77777777" w:rsidR="00A00259" w:rsidRDefault="00A0025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6DB8E" w14:textId="77777777" w:rsidR="00A00259" w:rsidRDefault="00A0025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7D30F" w14:textId="77777777" w:rsidR="00A00259" w:rsidRDefault="00371282">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C990E" w14:textId="77777777" w:rsidR="00A00259" w:rsidRDefault="00A0025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31ECE" w14:textId="77777777" w:rsidR="00A00259" w:rsidRDefault="00A0025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F7EAD" w14:textId="77777777" w:rsidR="00A00259" w:rsidRDefault="00371282">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84609" w14:textId="77777777" w:rsidR="00A00259" w:rsidRDefault="00A0025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E6E0C" w14:textId="77777777" w:rsidR="00A00259" w:rsidRDefault="00A0025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9A6F8" w14:textId="77777777" w:rsidR="00A00259" w:rsidRDefault="00371282">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BDCDC" w14:textId="77777777" w:rsidR="00A00259" w:rsidRDefault="00A0025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67A24" w14:textId="77777777" w:rsidR="00A00259" w:rsidRDefault="00A0025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29F90" w14:textId="77777777" w:rsidR="00A00259" w:rsidRDefault="00371282">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085EF" w14:textId="77777777" w:rsidR="00A00259" w:rsidRDefault="00A0025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1ED04" w14:textId="77777777" w:rsidR="00A00259" w:rsidRDefault="00A0025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849C9" w14:textId="77777777" w:rsidR="00A00259" w:rsidRDefault="00371282">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8ECA9" w14:textId="77777777" w:rsidR="00A00259" w:rsidRDefault="00A0025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9EEE6" w14:textId="77777777" w:rsidR="00A00259" w:rsidRDefault="00A0025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367B8" w14:textId="77777777" w:rsidR="00A00259" w:rsidRDefault="00371282">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38F23" w14:textId="77777777" w:rsidR="00A00259" w:rsidRDefault="00A0025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B2D15" w14:textId="77777777" w:rsidR="00A00259" w:rsidRDefault="00A0025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52BDD" w14:textId="77777777" w:rsidR="00A00259" w:rsidRDefault="00371282">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8644E" w14:textId="77777777" w:rsidR="00A00259" w:rsidRDefault="00A0025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82E72" w14:textId="77777777" w:rsidR="00A00259" w:rsidRDefault="00A0025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9422F" w14:textId="77777777" w:rsidR="00A00259" w:rsidRDefault="00371282">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D1486" w14:textId="77777777" w:rsidR="00A00259" w:rsidRDefault="00A0025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75B59" w14:textId="77777777" w:rsidR="00A00259" w:rsidRDefault="00A0025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3C735" w14:textId="77777777" w:rsidR="00A00259" w:rsidRDefault="00371282">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357DF" w14:textId="77777777" w:rsidR="00A00259" w:rsidRDefault="00A0025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4687B" w14:textId="77777777" w:rsidR="00A00259" w:rsidRDefault="00A0025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9BEAF" w14:textId="77777777" w:rsidR="00A00259" w:rsidRDefault="00371282">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6D5D3" w14:textId="77777777" w:rsidR="00A00259" w:rsidRDefault="00A0025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0890D" w14:textId="77777777" w:rsidR="00A00259" w:rsidRDefault="00A0025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5BF25" w14:textId="77777777" w:rsidR="00A00259" w:rsidRDefault="00371282">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27B47" w14:textId="77777777" w:rsidR="00A00259" w:rsidRDefault="00A0025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C60D9" w14:textId="77777777" w:rsidR="00A00259" w:rsidRDefault="00A0025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EEA50" w14:textId="77777777" w:rsidR="00A00259" w:rsidRDefault="00371282">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06A3A" w14:textId="77777777" w:rsidR="00A00259" w:rsidRDefault="00A0025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3EC75" w14:textId="77777777" w:rsidR="00A00259" w:rsidRDefault="00A0025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5100C" w14:textId="77777777" w:rsidR="00A00259" w:rsidRDefault="00371282">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B320D" w14:textId="77777777" w:rsidR="00A00259" w:rsidRDefault="00A0025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CAB1F" w14:textId="77777777" w:rsidR="00A00259" w:rsidRDefault="00A0025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FD320" w14:textId="77777777" w:rsidR="00A00259" w:rsidRDefault="00371282">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A55FB" w14:textId="77777777" w:rsidR="00A00259" w:rsidRDefault="00A0025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85E14" w14:textId="77777777" w:rsidR="00A00259" w:rsidRDefault="00A0025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94086" w14:textId="77777777" w:rsidR="00A00259" w:rsidRDefault="00371282">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37392" w14:textId="77777777" w:rsidR="00A00259" w:rsidRDefault="00A0025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1EF00" w14:textId="77777777" w:rsidR="00A00259" w:rsidRDefault="00A0025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465EA" w14:textId="77777777" w:rsidR="00A00259" w:rsidRDefault="00371282">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30532" w14:textId="77777777" w:rsidR="00A00259" w:rsidRDefault="00A00259">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2E280" w14:textId="77777777" w:rsidR="00A00259" w:rsidRDefault="00A00259">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BC560" w14:textId="77777777" w:rsidR="00A00259" w:rsidRDefault="00371282">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EC080" w14:textId="77777777" w:rsidR="00A00259" w:rsidRDefault="00A00259">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116AB" w14:textId="77777777" w:rsidR="00A00259" w:rsidRDefault="00A00259">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8C7AC" w14:textId="77777777" w:rsidR="00A00259" w:rsidRDefault="00371282">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BBF4C" w14:textId="77777777" w:rsidR="00A00259" w:rsidRDefault="00A00259">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246BF" w14:textId="77777777" w:rsidR="00A00259" w:rsidRDefault="00A00259">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46059" w14:textId="77777777" w:rsidR="00A00259" w:rsidRDefault="00371282">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E8199" w14:textId="77777777" w:rsidR="00A00259" w:rsidRDefault="00A00259">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2D741" w14:textId="77777777" w:rsidR="00A00259" w:rsidRDefault="00A00259">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B1220" w14:textId="77777777" w:rsidR="00A00259" w:rsidRDefault="00371282">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F5FDE" w14:textId="77777777" w:rsidR="00A00259" w:rsidRDefault="00A00259">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5744B" w14:textId="77777777" w:rsidR="00A00259" w:rsidRDefault="00A00259">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5983B" w14:textId="77777777" w:rsidR="00A00259" w:rsidRDefault="00371282">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35059" w14:textId="77777777" w:rsidR="00A00259" w:rsidRDefault="00A00259">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10273" w14:textId="77777777" w:rsidR="00A00259" w:rsidRDefault="00A00259">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E77DA" w14:textId="77777777" w:rsidR="00A00259" w:rsidRDefault="00371282">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662C3" w14:textId="77777777" w:rsidR="00A00259" w:rsidRDefault="00A00259">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45304" w14:textId="77777777" w:rsidR="00A00259" w:rsidRDefault="00A00259">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34882" w14:textId="77777777" w:rsidR="00A00259" w:rsidRDefault="00371282">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093BA" w14:textId="77777777" w:rsidR="00A00259" w:rsidRDefault="00A00259">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C0D30" w14:textId="77777777" w:rsidR="00A00259" w:rsidRDefault="00A00259">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20E0D" w14:textId="77777777" w:rsidR="00A00259" w:rsidRDefault="00371282">
    <w:r>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007D0" w14:textId="77777777" w:rsidR="00A00259" w:rsidRDefault="00A00259">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4D2B8" w14:textId="77777777" w:rsidR="00A00259" w:rsidRDefault="00A00259">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6308C" w14:textId="77777777" w:rsidR="00A00259" w:rsidRDefault="00371282">
    <w:r>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BDD62" w14:textId="77777777" w:rsidR="00A00259" w:rsidRDefault="00A00259">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B80F3" w14:textId="77777777" w:rsidR="00A00259" w:rsidRDefault="00A00259">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C79F1" w14:textId="77777777" w:rsidR="00A00259" w:rsidRDefault="00371282">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EE984" w14:textId="77777777" w:rsidR="00A00259" w:rsidRDefault="00A00259">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C9855" w14:textId="77777777" w:rsidR="00A00259" w:rsidRDefault="00A00259">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A3E7B" w14:textId="77777777" w:rsidR="00A00259" w:rsidRDefault="00371282">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5A249" w14:textId="77777777" w:rsidR="00A00259" w:rsidRDefault="00A00259">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BB949" w14:textId="77777777" w:rsidR="00A00259" w:rsidRDefault="00A00259">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C71E2" w14:textId="77777777" w:rsidR="00A00259" w:rsidRDefault="00371282">
    <w:r>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93892" w14:textId="77777777" w:rsidR="00A00259" w:rsidRDefault="00A00259">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9CA4D" w14:textId="77777777" w:rsidR="00A00259" w:rsidRDefault="00A00259">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0B6A4" w14:textId="77777777" w:rsidR="00A00259" w:rsidRDefault="00371282">
    <w:r>
      <w:t> </w: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4F926" w14:textId="77777777" w:rsidR="00A00259" w:rsidRDefault="00A00259">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0D28C" w14:textId="77777777" w:rsidR="00A00259" w:rsidRDefault="00A00259">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FBFCE" w14:textId="00177FCE" w:rsidR="00A00259" w:rsidRDefault="00A00259">
    <w:pPr>
      <w:pStyle w:val="Header"/>
      <w:jc w:val="center"/>
    </w:pPr>
  </w:p>
  <w:p w14:paraId="4434971D" w14:textId="74E03FE2" w:rsidR="00A00259" w:rsidRDefault="00A00259"/>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03476" w14:textId="77777777" w:rsidR="00A00259" w:rsidRDefault="00A00259">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A9508" w14:textId="77777777" w:rsidR="00A00259" w:rsidRDefault="00A00259">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3752A" w14:textId="77777777" w:rsidR="00A00259" w:rsidRDefault="00371282">
    <w:r>
      <w:t> </w: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1D636" w14:textId="77777777" w:rsidR="00A00259" w:rsidRDefault="00A00259">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AA94B" w14:textId="77777777" w:rsidR="00A00259" w:rsidRDefault="00A00259">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F4388" w14:textId="77777777" w:rsidR="00A00259" w:rsidRDefault="00371282">
    <w:r>
      <w:t> </w:t>
    </w: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E5D9A" w14:textId="77777777" w:rsidR="00A00259" w:rsidRDefault="00A00259">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B9B20" w14:textId="77777777" w:rsidR="00A00259" w:rsidRDefault="00A00259">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88FA4" w14:textId="77777777" w:rsidR="00A00259" w:rsidRDefault="00371282">
    <w:r>
      <w:t>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958D7" w14:textId="77777777" w:rsidR="00A00259" w:rsidRDefault="00A00259">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C326B" w14:textId="77777777" w:rsidR="00A00259" w:rsidRDefault="00A00259">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87E94" w14:textId="77777777" w:rsidR="00A00259" w:rsidRDefault="00371282">
    <w:r>
      <w:t>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51D4F" w14:textId="77777777" w:rsidR="00A00259" w:rsidRDefault="00A00259">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03091" w14:textId="77777777" w:rsidR="00A00259" w:rsidRDefault="00A00259">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0AB47" w14:textId="77777777" w:rsidR="00A00259" w:rsidRDefault="00371282">
    <w:r>
      <w:t> </w:t>
    </w: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935C8" w14:textId="77777777" w:rsidR="00A00259" w:rsidRDefault="00A00259">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3CEBF" w14:textId="77777777" w:rsidR="00A00259" w:rsidRDefault="00A00259">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9C8C5" w14:textId="77777777" w:rsidR="00A00259" w:rsidRDefault="00371282">
    <w:r>
      <w:t>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83C18" w14:textId="77777777" w:rsidR="00A00259" w:rsidRDefault="00A00259">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FAE7A" w14:textId="77777777" w:rsidR="00A00259" w:rsidRDefault="00A00259">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7CB45" w14:textId="77777777" w:rsidR="00A00259" w:rsidRDefault="00371282">
    <w:r>
      <w:t> </w: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67FCB" w14:textId="77777777" w:rsidR="00A00259" w:rsidRDefault="00A00259">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95616" w14:textId="77777777" w:rsidR="00A00259" w:rsidRDefault="00A00259">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8C83D" w14:textId="77777777" w:rsidR="00A00259" w:rsidRDefault="00371282">
    <w:r>
      <w:t> </w:t>
    </w: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E61E7" w14:textId="77777777" w:rsidR="00A00259" w:rsidRDefault="00A00259">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EA06B" w14:textId="77777777" w:rsidR="00A00259" w:rsidRDefault="00A00259">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06F72" w14:textId="77777777" w:rsidR="00A00259" w:rsidRDefault="00371282">
    <w:r>
      <w:t> </w: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18C2B" w14:textId="77777777" w:rsidR="00A00259" w:rsidRDefault="00A00259">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8F9D4" w14:textId="77777777" w:rsidR="00A00259" w:rsidRDefault="00A00259">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1A521" w14:textId="77777777" w:rsidR="00A00259" w:rsidRDefault="00371282">
    <w:r>
      <w:t> </w:t>
    </w: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A2298" w14:textId="77777777" w:rsidR="00A00259" w:rsidRDefault="00A00259">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EC503" w14:textId="77777777" w:rsidR="00A00259" w:rsidRDefault="00A00259">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8D19C" w14:textId="77777777" w:rsidR="00A00259" w:rsidRDefault="00371282">
    <w:r>
      <w:t> </w:t>
    </w: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3F225" w14:textId="77777777" w:rsidR="00A00259" w:rsidRDefault="00A00259">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C33B2" w14:textId="77777777" w:rsidR="00A00259" w:rsidRDefault="00A00259">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3A041" w14:textId="77777777" w:rsidR="00A00259" w:rsidRDefault="00371282">
    <w:r>
      <w:t> </w:t>
    </w: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51AFF" w14:textId="77777777" w:rsidR="00A00259" w:rsidRDefault="00A00259">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F0C98" w14:textId="77777777" w:rsidR="00A00259" w:rsidRDefault="00A00259">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B69F8" w14:textId="77777777" w:rsidR="00A00259" w:rsidRDefault="00371282">
    <w:r>
      <w:t> </w:t>
    </w: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608B6" w14:textId="77777777" w:rsidR="00A00259" w:rsidRDefault="00A00259">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F7FEF" w14:textId="77777777" w:rsidR="00A00259" w:rsidRDefault="00A00259">
    <w:pPr>
      <w:pStyle w:val="Header"/>
    </w:pP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E6004" w14:textId="77777777" w:rsidR="00A00259" w:rsidRDefault="00371282">
    <w:r>
      <w:t> </w:t>
    </w: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047F0" w14:textId="77777777" w:rsidR="00A00259" w:rsidRDefault="00A00259">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B47ED" w14:textId="77777777" w:rsidR="00A00259" w:rsidRDefault="00A00259">
    <w:pPr>
      <w:pStyle w:val="Header"/>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869A2" w14:textId="77777777" w:rsidR="00A00259" w:rsidRDefault="00371282">
    <w:r>
      <w:t> </w:t>
    </w: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5372A" w14:textId="77777777" w:rsidR="00A00259" w:rsidRDefault="00A00259">
    <w:pPr>
      <w:pStyle w:val="Header"/>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2F3C1" w14:textId="77777777" w:rsidR="00A00259" w:rsidRDefault="00A00259">
    <w:pPr>
      <w:pStyle w:val="Header"/>
    </w:pP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DB6BC" w14:textId="77777777" w:rsidR="00A00259" w:rsidRDefault="00371282">
    <w:r>
      <w:t> </w:t>
    </w: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A1718" w14:textId="77777777" w:rsidR="00A00259" w:rsidRDefault="00A00259">
    <w:pPr>
      <w:pStyle w:val="Header"/>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A5A22" w14:textId="77777777" w:rsidR="00A00259" w:rsidRDefault="00A00259">
    <w:pPr>
      <w:pStyle w:val="Header"/>
    </w:pP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7CD28" w14:textId="77777777" w:rsidR="00A00259" w:rsidRDefault="00371282">
    <w:r>
      <w:t> </w:t>
    </w: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10983" w14:textId="77777777" w:rsidR="00A00259" w:rsidRDefault="00A00259">
    <w:pPr>
      <w:pStyle w:val="Header"/>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D5806" w14:textId="77777777" w:rsidR="00A00259" w:rsidRDefault="00A00259">
    <w:pPr>
      <w:pStyle w:val="Header"/>
    </w:pP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9788B" w14:textId="77777777" w:rsidR="00A00259" w:rsidRDefault="00371282">
    <w:r>
      <w:t> </w:t>
    </w: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072E3" w14:textId="77777777" w:rsidR="00A00259" w:rsidRDefault="00A00259">
    <w:pPr>
      <w:pStyle w:val="Header"/>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FE3B9" w14:textId="77777777" w:rsidR="00A00259" w:rsidRDefault="00A00259">
    <w:pPr>
      <w:pStyle w:val="Header"/>
    </w:pP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0B359" w14:textId="77777777" w:rsidR="00A00259" w:rsidRDefault="00371282">
    <w:r>
      <w:t> </w:t>
    </w: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9C4EE" w14:textId="77777777" w:rsidR="00A00259" w:rsidRDefault="00A00259">
    <w:pPr>
      <w:pStyle w:val="Header"/>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BA8E7" w14:textId="77777777" w:rsidR="00A00259" w:rsidRDefault="00A00259">
    <w:pPr>
      <w:pStyle w:val="Header"/>
    </w:pP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19415" w14:textId="77777777" w:rsidR="00A00259" w:rsidRDefault="00371282">
    <w:r>
      <w:t> </w:t>
    </w: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C0520" w14:textId="77777777" w:rsidR="00A00259" w:rsidRDefault="00A00259">
    <w:pPr>
      <w:pStyle w:val="Header"/>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C7457" w14:textId="77777777" w:rsidR="00A00259" w:rsidRDefault="00A00259">
    <w:pPr>
      <w:pStyle w:val="Header"/>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D64A2" w14:textId="77777777" w:rsidR="00A00259" w:rsidRDefault="00371282">
    <w:r>
      <w:t> </w:t>
    </w: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6F1C5" w14:textId="77777777" w:rsidR="00A00259" w:rsidRDefault="00A00259">
    <w:pPr>
      <w:pStyle w:val="Header"/>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EDA7A" w14:textId="77777777" w:rsidR="00A00259" w:rsidRDefault="00A00259">
    <w:pPr>
      <w:pStyle w:val="Header"/>
    </w:pP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A93BF" w14:textId="77777777" w:rsidR="00A00259" w:rsidRDefault="00371282">
    <w:r>
      <w:t> </w:t>
    </w: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4089E" w14:textId="77777777" w:rsidR="00A00259" w:rsidRDefault="00A00259">
    <w:pPr>
      <w:pStyle w:val="Header"/>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CFD0A" w14:textId="77777777" w:rsidR="00A00259" w:rsidRDefault="00A00259">
    <w:pPr>
      <w:pStyle w:val="Header"/>
    </w:pP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0E1EB" w14:textId="77777777" w:rsidR="00A00259" w:rsidRDefault="00371282">
    <w:r>
      <w:t> </w:t>
    </w: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62D29" w14:textId="77777777" w:rsidR="00A00259" w:rsidRDefault="00A00259">
    <w:pPr>
      <w:pStyle w:val="Header"/>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1F121" w14:textId="77777777" w:rsidR="00A00259" w:rsidRDefault="00A00259">
    <w:pPr>
      <w:pStyle w:val="Header"/>
    </w:pP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B430D" w14:textId="77777777" w:rsidR="00A00259" w:rsidRDefault="00371282">
    <w:r>
      <w:t> </w:t>
    </w: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58166" w14:textId="77777777" w:rsidR="00A00259" w:rsidRDefault="00A00259">
    <w:pPr>
      <w:pStyle w:val="Header"/>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970F0" w14:textId="77777777" w:rsidR="00A00259" w:rsidRDefault="00A00259">
    <w:pPr>
      <w:pStyle w:val="Header"/>
    </w:pP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C6415" w14:textId="77777777" w:rsidR="00A00259" w:rsidRDefault="00371282">
    <w:r>
      <w:t> </w:t>
    </w: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7ADAF" w14:textId="77777777" w:rsidR="00A00259" w:rsidRDefault="00A00259">
    <w:pPr>
      <w:pStyle w:val="Header"/>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76D3A" w14:textId="77777777" w:rsidR="00A00259" w:rsidRDefault="00A00259">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BED35" w14:textId="77777777" w:rsidR="00A00259" w:rsidRDefault="00371282">
    <w:r>
      <w:t> </w:t>
    </w:r>
  </w:p>
</w:hdr>
</file>

<file path=word/header1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612B1" w14:textId="77777777" w:rsidR="00A00259" w:rsidRDefault="00A00259">
    <w:pPr>
      <w:pStyle w:val="Header"/>
    </w:pPr>
  </w:p>
</w:hdr>
</file>

<file path=word/header1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D2A37" w14:textId="77777777" w:rsidR="00A00259" w:rsidRDefault="00A00259">
    <w:pPr>
      <w:pStyle w:val="Header"/>
    </w:pPr>
  </w:p>
</w:hdr>
</file>

<file path=word/header1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4879A" w14:textId="77777777" w:rsidR="00A00259" w:rsidRDefault="00371282">
    <w:r>
      <w:t> </w:t>
    </w:r>
  </w:p>
</w:hdr>
</file>

<file path=word/header1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9E274" w14:textId="77777777" w:rsidR="00A00259" w:rsidRDefault="00A00259">
    <w:pPr>
      <w:pStyle w:val="Header"/>
    </w:pPr>
  </w:p>
</w:hdr>
</file>

<file path=word/header1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665EE" w14:textId="77777777" w:rsidR="00A00259" w:rsidRDefault="00A00259">
    <w:pPr>
      <w:pStyle w:val="Header"/>
    </w:pPr>
  </w:p>
</w:hdr>
</file>

<file path=word/header2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3571A" w14:textId="77777777" w:rsidR="00A00259" w:rsidRDefault="00371282">
    <w:r>
      <w:t> </w:t>
    </w:r>
  </w:p>
</w:hdr>
</file>

<file path=word/header2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0C02C" w14:textId="77777777" w:rsidR="00A00259" w:rsidRDefault="00A00259">
    <w:pPr>
      <w:pStyle w:val="Header"/>
    </w:pPr>
  </w:p>
</w:hdr>
</file>

<file path=word/header2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9E10A" w14:textId="77777777" w:rsidR="00A00259" w:rsidRDefault="00A00259">
    <w:pPr>
      <w:pStyle w:val="Header"/>
    </w:pPr>
  </w:p>
</w:hdr>
</file>

<file path=word/header2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536F2" w14:textId="77777777" w:rsidR="00A00259" w:rsidRDefault="00371282">
    <w:r>
      <w:t> </w:t>
    </w:r>
  </w:p>
</w:hdr>
</file>

<file path=word/header2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4BD30" w14:textId="77777777" w:rsidR="00A00259" w:rsidRDefault="00A00259">
    <w:pPr>
      <w:pStyle w:val="Header"/>
    </w:pPr>
  </w:p>
</w:hdr>
</file>

<file path=word/header2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1C4BF" w14:textId="77777777" w:rsidR="00A00259" w:rsidRDefault="00A00259">
    <w:pPr>
      <w:pStyle w:val="Header"/>
    </w:pPr>
  </w:p>
</w:hdr>
</file>

<file path=word/header2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637A9" w14:textId="77777777" w:rsidR="00A00259" w:rsidRDefault="00371282">
    <w:r>
      <w:t> </w:t>
    </w:r>
  </w:p>
</w:hdr>
</file>

<file path=word/header2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7D614" w14:textId="77777777" w:rsidR="00A00259" w:rsidRDefault="00A00259">
    <w:pPr>
      <w:pStyle w:val="Header"/>
    </w:pPr>
  </w:p>
</w:hdr>
</file>

<file path=word/header2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644C9" w14:textId="77777777" w:rsidR="00A00259" w:rsidRDefault="00A00259">
    <w:pPr>
      <w:pStyle w:val="Header"/>
    </w:pPr>
  </w:p>
</w:hdr>
</file>

<file path=word/header2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B9262" w14:textId="77777777" w:rsidR="00A00259" w:rsidRDefault="00371282">
    <w:r>
      <w:t> </w:t>
    </w:r>
  </w:p>
</w:hdr>
</file>

<file path=word/header2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258D8" w14:textId="77777777" w:rsidR="00A00259" w:rsidRDefault="00A00259">
    <w:pPr>
      <w:pStyle w:val="Header"/>
    </w:pPr>
  </w:p>
</w:hdr>
</file>

<file path=word/header2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46847" w14:textId="77777777" w:rsidR="00A00259" w:rsidRDefault="00A00259">
    <w:pPr>
      <w:pStyle w:val="Header"/>
    </w:pPr>
  </w:p>
</w:hdr>
</file>

<file path=word/header2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BFEFE" w14:textId="77777777" w:rsidR="00A00259" w:rsidRDefault="00371282">
    <w:r>
      <w:t> </w:t>
    </w:r>
  </w:p>
</w:hdr>
</file>

<file path=word/header2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D00A9" w14:textId="77777777" w:rsidR="00A00259" w:rsidRDefault="00A00259">
    <w:pPr>
      <w:pStyle w:val="Header"/>
    </w:pPr>
  </w:p>
</w:hdr>
</file>

<file path=word/header2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EC2C5" w14:textId="77777777" w:rsidR="00A00259" w:rsidRDefault="00A00259">
    <w:pPr>
      <w:pStyle w:val="Header"/>
    </w:pPr>
  </w:p>
</w:hdr>
</file>

<file path=word/header2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2DB0F" w14:textId="77777777" w:rsidR="00A00259" w:rsidRDefault="00371282">
    <w:r>
      <w:t> </w:t>
    </w:r>
  </w:p>
</w:hdr>
</file>

<file path=word/header2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7EF4C" w14:textId="77777777" w:rsidR="00A00259" w:rsidRDefault="00A00259">
    <w:pPr>
      <w:pStyle w:val="Header"/>
    </w:pPr>
  </w:p>
</w:hdr>
</file>

<file path=word/header2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BBB3F" w14:textId="77777777" w:rsidR="00A00259" w:rsidRDefault="00A00259">
    <w:pPr>
      <w:pStyle w:val="Header"/>
    </w:pPr>
  </w:p>
</w:hdr>
</file>

<file path=word/header2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97A5A" w14:textId="77777777" w:rsidR="00A00259" w:rsidRDefault="00371282">
    <w:r>
      <w:t> </w:t>
    </w:r>
  </w:p>
</w:hdr>
</file>

<file path=word/header2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BA354" w14:textId="77777777" w:rsidR="00A00259" w:rsidRDefault="00A00259">
    <w:pPr>
      <w:pStyle w:val="Header"/>
    </w:pPr>
  </w:p>
</w:hdr>
</file>

<file path=word/header2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63D3E" w14:textId="77777777" w:rsidR="00A00259" w:rsidRDefault="00A00259">
    <w:pPr>
      <w:pStyle w:val="Header"/>
    </w:pPr>
  </w:p>
</w:hdr>
</file>

<file path=word/header2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9B470" w14:textId="77777777" w:rsidR="00A00259" w:rsidRDefault="00371282">
    <w:r>
      <w:t> </w:t>
    </w:r>
  </w:p>
</w:hdr>
</file>

<file path=word/header2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658CE" w14:textId="77777777" w:rsidR="00A00259" w:rsidRDefault="00A00259">
    <w:pPr>
      <w:pStyle w:val="Header"/>
    </w:pPr>
  </w:p>
</w:hdr>
</file>

<file path=word/header2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57C4A" w14:textId="77777777" w:rsidR="00A00259" w:rsidRDefault="00A00259">
    <w:pPr>
      <w:pStyle w:val="Header"/>
    </w:pPr>
  </w:p>
</w:hdr>
</file>

<file path=word/header2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5A068" w14:textId="77777777" w:rsidR="00A00259" w:rsidRDefault="00371282">
    <w:r>
      <w:t> </w:t>
    </w:r>
  </w:p>
</w:hdr>
</file>

<file path=word/header2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55887" w14:textId="77777777" w:rsidR="00A00259" w:rsidRDefault="00A002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682140"/>
    <w:lvl w:ilvl="0">
      <w:start w:val="1"/>
      <w:numFmt w:val="bullet"/>
      <w:pStyle w:val="ListBullet4"/>
      <w:lvlText w:val=""/>
      <w:lvlJc w:val="left"/>
      <w:pPr>
        <w:tabs>
          <w:tab w:val="num" w:pos="1628"/>
        </w:tabs>
        <w:ind w:left="1628" w:hanging="360"/>
      </w:pPr>
      <w:rPr>
        <w:rFonts w:ascii="Symbol" w:hAnsi="Symbol" w:hint="default"/>
      </w:rPr>
    </w:lvl>
  </w:abstractNum>
  <w:abstractNum w:abstractNumId="1"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003F54"/>
    <w:multiLevelType w:val="hybridMultilevel"/>
    <w:tmpl w:val="99862E8E"/>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0732442"/>
    <w:multiLevelType w:val="hybridMultilevel"/>
    <w:tmpl w:val="E3C0D34E"/>
    <w:lvl w:ilvl="0" w:tplc="0AB29A70">
      <w:start w:val="1"/>
      <w:numFmt w:val="bullet"/>
      <w:lvlText w:val="-"/>
      <w:lvlJc w:val="left"/>
      <w:pPr>
        <w:ind w:left="720" w:hanging="360"/>
      </w:pPr>
      <w:rPr>
        <w:rFonts w:ascii="Aptos" w:hAnsi="Aptos" w:hint="default"/>
      </w:rPr>
    </w:lvl>
    <w:lvl w:ilvl="1" w:tplc="29BEBDFA">
      <w:start w:val="1"/>
      <w:numFmt w:val="bullet"/>
      <w:lvlText w:val="o"/>
      <w:lvlJc w:val="left"/>
      <w:pPr>
        <w:ind w:left="1440" w:hanging="360"/>
      </w:pPr>
      <w:rPr>
        <w:rFonts w:ascii="Courier New" w:hAnsi="Courier New" w:hint="default"/>
      </w:rPr>
    </w:lvl>
    <w:lvl w:ilvl="2" w:tplc="C2826F78">
      <w:start w:val="1"/>
      <w:numFmt w:val="bullet"/>
      <w:lvlText w:val=""/>
      <w:lvlJc w:val="left"/>
      <w:pPr>
        <w:ind w:left="2160" w:hanging="360"/>
      </w:pPr>
      <w:rPr>
        <w:rFonts w:ascii="Wingdings" w:hAnsi="Wingdings" w:hint="default"/>
      </w:rPr>
    </w:lvl>
    <w:lvl w:ilvl="3" w:tplc="A8D46660">
      <w:start w:val="1"/>
      <w:numFmt w:val="bullet"/>
      <w:lvlText w:val=""/>
      <w:lvlJc w:val="left"/>
      <w:pPr>
        <w:ind w:left="2880" w:hanging="360"/>
      </w:pPr>
      <w:rPr>
        <w:rFonts w:ascii="Symbol" w:hAnsi="Symbol" w:hint="default"/>
      </w:rPr>
    </w:lvl>
    <w:lvl w:ilvl="4" w:tplc="C5C834B2">
      <w:start w:val="1"/>
      <w:numFmt w:val="bullet"/>
      <w:lvlText w:val="o"/>
      <w:lvlJc w:val="left"/>
      <w:pPr>
        <w:ind w:left="3600" w:hanging="360"/>
      </w:pPr>
      <w:rPr>
        <w:rFonts w:ascii="Courier New" w:hAnsi="Courier New" w:hint="default"/>
      </w:rPr>
    </w:lvl>
    <w:lvl w:ilvl="5" w:tplc="0A7C94C6">
      <w:start w:val="1"/>
      <w:numFmt w:val="bullet"/>
      <w:lvlText w:val=""/>
      <w:lvlJc w:val="left"/>
      <w:pPr>
        <w:ind w:left="4320" w:hanging="360"/>
      </w:pPr>
      <w:rPr>
        <w:rFonts w:ascii="Wingdings" w:hAnsi="Wingdings" w:hint="default"/>
      </w:rPr>
    </w:lvl>
    <w:lvl w:ilvl="6" w:tplc="F61E8150">
      <w:start w:val="1"/>
      <w:numFmt w:val="bullet"/>
      <w:lvlText w:val=""/>
      <w:lvlJc w:val="left"/>
      <w:pPr>
        <w:ind w:left="5040" w:hanging="360"/>
      </w:pPr>
      <w:rPr>
        <w:rFonts w:ascii="Symbol" w:hAnsi="Symbol" w:hint="default"/>
      </w:rPr>
    </w:lvl>
    <w:lvl w:ilvl="7" w:tplc="594C1818">
      <w:start w:val="1"/>
      <w:numFmt w:val="bullet"/>
      <w:lvlText w:val="o"/>
      <w:lvlJc w:val="left"/>
      <w:pPr>
        <w:ind w:left="5760" w:hanging="360"/>
      </w:pPr>
      <w:rPr>
        <w:rFonts w:ascii="Courier New" w:hAnsi="Courier New" w:hint="default"/>
      </w:rPr>
    </w:lvl>
    <w:lvl w:ilvl="8" w:tplc="918AD63C">
      <w:start w:val="1"/>
      <w:numFmt w:val="bullet"/>
      <w:lvlText w:val=""/>
      <w:lvlJc w:val="left"/>
      <w:pPr>
        <w:ind w:left="6480" w:hanging="360"/>
      </w:pPr>
      <w:rPr>
        <w:rFonts w:ascii="Wingdings" w:hAnsi="Wingdings" w:hint="default"/>
      </w:rPr>
    </w:lvl>
  </w:abstractNum>
  <w:abstractNum w:abstractNumId="6" w15:restartNumberingAfterBreak="0">
    <w:nsid w:val="0128B611"/>
    <w:multiLevelType w:val="hybridMultilevel"/>
    <w:tmpl w:val="FFFFFFFF"/>
    <w:lvl w:ilvl="0" w:tplc="7220A7B8">
      <w:start w:val="1"/>
      <w:numFmt w:val="lowerLetter"/>
      <w:lvlText w:val="%1)"/>
      <w:lvlJc w:val="left"/>
      <w:pPr>
        <w:ind w:left="720" w:hanging="360"/>
      </w:pPr>
    </w:lvl>
    <w:lvl w:ilvl="1" w:tplc="CBB698D8">
      <w:start w:val="1"/>
      <w:numFmt w:val="lowerLetter"/>
      <w:lvlText w:val="%2."/>
      <w:lvlJc w:val="left"/>
      <w:pPr>
        <w:ind w:left="1440" w:hanging="360"/>
      </w:pPr>
    </w:lvl>
    <w:lvl w:ilvl="2" w:tplc="09F8B0FC">
      <w:start w:val="1"/>
      <w:numFmt w:val="lowerRoman"/>
      <w:lvlText w:val="%3."/>
      <w:lvlJc w:val="right"/>
      <w:pPr>
        <w:ind w:left="2160" w:hanging="180"/>
      </w:pPr>
    </w:lvl>
    <w:lvl w:ilvl="3" w:tplc="6656899C">
      <w:start w:val="1"/>
      <w:numFmt w:val="decimal"/>
      <w:lvlText w:val="%4."/>
      <w:lvlJc w:val="left"/>
      <w:pPr>
        <w:ind w:left="2880" w:hanging="360"/>
      </w:pPr>
    </w:lvl>
    <w:lvl w:ilvl="4" w:tplc="B3622BD6">
      <w:start w:val="1"/>
      <w:numFmt w:val="lowerLetter"/>
      <w:lvlText w:val="%5."/>
      <w:lvlJc w:val="left"/>
      <w:pPr>
        <w:ind w:left="3600" w:hanging="360"/>
      </w:pPr>
    </w:lvl>
    <w:lvl w:ilvl="5" w:tplc="FA7C2F20">
      <w:start w:val="1"/>
      <w:numFmt w:val="lowerRoman"/>
      <w:lvlText w:val="%6."/>
      <w:lvlJc w:val="right"/>
      <w:pPr>
        <w:ind w:left="4320" w:hanging="180"/>
      </w:pPr>
    </w:lvl>
    <w:lvl w:ilvl="6" w:tplc="2BE0BC62">
      <w:start w:val="1"/>
      <w:numFmt w:val="decimal"/>
      <w:lvlText w:val="%7."/>
      <w:lvlJc w:val="left"/>
      <w:pPr>
        <w:ind w:left="5040" w:hanging="360"/>
      </w:pPr>
    </w:lvl>
    <w:lvl w:ilvl="7" w:tplc="95E85040">
      <w:start w:val="1"/>
      <w:numFmt w:val="lowerLetter"/>
      <w:lvlText w:val="%8."/>
      <w:lvlJc w:val="left"/>
      <w:pPr>
        <w:ind w:left="5760" w:hanging="360"/>
      </w:pPr>
    </w:lvl>
    <w:lvl w:ilvl="8" w:tplc="41AA8054">
      <w:start w:val="1"/>
      <w:numFmt w:val="lowerRoman"/>
      <w:lvlText w:val="%9."/>
      <w:lvlJc w:val="right"/>
      <w:pPr>
        <w:ind w:left="6480" w:hanging="180"/>
      </w:pPr>
    </w:lvl>
  </w:abstractNum>
  <w:abstractNum w:abstractNumId="7" w15:restartNumberingAfterBreak="0">
    <w:nsid w:val="01321A28"/>
    <w:multiLevelType w:val="multilevel"/>
    <w:tmpl w:val="7174EE0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 w15:restartNumberingAfterBreak="0">
    <w:nsid w:val="02A22527"/>
    <w:multiLevelType w:val="multilevel"/>
    <w:tmpl w:val="F6327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5D84DF0"/>
    <w:multiLevelType w:val="hybridMultilevel"/>
    <w:tmpl w:val="7A020E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6730FBE"/>
    <w:multiLevelType w:val="hybridMultilevel"/>
    <w:tmpl w:val="9318A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64457B"/>
    <w:multiLevelType w:val="multilevel"/>
    <w:tmpl w:val="905ED7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7F6236F"/>
    <w:multiLevelType w:val="multilevel"/>
    <w:tmpl w:val="1F7410D2"/>
    <w:lvl w:ilvl="0">
      <w:start w:val="1"/>
      <w:numFmt w:val="decimal"/>
      <w:lvlText w:val="%1."/>
      <w:lvlJc w:val="left"/>
      <w:pPr>
        <w:ind w:left="476" w:hanging="476"/>
      </w:pPr>
      <w:rPr>
        <w:rFonts w:hint="default"/>
        <w:b/>
        <w:bCs/>
        <w:lang w:val="de-DE"/>
      </w:rPr>
    </w:lvl>
    <w:lvl w:ilvl="1">
      <w:start w:val="1"/>
      <w:numFmt w:val="bullet"/>
      <w:lvlText w:val=""/>
      <w:lvlJc w:val="left"/>
      <w:pPr>
        <w:ind w:left="644" w:hanging="360"/>
      </w:pPr>
      <w:rPr>
        <w:rFonts w:ascii="Symbol" w:hAnsi="Symbol"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9B22FCB"/>
    <w:multiLevelType w:val="multilevel"/>
    <w:tmpl w:val="5A1C7EA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4" w15:restartNumberingAfterBreak="0">
    <w:nsid w:val="0DA77D5B"/>
    <w:multiLevelType w:val="multilevel"/>
    <w:tmpl w:val="BDC84AC2"/>
    <w:lvl w:ilvl="0">
      <w:start w:val="1"/>
      <w:numFmt w:val="decimal"/>
      <w:lvlText w:val="%1."/>
      <w:lvlJc w:val="left"/>
      <w:pPr>
        <w:ind w:left="720" w:hanging="360"/>
      </w:pPr>
      <w:rPr>
        <w:color w:val="00602B"/>
      </w:rPr>
    </w:lvl>
    <w:lvl w:ilvl="1">
      <w:start w:val="7"/>
      <w:numFmt w:val="decimal"/>
      <w:isLgl/>
      <w:lvlText w:val="%1.%2"/>
      <w:lvlJc w:val="left"/>
      <w:pPr>
        <w:ind w:left="720" w:hanging="360"/>
      </w:pPr>
      <w:rPr>
        <w:rFonts w:eastAsia="Calibri" w:cs="Myanmar Text" w:hint="default"/>
      </w:rPr>
    </w:lvl>
    <w:lvl w:ilvl="2">
      <w:start w:val="1"/>
      <w:numFmt w:val="decimal"/>
      <w:isLgl/>
      <w:lvlText w:val="%1.%2.%3"/>
      <w:lvlJc w:val="left"/>
      <w:pPr>
        <w:ind w:left="1080" w:hanging="720"/>
      </w:pPr>
      <w:rPr>
        <w:rFonts w:eastAsia="Calibri" w:cs="Myanmar Text" w:hint="default"/>
      </w:rPr>
    </w:lvl>
    <w:lvl w:ilvl="3">
      <w:start w:val="1"/>
      <w:numFmt w:val="decimal"/>
      <w:isLgl/>
      <w:lvlText w:val="%1.%2.%3.%4"/>
      <w:lvlJc w:val="left"/>
      <w:pPr>
        <w:ind w:left="1080" w:hanging="720"/>
      </w:pPr>
      <w:rPr>
        <w:rFonts w:eastAsia="Calibri" w:cs="Myanmar Text" w:hint="default"/>
      </w:rPr>
    </w:lvl>
    <w:lvl w:ilvl="4">
      <w:start w:val="1"/>
      <w:numFmt w:val="decimal"/>
      <w:isLgl/>
      <w:lvlText w:val="%1.%2.%3.%4.%5"/>
      <w:lvlJc w:val="left"/>
      <w:pPr>
        <w:ind w:left="1440" w:hanging="1080"/>
      </w:pPr>
      <w:rPr>
        <w:rFonts w:eastAsia="Calibri" w:cs="Myanmar Text" w:hint="default"/>
      </w:rPr>
    </w:lvl>
    <w:lvl w:ilvl="5">
      <w:start w:val="1"/>
      <w:numFmt w:val="decimal"/>
      <w:isLgl/>
      <w:lvlText w:val="%1.%2.%3.%4.%5.%6"/>
      <w:lvlJc w:val="left"/>
      <w:pPr>
        <w:ind w:left="1440" w:hanging="1080"/>
      </w:pPr>
      <w:rPr>
        <w:rFonts w:eastAsia="Calibri" w:cs="Myanmar Text" w:hint="default"/>
      </w:rPr>
    </w:lvl>
    <w:lvl w:ilvl="6">
      <w:start w:val="1"/>
      <w:numFmt w:val="decimal"/>
      <w:isLgl/>
      <w:lvlText w:val="%1.%2.%3.%4.%5.%6.%7"/>
      <w:lvlJc w:val="left"/>
      <w:pPr>
        <w:ind w:left="1800" w:hanging="1440"/>
      </w:pPr>
      <w:rPr>
        <w:rFonts w:eastAsia="Calibri" w:cs="Myanmar Text" w:hint="default"/>
      </w:rPr>
    </w:lvl>
    <w:lvl w:ilvl="7">
      <w:start w:val="1"/>
      <w:numFmt w:val="decimal"/>
      <w:isLgl/>
      <w:lvlText w:val="%1.%2.%3.%4.%5.%6.%7.%8"/>
      <w:lvlJc w:val="left"/>
      <w:pPr>
        <w:ind w:left="1800" w:hanging="1440"/>
      </w:pPr>
      <w:rPr>
        <w:rFonts w:eastAsia="Calibri" w:cs="Myanmar Text" w:hint="default"/>
      </w:rPr>
    </w:lvl>
    <w:lvl w:ilvl="8">
      <w:start w:val="1"/>
      <w:numFmt w:val="decimal"/>
      <w:isLgl/>
      <w:lvlText w:val="%1.%2.%3.%4.%5.%6.%7.%8.%9"/>
      <w:lvlJc w:val="left"/>
      <w:pPr>
        <w:ind w:left="2160" w:hanging="1800"/>
      </w:pPr>
      <w:rPr>
        <w:rFonts w:eastAsia="Calibri" w:cs="Myanmar Text" w:hint="default"/>
      </w:rPr>
    </w:lvl>
  </w:abstractNum>
  <w:abstractNum w:abstractNumId="15" w15:restartNumberingAfterBreak="0">
    <w:nsid w:val="0DC866E5"/>
    <w:multiLevelType w:val="hybridMultilevel"/>
    <w:tmpl w:val="3EB87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F666A71"/>
    <w:multiLevelType w:val="hybridMultilevel"/>
    <w:tmpl w:val="99862E8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09A2932"/>
    <w:multiLevelType w:val="hybridMultilevel"/>
    <w:tmpl w:val="271E17A2"/>
    <w:lvl w:ilvl="0" w:tplc="F96681D0">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10175DC"/>
    <w:multiLevelType w:val="multilevel"/>
    <w:tmpl w:val="7FF44A7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9" w15:restartNumberingAfterBreak="0">
    <w:nsid w:val="12976F17"/>
    <w:multiLevelType w:val="hybridMultilevel"/>
    <w:tmpl w:val="2B7C8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2EE5687"/>
    <w:multiLevelType w:val="multilevel"/>
    <w:tmpl w:val="A3A219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139A3C8B"/>
    <w:multiLevelType w:val="hybridMultilevel"/>
    <w:tmpl w:val="CCF20416"/>
    <w:lvl w:ilvl="0" w:tplc="F96681D0">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55D3EF1"/>
    <w:multiLevelType w:val="multilevel"/>
    <w:tmpl w:val="DBAE268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3" w15:restartNumberingAfterBreak="0">
    <w:nsid w:val="16F01D6B"/>
    <w:multiLevelType w:val="hybridMultilevel"/>
    <w:tmpl w:val="7BDC30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81AE706"/>
    <w:multiLevelType w:val="hybridMultilevel"/>
    <w:tmpl w:val="FFFFFFFF"/>
    <w:lvl w:ilvl="0" w:tplc="0C28948E">
      <w:start w:val="1"/>
      <w:numFmt w:val="bullet"/>
      <w:lvlText w:val=""/>
      <w:lvlJc w:val="left"/>
      <w:pPr>
        <w:ind w:left="360" w:hanging="360"/>
      </w:pPr>
      <w:rPr>
        <w:rFonts w:ascii="Symbol" w:hAnsi="Symbol" w:hint="default"/>
      </w:rPr>
    </w:lvl>
    <w:lvl w:ilvl="1" w:tplc="976EBBCE">
      <w:start w:val="1"/>
      <w:numFmt w:val="bullet"/>
      <w:lvlText w:val="o"/>
      <w:lvlJc w:val="left"/>
      <w:pPr>
        <w:ind w:left="1080" w:hanging="360"/>
      </w:pPr>
      <w:rPr>
        <w:rFonts w:ascii="Courier New" w:hAnsi="Courier New" w:hint="default"/>
      </w:rPr>
    </w:lvl>
    <w:lvl w:ilvl="2" w:tplc="64CEB02E">
      <w:start w:val="1"/>
      <w:numFmt w:val="bullet"/>
      <w:lvlText w:val=""/>
      <w:lvlJc w:val="left"/>
      <w:pPr>
        <w:ind w:left="1800" w:hanging="360"/>
      </w:pPr>
      <w:rPr>
        <w:rFonts w:ascii="Wingdings" w:hAnsi="Wingdings" w:hint="default"/>
      </w:rPr>
    </w:lvl>
    <w:lvl w:ilvl="3" w:tplc="88F245AC">
      <w:start w:val="1"/>
      <w:numFmt w:val="bullet"/>
      <w:lvlText w:val=""/>
      <w:lvlJc w:val="left"/>
      <w:pPr>
        <w:ind w:left="2520" w:hanging="360"/>
      </w:pPr>
      <w:rPr>
        <w:rFonts w:ascii="Symbol" w:hAnsi="Symbol" w:hint="default"/>
      </w:rPr>
    </w:lvl>
    <w:lvl w:ilvl="4" w:tplc="67DA6BD4">
      <w:start w:val="1"/>
      <w:numFmt w:val="bullet"/>
      <w:lvlText w:val="o"/>
      <w:lvlJc w:val="left"/>
      <w:pPr>
        <w:ind w:left="3240" w:hanging="360"/>
      </w:pPr>
      <w:rPr>
        <w:rFonts w:ascii="Courier New" w:hAnsi="Courier New" w:hint="default"/>
      </w:rPr>
    </w:lvl>
    <w:lvl w:ilvl="5" w:tplc="00C048B2">
      <w:start w:val="1"/>
      <w:numFmt w:val="bullet"/>
      <w:lvlText w:val=""/>
      <w:lvlJc w:val="left"/>
      <w:pPr>
        <w:ind w:left="3960" w:hanging="360"/>
      </w:pPr>
      <w:rPr>
        <w:rFonts w:ascii="Wingdings" w:hAnsi="Wingdings" w:hint="default"/>
      </w:rPr>
    </w:lvl>
    <w:lvl w:ilvl="6" w:tplc="24A63EC8">
      <w:start w:val="1"/>
      <w:numFmt w:val="bullet"/>
      <w:lvlText w:val=""/>
      <w:lvlJc w:val="left"/>
      <w:pPr>
        <w:ind w:left="4680" w:hanging="360"/>
      </w:pPr>
      <w:rPr>
        <w:rFonts w:ascii="Symbol" w:hAnsi="Symbol" w:hint="default"/>
      </w:rPr>
    </w:lvl>
    <w:lvl w:ilvl="7" w:tplc="13BEDF68">
      <w:start w:val="1"/>
      <w:numFmt w:val="bullet"/>
      <w:lvlText w:val="o"/>
      <w:lvlJc w:val="left"/>
      <w:pPr>
        <w:ind w:left="5400" w:hanging="360"/>
      </w:pPr>
      <w:rPr>
        <w:rFonts w:ascii="Courier New" w:hAnsi="Courier New" w:hint="default"/>
      </w:rPr>
    </w:lvl>
    <w:lvl w:ilvl="8" w:tplc="33A00E56">
      <w:start w:val="1"/>
      <w:numFmt w:val="bullet"/>
      <w:lvlText w:val=""/>
      <w:lvlJc w:val="left"/>
      <w:pPr>
        <w:ind w:left="6120" w:hanging="360"/>
      </w:pPr>
      <w:rPr>
        <w:rFonts w:ascii="Wingdings" w:hAnsi="Wingdings" w:hint="default"/>
      </w:rPr>
    </w:lvl>
  </w:abstractNum>
  <w:abstractNum w:abstractNumId="25" w15:restartNumberingAfterBreak="0">
    <w:nsid w:val="190205AA"/>
    <w:multiLevelType w:val="multilevel"/>
    <w:tmpl w:val="98B8582E"/>
    <w:lvl w:ilvl="0">
      <w:start w:val="1"/>
      <w:numFmt w:val="decimal"/>
      <w:lvlText w:val="%1."/>
      <w:lvlJc w:val="left"/>
      <w:pPr>
        <w:ind w:left="476" w:hanging="476"/>
      </w:pPr>
      <w:rPr>
        <w:rFonts w:hint="default"/>
        <w:b/>
        <w:bCs/>
        <w:lang w:val="de-DE"/>
      </w:rPr>
    </w:lvl>
    <w:lvl w:ilvl="1">
      <w:start w:val="1"/>
      <w:numFmt w:val="bullet"/>
      <w:lvlText w:val=""/>
      <w:lvlJc w:val="left"/>
      <w:pPr>
        <w:ind w:left="836" w:hanging="360"/>
      </w:pPr>
      <w:rPr>
        <w:rFonts w:ascii="Symbol" w:hAnsi="Symbol" w:hint="default"/>
      </w:rPr>
    </w:lvl>
    <w:lvl w:ilvl="2">
      <w:start w:val="1"/>
      <w:numFmt w:val="bullet"/>
      <w:lvlText w:val="o"/>
      <w:lvlJc w:val="left"/>
      <w:pPr>
        <w:ind w:left="1069" w:hanging="360"/>
      </w:pPr>
      <w:rPr>
        <w:rFonts w:ascii="Courier New" w:hAnsi="Courier New" w:cs="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197853E9"/>
    <w:multiLevelType w:val="hybridMultilevel"/>
    <w:tmpl w:val="17A42E3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19921D6B"/>
    <w:multiLevelType w:val="multilevel"/>
    <w:tmpl w:val="9BAEDC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19E64B66"/>
    <w:multiLevelType w:val="multilevel"/>
    <w:tmpl w:val="A908053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0" w15:restartNumberingAfterBreak="0">
    <w:nsid w:val="2028C3AD"/>
    <w:multiLevelType w:val="hybridMultilevel"/>
    <w:tmpl w:val="FFFFFFFF"/>
    <w:lvl w:ilvl="0" w:tplc="E4342D88">
      <w:start w:val="1"/>
      <w:numFmt w:val="decimal"/>
      <w:lvlText w:val="%1)"/>
      <w:lvlJc w:val="left"/>
      <w:pPr>
        <w:ind w:left="720" w:hanging="360"/>
      </w:pPr>
    </w:lvl>
    <w:lvl w:ilvl="1" w:tplc="039CF8D4">
      <w:start w:val="1"/>
      <w:numFmt w:val="lowerLetter"/>
      <w:lvlText w:val="%2."/>
      <w:lvlJc w:val="left"/>
      <w:pPr>
        <w:ind w:left="1440" w:hanging="360"/>
      </w:pPr>
    </w:lvl>
    <w:lvl w:ilvl="2" w:tplc="A240114C">
      <w:start w:val="1"/>
      <w:numFmt w:val="lowerRoman"/>
      <w:lvlText w:val="%3."/>
      <w:lvlJc w:val="right"/>
      <w:pPr>
        <w:ind w:left="2160" w:hanging="180"/>
      </w:pPr>
    </w:lvl>
    <w:lvl w:ilvl="3" w:tplc="CF16114C">
      <w:start w:val="1"/>
      <w:numFmt w:val="decimal"/>
      <w:lvlText w:val="%4."/>
      <w:lvlJc w:val="left"/>
      <w:pPr>
        <w:ind w:left="2880" w:hanging="360"/>
      </w:pPr>
    </w:lvl>
    <w:lvl w:ilvl="4" w:tplc="0B80930E">
      <w:start w:val="1"/>
      <w:numFmt w:val="lowerLetter"/>
      <w:lvlText w:val="%5."/>
      <w:lvlJc w:val="left"/>
      <w:pPr>
        <w:ind w:left="3600" w:hanging="360"/>
      </w:pPr>
    </w:lvl>
    <w:lvl w:ilvl="5" w:tplc="2BAE23B6">
      <w:start w:val="1"/>
      <w:numFmt w:val="lowerRoman"/>
      <w:lvlText w:val="%6."/>
      <w:lvlJc w:val="right"/>
      <w:pPr>
        <w:ind w:left="4320" w:hanging="180"/>
      </w:pPr>
    </w:lvl>
    <w:lvl w:ilvl="6" w:tplc="3F588A18">
      <w:start w:val="1"/>
      <w:numFmt w:val="decimal"/>
      <w:lvlText w:val="%7."/>
      <w:lvlJc w:val="left"/>
      <w:pPr>
        <w:ind w:left="5040" w:hanging="360"/>
      </w:pPr>
    </w:lvl>
    <w:lvl w:ilvl="7" w:tplc="530A252E">
      <w:start w:val="1"/>
      <w:numFmt w:val="lowerLetter"/>
      <w:lvlText w:val="%8."/>
      <w:lvlJc w:val="left"/>
      <w:pPr>
        <w:ind w:left="5760" w:hanging="360"/>
      </w:pPr>
    </w:lvl>
    <w:lvl w:ilvl="8" w:tplc="AA1C9F64">
      <w:start w:val="1"/>
      <w:numFmt w:val="lowerRoman"/>
      <w:lvlText w:val="%9."/>
      <w:lvlJc w:val="right"/>
      <w:pPr>
        <w:ind w:left="6480" w:hanging="180"/>
      </w:pPr>
    </w:lvl>
  </w:abstractNum>
  <w:abstractNum w:abstractNumId="3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49404C2"/>
    <w:multiLevelType w:val="hybridMultilevel"/>
    <w:tmpl w:val="4888F43E"/>
    <w:lvl w:ilvl="0" w:tplc="C8283302">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24EC33D5"/>
    <w:multiLevelType w:val="hybridMultilevel"/>
    <w:tmpl w:val="40A8DE26"/>
    <w:lvl w:ilvl="0" w:tplc="62B05020">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5" w15:restartNumberingAfterBreak="0">
    <w:nsid w:val="2CD05BB1"/>
    <w:multiLevelType w:val="hybridMultilevel"/>
    <w:tmpl w:val="DF902CD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6" w15:restartNumberingAfterBreak="0">
    <w:nsid w:val="2CD116E7"/>
    <w:multiLevelType w:val="multilevel"/>
    <w:tmpl w:val="C26074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8" w15:restartNumberingAfterBreak="0">
    <w:nsid w:val="300D3194"/>
    <w:multiLevelType w:val="multilevel"/>
    <w:tmpl w:val="8368AE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20E078C"/>
    <w:multiLevelType w:val="hybridMultilevel"/>
    <w:tmpl w:val="976809DE"/>
    <w:lvl w:ilvl="0" w:tplc="A3568C5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32360600"/>
    <w:multiLevelType w:val="hybridMultilevel"/>
    <w:tmpl w:val="5364B536"/>
    <w:lvl w:ilvl="0" w:tplc="1A78EA3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337A0803"/>
    <w:multiLevelType w:val="hybridMultilevel"/>
    <w:tmpl w:val="7EDE79A4"/>
    <w:lvl w:ilvl="0" w:tplc="98E2A84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2" w15:restartNumberingAfterBreak="0">
    <w:nsid w:val="3BC47C87"/>
    <w:multiLevelType w:val="hybridMultilevel"/>
    <w:tmpl w:val="4F62CC2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15:restartNumberingAfterBreak="0">
    <w:nsid w:val="3F5F175A"/>
    <w:multiLevelType w:val="hybridMultilevel"/>
    <w:tmpl w:val="FFFFFFFF"/>
    <w:lvl w:ilvl="0" w:tplc="F2EE4638">
      <w:start w:val="1"/>
      <w:numFmt w:val="decimal"/>
      <w:lvlText w:val="%1-"/>
      <w:lvlJc w:val="left"/>
      <w:pPr>
        <w:ind w:left="720" w:hanging="360"/>
      </w:pPr>
    </w:lvl>
    <w:lvl w:ilvl="1" w:tplc="40D6CE1C">
      <w:start w:val="1"/>
      <w:numFmt w:val="lowerLetter"/>
      <w:lvlText w:val="%2."/>
      <w:lvlJc w:val="left"/>
      <w:pPr>
        <w:ind w:left="1440" w:hanging="360"/>
      </w:pPr>
    </w:lvl>
    <w:lvl w:ilvl="2" w:tplc="A1D85650">
      <w:start w:val="1"/>
      <w:numFmt w:val="lowerRoman"/>
      <w:lvlText w:val="%3."/>
      <w:lvlJc w:val="right"/>
      <w:pPr>
        <w:ind w:left="2160" w:hanging="180"/>
      </w:pPr>
    </w:lvl>
    <w:lvl w:ilvl="3" w:tplc="97FC4DFE">
      <w:start w:val="1"/>
      <w:numFmt w:val="decimal"/>
      <w:lvlText w:val="%4."/>
      <w:lvlJc w:val="left"/>
      <w:pPr>
        <w:ind w:left="2880" w:hanging="360"/>
      </w:pPr>
    </w:lvl>
    <w:lvl w:ilvl="4" w:tplc="5F026EB2">
      <w:start w:val="1"/>
      <w:numFmt w:val="lowerLetter"/>
      <w:lvlText w:val="%5."/>
      <w:lvlJc w:val="left"/>
      <w:pPr>
        <w:ind w:left="3600" w:hanging="360"/>
      </w:pPr>
    </w:lvl>
    <w:lvl w:ilvl="5" w:tplc="FB30F0EE">
      <w:start w:val="1"/>
      <w:numFmt w:val="lowerRoman"/>
      <w:lvlText w:val="%6."/>
      <w:lvlJc w:val="right"/>
      <w:pPr>
        <w:ind w:left="4320" w:hanging="180"/>
      </w:pPr>
    </w:lvl>
    <w:lvl w:ilvl="6" w:tplc="77AC69B0">
      <w:start w:val="1"/>
      <w:numFmt w:val="decimal"/>
      <w:lvlText w:val="%7."/>
      <w:lvlJc w:val="left"/>
      <w:pPr>
        <w:ind w:left="5040" w:hanging="360"/>
      </w:pPr>
    </w:lvl>
    <w:lvl w:ilvl="7" w:tplc="F864DE14">
      <w:start w:val="1"/>
      <w:numFmt w:val="lowerLetter"/>
      <w:lvlText w:val="%8."/>
      <w:lvlJc w:val="left"/>
      <w:pPr>
        <w:ind w:left="5760" w:hanging="360"/>
      </w:pPr>
    </w:lvl>
    <w:lvl w:ilvl="8" w:tplc="35869EEC">
      <w:start w:val="1"/>
      <w:numFmt w:val="lowerRoman"/>
      <w:lvlText w:val="%9."/>
      <w:lvlJc w:val="right"/>
      <w:pPr>
        <w:ind w:left="6480" w:hanging="180"/>
      </w:pPr>
    </w:lvl>
  </w:abstractNum>
  <w:abstractNum w:abstractNumId="44" w15:restartNumberingAfterBreak="0">
    <w:nsid w:val="3FFC6422"/>
    <w:multiLevelType w:val="hybridMultilevel"/>
    <w:tmpl w:val="519A150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5" w15:restartNumberingAfterBreak="0">
    <w:nsid w:val="400A7B18"/>
    <w:multiLevelType w:val="multilevel"/>
    <w:tmpl w:val="2DB03C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8" w15:restartNumberingAfterBreak="0">
    <w:nsid w:val="436B27B9"/>
    <w:multiLevelType w:val="hybridMultilevel"/>
    <w:tmpl w:val="4DB6C90E"/>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4467723A"/>
    <w:multiLevelType w:val="hybridMultilevel"/>
    <w:tmpl w:val="C966C76A"/>
    <w:lvl w:ilvl="0" w:tplc="E4BC8A30">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1" w15:restartNumberingAfterBreak="0">
    <w:nsid w:val="4A0D2350"/>
    <w:multiLevelType w:val="hybridMultilevel"/>
    <w:tmpl w:val="E018BCA6"/>
    <w:lvl w:ilvl="0" w:tplc="E3583C7A">
      <w:start w:val="1"/>
      <w:numFmt w:val="decimal"/>
      <w:lvlText w:val="%1."/>
      <w:lvlJc w:val="left"/>
      <w:pPr>
        <w:ind w:left="1020" w:hanging="360"/>
      </w:pPr>
    </w:lvl>
    <w:lvl w:ilvl="1" w:tplc="685604A4">
      <w:start w:val="1"/>
      <w:numFmt w:val="decimal"/>
      <w:lvlText w:val="%2."/>
      <w:lvlJc w:val="left"/>
      <w:pPr>
        <w:ind w:left="1020" w:hanging="360"/>
      </w:pPr>
    </w:lvl>
    <w:lvl w:ilvl="2" w:tplc="62B65808">
      <w:start w:val="1"/>
      <w:numFmt w:val="decimal"/>
      <w:lvlText w:val="%3."/>
      <w:lvlJc w:val="left"/>
      <w:pPr>
        <w:ind w:left="1020" w:hanging="360"/>
      </w:pPr>
    </w:lvl>
    <w:lvl w:ilvl="3" w:tplc="BA58342C">
      <w:start w:val="1"/>
      <w:numFmt w:val="decimal"/>
      <w:lvlText w:val="%4."/>
      <w:lvlJc w:val="left"/>
      <w:pPr>
        <w:ind w:left="1020" w:hanging="360"/>
      </w:pPr>
    </w:lvl>
    <w:lvl w:ilvl="4" w:tplc="08BA1722">
      <w:start w:val="1"/>
      <w:numFmt w:val="decimal"/>
      <w:lvlText w:val="%5."/>
      <w:lvlJc w:val="left"/>
      <w:pPr>
        <w:ind w:left="1020" w:hanging="360"/>
      </w:pPr>
    </w:lvl>
    <w:lvl w:ilvl="5" w:tplc="B332FE60">
      <w:start w:val="1"/>
      <w:numFmt w:val="decimal"/>
      <w:lvlText w:val="%6."/>
      <w:lvlJc w:val="left"/>
      <w:pPr>
        <w:ind w:left="1020" w:hanging="360"/>
      </w:pPr>
    </w:lvl>
    <w:lvl w:ilvl="6" w:tplc="71A68456">
      <w:start w:val="1"/>
      <w:numFmt w:val="decimal"/>
      <w:lvlText w:val="%7."/>
      <w:lvlJc w:val="left"/>
      <w:pPr>
        <w:ind w:left="1020" w:hanging="360"/>
      </w:pPr>
    </w:lvl>
    <w:lvl w:ilvl="7" w:tplc="7E364594">
      <w:start w:val="1"/>
      <w:numFmt w:val="decimal"/>
      <w:lvlText w:val="%8."/>
      <w:lvlJc w:val="left"/>
      <w:pPr>
        <w:ind w:left="1020" w:hanging="360"/>
      </w:pPr>
    </w:lvl>
    <w:lvl w:ilvl="8" w:tplc="A7A4BB24">
      <w:start w:val="1"/>
      <w:numFmt w:val="decimal"/>
      <w:lvlText w:val="%9."/>
      <w:lvlJc w:val="left"/>
      <w:pPr>
        <w:ind w:left="1020" w:hanging="360"/>
      </w:pPr>
    </w:lvl>
  </w:abstractNum>
  <w:abstractNum w:abstractNumId="52" w15:restartNumberingAfterBreak="0">
    <w:nsid w:val="4B218ABF"/>
    <w:multiLevelType w:val="hybridMultilevel"/>
    <w:tmpl w:val="D23E1AAA"/>
    <w:lvl w:ilvl="0" w:tplc="46E8C500">
      <w:start w:val="1"/>
      <w:numFmt w:val="bullet"/>
      <w:lvlText w:val="-"/>
      <w:lvlJc w:val="left"/>
      <w:pPr>
        <w:ind w:left="720" w:hanging="360"/>
      </w:pPr>
      <w:rPr>
        <w:rFonts w:ascii="Aptos" w:hAnsi="Aptos" w:hint="default"/>
      </w:rPr>
    </w:lvl>
    <w:lvl w:ilvl="1" w:tplc="4C2A65DC">
      <w:start w:val="1"/>
      <w:numFmt w:val="bullet"/>
      <w:lvlText w:val="o"/>
      <w:lvlJc w:val="left"/>
      <w:pPr>
        <w:ind w:left="1440" w:hanging="360"/>
      </w:pPr>
      <w:rPr>
        <w:rFonts w:ascii="Courier New" w:hAnsi="Courier New" w:hint="default"/>
      </w:rPr>
    </w:lvl>
    <w:lvl w:ilvl="2" w:tplc="01E87196">
      <w:start w:val="1"/>
      <w:numFmt w:val="bullet"/>
      <w:lvlText w:val=""/>
      <w:lvlJc w:val="left"/>
      <w:pPr>
        <w:ind w:left="2160" w:hanging="360"/>
      </w:pPr>
      <w:rPr>
        <w:rFonts w:ascii="Wingdings" w:hAnsi="Wingdings" w:hint="default"/>
      </w:rPr>
    </w:lvl>
    <w:lvl w:ilvl="3" w:tplc="FD346BEA">
      <w:start w:val="1"/>
      <w:numFmt w:val="bullet"/>
      <w:lvlText w:val=""/>
      <w:lvlJc w:val="left"/>
      <w:pPr>
        <w:ind w:left="2880" w:hanging="360"/>
      </w:pPr>
      <w:rPr>
        <w:rFonts w:ascii="Symbol" w:hAnsi="Symbol" w:hint="default"/>
      </w:rPr>
    </w:lvl>
    <w:lvl w:ilvl="4" w:tplc="63F2C132">
      <w:start w:val="1"/>
      <w:numFmt w:val="bullet"/>
      <w:lvlText w:val="o"/>
      <w:lvlJc w:val="left"/>
      <w:pPr>
        <w:ind w:left="3600" w:hanging="360"/>
      </w:pPr>
      <w:rPr>
        <w:rFonts w:ascii="Courier New" w:hAnsi="Courier New" w:hint="default"/>
      </w:rPr>
    </w:lvl>
    <w:lvl w:ilvl="5" w:tplc="48A67136">
      <w:start w:val="1"/>
      <w:numFmt w:val="bullet"/>
      <w:lvlText w:val=""/>
      <w:lvlJc w:val="left"/>
      <w:pPr>
        <w:ind w:left="4320" w:hanging="360"/>
      </w:pPr>
      <w:rPr>
        <w:rFonts w:ascii="Wingdings" w:hAnsi="Wingdings" w:hint="default"/>
      </w:rPr>
    </w:lvl>
    <w:lvl w:ilvl="6" w:tplc="BD54F20A">
      <w:start w:val="1"/>
      <w:numFmt w:val="bullet"/>
      <w:lvlText w:val=""/>
      <w:lvlJc w:val="left"/>
      <w:pPr>
        <w:ind w:left="5040" w:hanging="360"/>
      </w:pPr>
      <w:rPr>
        <w:rFonts w:ascii="Symbol" w:hAnsi="Symbol" w:hint="default"/>
      </w:rPr>
    </w:lvl>
    <w:lvl w:ilvl="7" w:tplc="29E6B384">
      <w:start w:val="1"/>
      <w:numFmt w:val="bullet"/>
      <w:lvlText w:val="o"/>
      <w:lvlJc w:val="left"/>
      <w:pPr>
        <w:ind w:left="5760" w:hanging="360"/>
      </w:pPr>
      <w:rPr>
        <w:rFonts w:ascii="Courier New" w:hAnsi="Courier New" w:hint="default"/>
      </w:rPr>
    </w:lvl>
    <w:lvl w:ilvl="8" w:tplc="49D87BB0">
      <w:start w:val="1"/>
      <w:numFmt w:val="bullet"/>
      <w:lvlText w:val=""/>
      <w:lvlJc w:val="left"/>
      <w:pPr>
        <w:ind w:left="6480" w:hanging="360"/>
      </w:pPr>
      <w:rPr>
        <w:rFonts w:ascii="Wingdings" w:hAnsi="Wingdings" w:hint="default"/>
      </w:rPr>
    </w:lvl>
  </w:abstractNum>
  <w:abstractNum w:abstractNumId="53" w15:restartNumberingAfterBreak="0">
    <w:nsid w:val="4BE2717E"/>
    <w:multiLevelType w:val="hybridMultilevel"/>
    <w:tmpl w:val="4FB0A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C3B34F7"/>
    <w:multiLevelType w:val="multilevel"/>
    <w:tmpl w:val="50DED88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5" w15:restartNumberingAfterBreak="0">
    <w:nsid w:val="4F4F6024"/>
    <w:multiLevelType w:val="hybridMultilevel"/>
    <w:tmpl w:val="2B2817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0284D54"/>
    <w:multiLevelType w:val="hybridMultilevel"/>
    <w:tmpl w:val="CC58E9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526B06BC"/>
    <w:multiLevelType w:val="hybridMultilevel"/>
    <w:tmpl w:val="DA907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2F96387"/>
    <w:multiLevelType w:val="hybridMultilevel"/>
    <w:tmpl w:val="D74E642E"/>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59" w15:restartNumberingAfterBreak="0">
    <w:nsid w:val="532B6C49"/>
    <w:multiLevelType w:val="hybridMultilevel"/>
    <w:tmpl w:val="108AE942"/>
    <w:lvl w:ilvl="0" w:tplc="1616BC1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3EE1BB8"/>
    <w:multiLevelType w:val="hybridMultilevel"/>
    <w:tmpl w:val="04604954"/>
    <w:lvl w:ilvl="0" w:tplc="E87431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54F104CB"/>
    <w:multiLevelType w:val="hybridMultilevel"/>
    <w:tmpl w:val="FFFFFFFF"/>
    <w:lvl w:ilvl="0" w:tplc="E15658D8">
      <w:start w:val="1"/>
      <w:numFmt w:val="bullet"/>
      <w:lvlText w:val=""/>
      <w:lvlJc w:val="left"/>
      <w:pPr>
        <w:ind w:left="360" w:hanging="360"/>
      </w:pPr>
      <w:rPr>
        <w:rFonts w:ascii="Symbol" w:hAnsi="Symbol" w:hint="default"/>
      </w:rPr>
    </w:lvl>
    <w:lvl w:ilvl="1" w:tplc="B6A2FC1A">
      <w:start w:val="1"/>
      <w:numFmt w:val="bullet"/>
      <w:lvlText w:val="o"/>
      <w:lvlJc w:val="left"/>
      <w:pPr>
        <w:ind w:left="1080" w:hanging="360"/>
      </w:pPr>
      <w:rPr>
        <w:rFonts w:ascii="Courier New" w:hAnsi="Courier New" w:hint="default"/>
      </w:rPr>
    </w:lvl>
    <w:lvl w:ilvl="2" w:tplc="01325BA2">
      <w:start w:val="1"/>
      <w:numFmt w:val="bullet"/>
      <w:lvlText w:val=""/>
      <w:lvlJc w:val="left"/>
      <w:pPr>
        <w:ind w:left="1800" w:hanging="360"/>
      </w:pPr>
      <w:rPr>
        <w:rFonts w:ascii="Wingdings" w:hAnsi="Wingdings" w:hint="default"/>
      </w:rPr>
    </w:lvl>
    <w:lvl w:ilvl="3" w:tplc="AA2CD7B4">
      <w:start w:val="1"/>
      <w:numFmt w:val="bullet"/>
      <w:lvlText w:val=""/>
      <w:lvlJc w:val="left"/>
      <w:pPr>
        <w:ind w:left="2520" w:hanging="360"/>
      </w:pPr>
      <w:rPr>
        <w:rFonts w:ascii="Symbol" w:hAnsi="Symbol" w:hint="default"/>
      </w:rPr>
    </w:lvl>
    <w:lvl w:ilvl="4" w:tplc="AC0E1A56">
      <w:start w:val="1"/>
      <w:numFmt w:val="bullet"/>
      <w:lvlText w:val="o"/>
      <w:lvlJc w:val="left"/>
      <w:pPr>
        <w:ind w:left="3240" w:hanging="360"/>
      </w:pPr>
      <w:rPr>
        <w:rFonts w:ascii="Courier New" w:hAnsi="Courier New" w:hint="default"/>
      </w:rPr>
    </w:lvl>
    <w:lvl w:ilvl="5" w:tplc="9CDE5962">
      <w:start w:val="1"/>
      <w:numFmt w:val="bullet"/>
      <w:lvlText w:val=""/>
      <w:lvlJc w:val="left"/>
      <w:pPr>
        <w:ind w:left="3960" w:hanging="360"/>
      </w:pPr>
      <w:rPr>
        <w:rFonts w:ascii="Wingdings" w:hAnsi="Wingdings" w:hint="default"/>
      </w:rPr>
    </w:lvl>
    <w:lvl w:ilvl="6" w:tplc="96187D40">
      <w:start w:val="1"/>
      <w:numFmt w:val="bullet"/>
      <w:lvlText w:val=""/>
      <w:lvlJc w:val="left"/>
      <w:pPr>
        <w:ind w:left="4680" w:hanging="360"/>
      </w:pPr>
      <w:rPr>
        <w:rFonts w:ascii="Symbol" w:hAnsi="Symbol" w:hint="default"/>
      </w:rPr>
    </w:lvl>
    <w:lvl w:ilvl="7" w:tplc="6C72D076">
      <w:start w:val="1"/>
      <w:numFmt w:val="bullet"/>
      <w:lvlText w:val="o"/>
      <w:lvlJc w:val="left"/>
      <w:pPr>
        <w:ind w:left="5400" w:hanging="360"/>
      </w:pPr>
      <w:rPr>
        <w:rFonts w:ascii="Courier New" w:hAnsi="Courier New" w:hint="default"/>
      </w:rPr>
    </w:lvl>
    <w:lvl w:ilvl="8" w:tplc="FF74B83A">
      <w:start w:val="1"/>
      <w:numFmt w:val="bullet"/>
      <w:lvlText w:val=""/>
      <w:lvlJc w:val="left"/>
      <w:pPr>
        <w:ind w:left="6120" w:hanging="360"/>
      </w:pPr>
      <w:rPr>
        <w:rFonts w:ascii="Wingdings" w:hAnsi="Wingdings" w:hint="default"/>
      </w:rPr>
    </w:lvl>
  </w:abstractNum>
  <w:abstractNum w:abstractNumId="6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63" w15:restartNumberingAfterBreak="0">
    <w:nsid w:val="55B679E1"/>
    <w:multiLevelType w:val="hybridMultilevel"/>
    <w:tmpl w:val="1F22A3BC"/>
    <w:lvl w:ilvl="0" w:tplc="78D05602">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55C10E65"/>
    <w:multiLevelType w:val="multilevel"/>
    <w:tmpl w:val="466AA280"/>
    <w:lvl w:ilvl="0">
      <w:start w:val="1"/>
      <w:numFmt w:val="decimal"/>
      <w:pStyle w:val="LegalNumPar"/>
      <w:lvlText w:val="%1."/>
      <w:lvlJc w:val="left"/>
      <w:pPr>
        <w:ind w:left="476" w:hanging="476"/>
      </w:pPr>
      <w:rPr>
        <w:rFonts w:hint="default"/>
        <w:b/>
        <w:bCs/>
        <w:lang w:val="de-DE"/>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56B10038"/>
    <w:multiLevelType w:val="hybridMultilevel"/>
    <w:tmpl w:val="94E2346C"/>
    <w:lvl w:ilvl="0" w:tplc="0E1A799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 w15:restartNumberingAfterBreak="0">
    <w:nsid w:val="5700728D"/>
    <w:multiLevelType w:val="multilevel"/>
    <w:tmpl w:val="2DB03C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57BC7E99"/>
    <w:multiLevelType w:val="hybridMultilevel"/>
    <w:tmpl w:val="7F52DF7A"/>
    <w:lvl w:ilvl="0" w:tplc="01E2743C">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59F422D7"/>
    <w:multiLevelType w:val="multilevel"/>
    <w:tmpl w:val="7618F69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9" w15:restartNumberingAfterBreak="0">
    <w:nsid w:val="5A0E05EF"/>
    <w:multiLevelType w:val="hybridMultilevel"/>
    <w:tmpl w:val="08D065F8"/>
    <w:lvl w:ilvl="0" w:tplc="45FAF8F2">
      <w:start w:val="1"/>
      <w:numFmt w:val="bullet"/>
      <w:lvlText w:val="-"/>
      <w:lvlJc w:val="left"/>
      <w:pPr>
        <w:ind w:left="720" w:hanging="360"/>
      </w:pPr>
      <w:rPr>
        <w:rFonts w:ascii="Aptos" w:hAnsi="Aptos" w:hint="default"/>
      </w:rPr>
    </w:lvl>
    <w:lvl w:ilvl="1" w:tplc="EEE423F2">
      <w:start w:val="1"/>
      <w:numFmt w:val="bullet"/>
      <w:lvlText w:val="o"/>
      <w:lvlJc w:val="left"/>
      <w:pPr>
        <w:ind w:left="1440" w:hanging="360"/>
      </w:pPr>
      <w:rPr>
        <w:rFonts w:ascii="Courier New" w:hAnsi="Courier New" w:hint="default"/>
      </w:rPr>
    </w:lvl>
    <w:lvl w:ilvl="2" w:tplc="6A6C0A9E">
      <w:start w:val="1"/>
      <w:numFmt w:val="bullet"/>
      <w:lvlText w:val=""/>
      <w:lvlJc w:val="left"/>
      <w:pPr>
        <w:ind w:left="2160" w:hanging="360"/>
      </w:pPr>
      <w:rPr>
        <w:rFonts w:ascii="Wingdings" w:hAnsi="Wingdings" w:hint="default"/>
      </w:rPr>
    </w:lvl>
    <w:lvl w:ilvl="3" w:tplc="BBA06638">
      <w:start w:val="1"/>
      <w:numFmt w:val="bullet"/>
      <w:lvlText w:val=""/>
      <w:lvlJc w:val="left"/>
      <w:pPr>
        <w:ind w:left="2880" w:hanging="360"/>
      </w:pPr>
      <w:rPr>
        <w:rFonts w:ascii="Symbol" w:hAnsi="Symbol" w:hint="default"/>
      </w:rPr>
    </w:lvl>
    <w:lvl w:ilvl="4" w:tplc="D430D5BC">
      <w:start w:val="1"/>
      <w:numFmt w:val="bullet"/>
      <w:lvlText w:val="o"/>
      <w:lvlJc w:val="left"/>
      <w:pPr>
        <w:ind w:left="3600" w:hanging="360"/>
      </w:pPr>
      <w:rPr>
        <w:rFonts w:ascii="Courier New" w:hAnsi="Courier New" w:hint="default"/>
      </w:rPr>
    </w:lvl>
    <w:lvl w:ilvl="5" w:tplc="2CF87B8A">
      <w:start w:val="1"/>
      <w:numFmt w:val="bullet"/>
      <w:lvlText w:val=""/>
      <w:lvlJc w:val="left"/>
      <w:pPr>
        <w:ind w:left="4320" w:hanging="360"/>
      </w:pPr>
      <w:rPr>
        <w:rFonts w:ascii="Wingdings" w:hAnsi="Wingdings" w:hint="default"/>
      </w:rPr>
    </w:lvl>
    <w:lvl w:ilvl="6" w:tplc="F5AC9392">
      <w:start w:val="1"/>
      <w:numFmt w:val="bullet"/>
      <w:lvlText w:val=""/>
      <w:lvlJc w:val="left"/>
      <w:pPr>
        <w:ind w:left="5040" w:hanging="360"/>
      </w:pPr>
      <w:rPr>
        <w:rFonts w:ascii="Symbol" w:hAnsi="Symbol" w:hint="default"/>
      </w:rPr>
    </w:lvl>
    <w:lvl w:ilvl="7" w:tplc="F6CC8566">
      <w:start w:val="1"/>
      <w:numFmt w:val="bullet"/>
      <w:lvlText w:val="o"/>
      <w:lvlJc w:val="left"/>
      <w:pPr>
        <w:ind w:left="5760" w:hanging="360"/>
      </w:pPr>
      <w:rPr>
        <w:rFonts w:ascii="Courier New" w:hAnsi="Courier New" w:hint="default"/>
      </w:rPr>
    </w:lvl>
    <w:lvl w:ilvl="8" w:tplc="05D8B292">
      <w:start w:val="1"/>
      <w:numFmt w:val="bullet"/>
      <w:lvlText w:val=""/>
      <w:lvlJc w:val="left"/>
      <w:pPr>
        <w:ind w:left="6480" w:hanging="360"/>
      </w:pPr>
      <w:rPr>
        <w:rFonts w:ascii="Wingdings" w:hAnsi="Wingdings" w:hint="default"/>
      </w:rPr>
    </w:lvl>
  </w:abstractNum>
  <w:abstractNum w:abstractNumId="7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7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72" w15:restartNumberingAfterBreak="0">
    <w:nsid w:val="5C184A6A"/>
    <w:multiLevelType w:val="hybridMultilevel"/>
    <w:tmpl w:val="20F8182E"/>
    <w:lvl w:ilvl="0" w:tplc="782E153C">
      <w:start w:val="1"/>
      <w:numFmt w:val="upperLetter"/>
      <w:lvlText w:val="%1."/>
      <w:lvlJc w:val="left"/>
      <w:pPr>
        <w:ind w:left="366" w:hanging="360"/>
      </w:pPr>
      <w:rPr>
        <w:rFonts w:hint="default"/>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73" w15:restartNumberingAfterBreak="0">
    <w:nsid w:val="5C7C46E5"/>
    <w:multiLevelType w:val="hybridMultilevel"/>
    <w:tmpl w:val="AAB43224"/>
    <w:lvl w:ilvl="0" w:tplc="FD9268C4">
      <w:start w:val="1"/>
      <w:numFmt w:val="lowerRoman"/>
      <w:lvlText w:val="(%1)"/>
      <w:lvlJc w:val="left"/>
      <w:pPr>
        <w:ind w:left="1080" w:hanging="720"/>
      </w:pPr>
      <w:rPr>
        <w:rFonts w:eastAsia="Calibri" w:cs="Myanmar Text"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5" w15:restartNumberingAfterBreak="0">
    <w:nsid w:val="5D111E8D"/>
    <w:multiLevelType w:val="hybridMultilevel"/>
    <w:tmpl w:val="AA2E595C"/>
    <w:lvl w:ilvl="0" w:tplc="8CF2C182">
      <w:start w:val="5"/>
      <w:numFmt w:val="upperLetter"/>
      <w:lvlText w:val="%1."/>
      <w:lvlJc w:val="left"/>
      <w:pPr>
        <w:ind w:left="366" w:hanging="360"/>
      </w:pPr>
      <w:rPr>
        <w:rFonts w:hint="default"/>
        <w:u w:val="none"/>
      </w:rPr>
    </w:lvl>
    <w:lvl w:ilvl="1" w:tplc="18090019" w:tentative="1">
      <w:start w:val="1"/>
      <w:numFmt w:val="lowerLetter"/>
      <w:lvlText w:val="%2."/>
      <w:lvlJc w:val="left"/>
      <w:pPr>
        <w:ind w:left="1086" w:hanging="360"/>
      </w:pPr>
    </w:lvl>
    <w:lvl w:ilvl="2" w:tplc="1809001B" w:tentative="1">
      <w:start w:val="1"/>
      <w:numFmt w:val="lowerRoman"/>
      <w:lvlText w:val="%3."/>
      <w:lvlJc w:val="right"/>
      <w:pPr>
        <w:ind w:left="1806" w:hanging="180"/>
      </w:pPr>
    </w:lvl>
    <w:lvl w:ilvl="3" w:tplc="1809000F" w:tentative="1">
      <w:start w:val="1"/>
      <w:numFmt w:val="decimal"/>
      <w:lvlText w:val="%4."/>
      <w:lvlJc w:val="left"/>
      <w:pPr>
        <w:ind w:left="2526" w:hanging="360"/>
      </w:pPr>
    </w:lvl>
    <w:lvl w:ilvl="4" w:tplc="18090019" w:tentative="1">
      <w:start w:val="1"/>
      <w:numFmt w:val="lowerLetter"/>
      <w:lvlText w:val="%5."/>
      <w:lvlJc w:val="left"/>
      <w:pPr>
        <w:ind w:left="3246" w:hanging="360"/>
      </w:pPr>
    </w:lvl>
    <w:lvl w:ilvl="5" w:tplc="1809001B" w:tentative="1">
      <w:start w:val="1"/>
      <w:numFmt w:val="lowerRoman"/>
      <w:lvlText w:val="%6."/>
      <w:lvlJc w:val="right"/>
      <w:pPr>
        <w:ind w:left="3966" w:hanging="180"/>
      </w:pPr>
    </w:lvl>
    <w:lvl w:ilvl="6" w:tplc="1809000F" w:tentative="1">
      <w:start w:val="1"/>
      <w:numFmt w:val="decimal"/>
      <w:lvlText w:val="%7."/>
      <w:lvlJc w:val="left"/>
      <w:pPr>
        <w:ind w:left="4686" w:hanging="360"/>
      </w:pPr>
    </w:lvl>
    <w:lvl w:ilvl="7" w:tplc="18090019" w:tentative="1">
      <w:start w:val="1"/>
      <w:numFmt w:val="lowerLetter"/>
      <w:lvlText w:val="%8."/>
      <w:lvlJc w:val="left"/>
      <w:pPr>
        <w:ind w:left="5406" w:hanging="360"/>
      </w:pPr>
    </w:lvl>
    <w:lvl w:ilvl="8" w:tplc="1809001B" w:tentative="1">
      <w:start w:val="1"/>
      <w:numFmt w:val="lowerRoman"/>
      <w:lvlText w:val="%9."/>
      <w:lvlJc w:val="right"/>
      <w:pPr>
        <w:ind w:left="6126" w:hanging="180"/>
      </w:pPr>
    </w:lvl>
  </w:abstractNum>
  <w:abstractNum w:abstractNumId="76" w15:restartNumberingAfterBreak="0">
    <w:nsid w:val="5DCC1A5E"/>
    <w:multiLevelType w:val="multilevel"/>
    <w:tmpl w:val="64044F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5F1446F8"/>
    <w:multiLevelType w:val="hybridMultilevel"/>
    <w:tmpl w:val="CBCA9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F4A65B4"/>
    <w:multiLevelType w:val="hybridMultilevel"/>
    <w:tmpl w:val="FD7AD938"/>
    <w:lvl w:ilvl="0" w:tplc="D186C28E">
      <w:start w:val="1"/>
      <w:numFmt w:val="bullet"/>
      <w:lvlText w:val=""/>
      <w:lvlJc w:val="left"/>
      <w:pPr>
        <w:ind w:left="1020" w:hanging="360"/>
      </w:pPr>
      <w:rPr>
        <w:rFonts w:ascii="Symbol" w:hAnsi="Symbol"/>
      </w:rPr>
    </w:lvl>
    <w:lvl w:ilvl="1" w:tplc="4BC676AE">
      <w:start w:val="1"/>
      <w:numFmt w:val="bullet"/>
      <w:lvlText w:val=""/>
      <w:lvlJc w:val="left"/>
      <w:pPr>
        <w:ind w:left="1020" w:hanging="360"/>
      </w:pPr>
      <w:rPr>
        <w:rFonts w:ascii="Symbol" w:hAnsi="Symbol"/>
      </w:rPr>
    </w:lvl>
    <w:lvl w:ilvl="2" w:tplc="5AFCC78E">
      <w:start w:val="1"/>
      <w:numFmt w:val="bullet"/>
      <w:lvlText w:val=""/>
      <w:lvlJc w:val="left"/>
      <w:pPr>
        <w:ind w:left="1020" w:hanging="360"/>
      </w:pPr>
      <w:rPr>
        <w:rFonts w:ascii="Symbol" w:hAnsi="Symbol"/>
      </w:rPr>
    </w:lvl>
    <w:lvl w:ilvl="3" w:tplc="0BF88CC4">
      <w:start w:val="1"/>
      <w:numFmt w:val="bullet"/>
      <w:lvlText w:val=""/>
      <w:lvlJc w:val="left"/>
      <w:pPr>
        <w:ind w:left="1020" w:hanging="360"/>
      </w:pPr>
      <w:rPr>
        <w:rFonts w:ascii="Symbol" w:hAnsi="Symbol"/>
      </w:rPr>
    </w:lvl>
    <w:lvl w:ilvl="4" w:tplc="A650DC6C">
      <w:start w:val="1"/>
      <w:numFmt w:val="bullet"/>
      <w:lvlText w:val=""/>
      <w:lvlJc w:val="left"/>
      <w:pPr>
        <w:ind w:left="1020" w:hanging="360"/>
      </w:pPr>
      <w:rPr>
        <w:rFonts w:ascii="Symbol" w:hAnsi="Symbol"/>
      </w:rPr>
    </w:lvl>
    <w:lvl w:ilvl="5" w:tplc="DBEEDA7C">
      <w:start w:val="1"/>
      <w:numFmt w:val="bullet"/>
      <w:lvlText w:val=""/>
      <w:lvlJc w:val="left"/>
      <w:pPr>
        <w:ind w:left="1020" w:hanging="360"/>
      </w:pPr>
      <w:rPr>
        <w:rFonts w:ascii="Symbol" w:hAnsi="Symbol"/>
      </w:rPr>
    </w:lvl>
    <w:lvl w:ilvl="6" w:tplc="442838B6">
      <w:start w:val="1"/>
      <w:numFmt w:val="bullet"/>
      <w:lvlText w:val=""/>
      <w:lvlJc w:val="left"/>
      <w:pPr>
        <w:ind w:left="1020" w:hanging="360"/>
      </w:pPr>
      <w:rPr>
        <w:rFonts w:ascii="Symbol" w:hAnsi="Symbol"/>
      </w:rPr>
    </w:lvl>
    <w:lvl w:ilvl="7" w:tplc="0D027F96">
      <w:start w:val="1"/>
      <w:numFmt w:val="bullet"/>
      <w:lvlText w:val=""/>
      <w:lvlJc w:val="left"/>
      <w:pPr>
        <w:ind w:left="1020" w:hanging="360"/>
      </w:pPr>
      <w:rPr>
        <w:rFonts w:ascii="Symbol" w:hAnsi="Symbol"/>
      </w:rPr>
    </w:lvl>
    <w:lvl w:ilvl="8" w:tplc="431CD60A">
      <w:start w:val="1"/>
      <w:numFmt w:val="bullet"/>
      <w:lvlText w:val=""/>
      <w:lvlJc w:val="left"/>
      <w:pPr>
        <w:ind w:left="1020" w:hanging="360"/>
      </w:pPr>
      <w:rPr>
        <w:rFonts w:ascii="Symbol" w:hAnsi="Symbol"/>
      </w:rPr>
    </w:lvl>
  </w:abstractNum>
  <w:abstractNum w:abstractNumId="79" w15:restartNumberingAfterBreak="0">
    <w:nsid w:val="63C14204"/>
    <w:multiLevelType w:val="hybridMultilevel"/>
    <w:tmpl w:val="FD265596"/>
    <w:lvl w:ilvl="0" w:tplc="8EB40B82">
      <w:start w:val="1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0" w15:restartNumberingAfterBreak="0">
    <w:nsid w:val="63C42873"/>
    <w:multiLevelType w:val="multilevel"/>
    <w:tmpl w:val="17462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63FC14C9"/>
    <w:multiLevelType w:val="hybridMultilevel"/>
    <w:tmpl w:val="593CB22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83" w15:restartNumberingAfterBreak="0">
    <w:nsid w:val="6CA4FBD0"/>
    <w:multiLevelType w:val="hybridMultilevel"/>
    <w:tmpl w:val="FFFFFFFF"/>
    <w:lvl w:ilvl="0" w:tplc="79DEB380">
      <w:start w:val="1"/>
      <w:numFmt w:val="bullet"/>
      <w:lvlText w:val="-"/>
      <w:lvlJc w:val="left"/>
      <w:pPr>
        <w:ind w:left="720" w:hanging="360"/>
      </w:pPr>
      <w:rPr>
        <w:rFonts w:ascii="&quot;Times New Roman&quot;,serif" w:hAnsi="&quot;Times New Roman&quot;,serif" w:hint="default"/>
      </w:rPr>
    </w:lvl>
    <w:lvl w:ilvl="1" w:tplc="B22A73C8">
      <w:start w:val="1"/>
      <w:numFmt w:val="bullet"/>
      <w:lvlText w:val="o"/>
      <w:lvlJc w:val="left"/>
      <w:pPr>
        <w:ind w:left="1440" w:hanging="360"/>
      </w:pPr>
      <w:rPr>
        <w:rFonts w:ascii="Courier New" w:hAnsi="Courier New" w:hint="default"/>
      </w:rPr>
    </w:lvl>
    <w:lvl w:ilvl="2" w:tplc="4F6EBAE8">
      <w:start w:val="1"/>
      <w:numFmt w:val="bullet"/>
      <w:lvlText w:val=""/>
      <w:lvlJc w:val="left"/>
      <w:pPr>
        <w:ind w:left="2160" w:hanging="360"/>
      </w:pPr>
      <w:rPr>
        <w:rFonts w:ascii="Wingdings" w:hAnsi="Wingdings" w:hint="default"/>
      </w:rPr>
    </w:lvl>
    <w:lvl w:ilvl="3" w:tplc="CC3EF7E4">
      <w:start w:val="1"/>
      <w:numFmt w:val="bullet"/>
      <w:lvlText w:val=""/>
      <w:lvlJc w:val="left"/>
      <w:pPr>
        <w:ind w:left="2880" w:hanging="360"/>
      </w:pPr>
      <w:rPr>
        <w:rFonts w:ascii="Symbol" w:hAnsi="Symbol" w:hint="default"/>
      </w:rPr>
    </w:lvl>
    <w:lvl w:ilvl="4" w:tplc="741483C2">
      <w:start w:val="1"/>
      <w:numFmt w:val="bullet"/>
      <w:lvlText w:val="o"/>
      <w:lvlJc w:val="left"/>
      <w:pPr>
        <w:ind w:left="3600" w:hanging="360"/>
      </w:pPr>
      <w:rPr>
        <w:rFonts w:ascii="Courier New" w:hAnsi="Courier New" w:hint="default"/>
      </w:rPr>
    </w:lvl>
    <w:lvl w:ilvl="5" w:tplc="23106D50">
      <w:start w:val="1"/>
      <w:numFmt w:val="bullet"/>
      <w:lvlText w:val=""/>
      <w:lvlJc w:val="left"/>
      <w:pPr>
        <w:ind w:left="4320" w:hanging="360"/>
      </w:pPr>
      <w:rPr>
        <w:rFonts w:ascii="Wingdings" w:hAnsi="Wingdings" w:hint="default"/>
      </w:rPr>
    </w:lvl>
    <w:lvl w:ilvl="6" w:tplc="189A4F28">
      <w:start w:val="1"/>
      <w:numFmt w:val="bullet"/>
      <w:lvlText w:val=""/>
      <w:lvlJc w:val="left"/>
      <w:pPr>
        <w:ind w:left="5040" w:hanging="360"/>
      </w:pPr>
      <w:rPr>
        <w:rFonts w:ascii="Symbol" w:hAnsi="Symbol" w:hint="default"/>
      </w:rPr>
    </w:lvl>
    <w:lvl w:ilvl="7" w:tplc="16D0AAAA">
      <w:start w:val="1"/>
      <w:numFmt w:val="bullet"/>
      <w:lvlText w:val="o"/>
      <w:lvlJc w:val="left"/>
      <w:pPr>
        <w:ind w:left="5760" w:hanging="360"/>
      </w:pPr>
      <w:rPr>
        <w:rFonts w:ascii="Courier New" w:hAnsi="Courier New" w:hint="default"/>
      </w:rPr>
    </w:lvl>
    <w:lvl w:ilvl="8" w:tplc="D2E42798">
      <w:start w:val="1"/>
      <w:numFmt w:val="bullet"/>
      <w:lvlText w:val=""/>
      <w:lvlJc w:val="left"/>
      <w:pPr>
        <w:ind w:left="6480" w:hanging="360"/>
      </w:pPr>
      <w:rPr>
        <w:rFonts w:ascii="Wingdings" w:hAnsi="Wingdings" w:hint="default"/>
      </w:rPr>
    </w:lvl>
  </w:abstractNum>
  <w:abstractNum w:abstractNumId="84" w15:restartNumberingAfterBreak="0">
    <w:nsid w:val="6DA10BBB"/>
    <w:multiLevelType w:val="hybridMultilevel"/>
    <w:tmpl w:val="4CE8CEB4"/>
    <w:lvl w:ilvl="0" w:tplc="F96681D0">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6E184B22"/>
    <w:multiLevelType w:val="multilevel"/>
    <w:tmpl w:val="1A34B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6F1848E5"/>
    <w:multiLevelType w:val="hybridMultilevel"/>
    <w:tmpl w:val="0D48F38A"/>
    <w:lvl w:ilvl="0" w:tplc="201A0AA0">
      <w:start w:val="1"/>
      <w:numFmt w:val="lowerRoman"/>
      <w:lvlText w:val="%1)"/>
      <w:lvlJc w:val="left"/>
      <w:pPr>
        <w:ind w:left="720" w:hanging="720"/>
      </w:pPr>
      <w:rPr>
        <w:rFonts w:eastAsia="Calibri" w:cs="Myanmar Text"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7" w15:restartNumberingAfterBreak="0">
    <w:nsid w:val="6FCC309F"/>
    <w:multiLevelType w:val="hybridMultilevel"/>
    <w:tmpl w:val="889C2A7E"/>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88" w15:restartNumberingAfterBreak="0">
    <w:nsid w:val="70140041"/>
    <w:multiLevelType w:val="multilevel"/>
    <w:tmpl w:val="817E2E62"/>
    <w:lvl w:ilvl="0">
      <w:start w:val="3"/>
      <w:numFmt w:val="decimal"/>
      <w:lvlText w:val="%1."/>
      <w:lvlJc w:val="left"/>
      <w:pPr>
        <w:ind w:left="720" w:hanging="360"/>
      </w:pPr>
      <w:rPr>
        <w:rFonts w:hint="default"/>
        <w:u w:val="none"/>
      </w:rPr>
    </w:lvl>
    <w:lvl w:ilvl="1">
      <w:start w:val="1"/>
      <w:numFmt w:val="bullet"/>
      <w:lvlText w:val="○"/>
      <w:lvlJc w:val="left"/>
      <w:pPr>
        <w:ind w:left="1440" w:hanging="360"/>
      </w:pPr>
      <w:rPr>
        <w:rFonts w:hint="default"/>
        <w:u w:val="none"/>
      </w:rPr>
    </w:lvl>
    <w:lvl w:ilvl="2">
      <w:start w:val="1"/>
      <w:numFmt w:val="bullet"/>
      <w:lvlText w:val="■"/>
      <w:lvlJc w:val="left"/>
      <w:pPr>
        <w:ind w:left="2160" w:hanging="360"/>
      </w:pPr>
      <w:rPr>
        <w:rFonts w:hint="default"/>
        <w:u w:val="none"/>
      </w:rPr>
    </w:lvl>
    <w:lvl w:ilvl="3">
      <w:start w:val="1"/>
      <w:numFmt w:val="bullet"/>
      <w:lvlText w:val="●"/>
      <w:lvlJc w:val="left"/>
      <w:pPr>
        <w:ind w:left="2880" w:hanging="360"/>
      </w:pPr>
      <w:rPr>
        <w:rFonts w:hint="default"/>
        <w:u w:val="none"/>
      </w:rPr>
    </w:lvl>
    <w:lvl w:ilvl="4">
      <w:start w:val="1"/>
      <w:numFmt w:val="bullet"/>
      <w:lvlText w:val="○"/>
      <w:lvlJc w:val="left"/>
      <w:pPr>
        <w:ind w:left="3600" w:hanging="360"/>
      </w:pPr>
      <w:rPr>
        <w:rFonts w:hint="default"/>
        <w:u w:val="none"/>
      </w:rPr>
    </w:lvl>
    <w:lvl w:ilvl="5">
      <w:start w:val="1"/>
      <w:numFmt w:val="bullet"/>
      <w:lvlText w:val="■"/>
      <w:lvlJc w:val="left"/>
      <w:pPr>
        <w:ind w:left="4320" w:hanging="360"/>
      </w:pPr>
      <w:rPr>
        <w:rFonts w:hint="default"/>
        <w:u w:val="none"/>
      </w:rPr>
    </w:lvl>
    <w:lvl w:ilvl="6">
      <w:start w:val="1"/>
      <w:numFmt w:val="bullet"/>
      <w:lvlText w:val="●"/>
      <w:lvlJc w:val="left"/>
      <w:pPr>
        <w:ind w:left="5040" w:hanging="360"/>
      </w:pPr>
      <w:rPr>
        <w:rFonts w:hint="default"/>
        <w:u w:val="none"/>
      </w:rPr>
    </w:lvl>
    <w:lvl w:ilvl="7">
      <w:start w:val="1"/>
      <w:numFmt w:val="bullet"/>
      <w:lvlText w:val="○"/>
      <w:lvlJc w:val="left"/>
      <w:pPr>
        <w:ind w:left="5760" w:hanging="360"/>
      </w:pPr>
      <w:rPr>
        <w:rFonts w:hint="default"/>
        <w:u w:val="none"/>
      </w:rPr>
    </w:lvl>
    <w:lvl w:ilvl="8">
      <w:start w:val="1"/>
      <w:numFmt w:val="bullet"/>
      <w:lvlText w:val="■"/>
      <w:lvlJc w:val="left"/>
      <w:pPr>
        <w:ind w:left="6480" w:hanging="360"/>
      </w:pPr>
      <w:rPr>
        <w:rFonts w:hint="default"/>
        <w:u w:val="none"/>
      </w:rPr>
    </w:lvl>
  </w:abstractNum>
  <w:abstractNum w:abstractNumId="89" w15:restartNumberingAfterBreak="0">
    <w:nsid w:val="702E54AB"/>
    <w:multiLevelType w:val="hybridMultilevel"/>
    <w:tmpl w:val="99862E8E"/>
    <w:lvl w:ilvl="0" w:tplc="0809001B">
      <w:start w:val="1"/>
      <w:numFmt w:val="lowerRoman"/>
      <w:lvlText w:val="%1."/>
      <w:lvlJc w:val="right"/>
      <w:pPr>
        <w:ind w:left="719"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74041A25"/>
    <w:multiLevelType w:val="hybridMultilevel"/>
    <w:tmpl w:val="7A84A6D0"/>
    <w:lvl w:ilvl="0" w:tplc="BA98E70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1" w15:restartNumberingAfterBreak="0">
    <w:nsid w:val="76A3747F"/>
    <w:multiLevelType w:val="hybridMultilevel"/>
    <w:tmpl w:val="FFFFFFFF"/>
    <w:lvl w:ilvl="0" w:tplc="9F422C9E">
      <w:start w:val="1"/>
      <w:numFmt w:val="bullet"/>
      <w:lvlText w:val="-"/>
      <w:lvlJc w:val="left"/>
      <w:pPr>
        <w:ind w:left="720" w:hanging="360"/>
      </w:pPr>
      <w:rPr>
        <w:rFonts w:ascii="Aptos" w:hAnsi="Aptos" w:hint="default"/>
      </w:rPr>
    </w:lvl>
    <w:lvl w:ilvl="1" w:tplc="30661080">
      <w:start w:val="1"/>
      <w:numFmt w:val="bullet"/>
      <w:lvlText w:val="o"/>
      <w:lvlJc w:val="left"/>
      <w:pPr>
        <w:ind w:left="1440" w:hanging="360"/>
      </w:pPr>
      <w:rPr>
        <w:rFonts w:ascii="Courier New" w:hAnsi="Courier New" w:hint="default"/>
      </w:rPr>
    </w:lvl>
    <w:lvl w:ilvl="2" w:tplc="727222BA">
      <w:start w:val="1"/>
      <w:numFmt w:val="bullet"/>
      <w:lvlText w:val=""/>
      <w:lvlJc w:val="left"/>
      <w:pPr>
        <w:ind w:left="2160" w:hanging="360"/>
      </w:pPr>
      <w:rPr>
        <w:rFonts w:ascii="Wingdings" w:hAnsi="Wingdings" w:hint="default"/>
      </w:rPr>
    </w:lvl>
    <w:lvl w:ilvl="3" w:tplc="9A067F2C">
      <w:start w:val="1"/>
      <w:numFmt w:val="bullet"/>
      <w:lvlText w:val=""/>
      <w:lvlJc w:val="left"/>
      <w:pPr>
        <w:ind w:left="2880" w:hanging="360"/>
      </w:pPr>
      <w:rPr>
        <w:rFonts w:ascii="Symbol" w:hAnsi="Symbol" w:hint="default"/>
      </w:rPr>
    </w:lvl>
    <w:lvl w:ilvl="4" w:tplc="1D6866CC">
      <w:start w:val="1"/>
      <w:numFmt w:val="bullet"/>
      <w:lvlText w:val="o"/>
      <w:lvlJc w:val="left"/>
      <w:pPr>
        <w:ind w:left="3600" w:hanging="360"/>
      </w:pPr>
      <w:rPr>
        <w:rFonts w:ascii="Courier New" w:hAnsi="Courier New" w:hint="default"/>
      </w:rPr>
    </w:lvl>
    <w:lvl w:ilvl="5" w:tplc="FD98348A">
      <w:start w:val="1"/>
      <w:numFmt w:val="bullet"/>
      <w:lvlText w:val=""/>
      <w:lvlJc w:val="left"/>
      <w:pPr>
        <w:ind w:left="4320" w:hanging="360"/>
      </w:pPr>
      <w:rPr>
        <w:rFonts w:ascii="Wingdings" w:hAnsi="Wingdings" w:hint="default"/>
      </w:rPr>
    </w:lvl>
    <w:lvl w:ilvl="6" w:tplc="00B0B6E0">
      <w:start w:val="1"/>
      <w:numFmt w:val="bullet"/>
      <w:lvlText w:val=""/>
      <w:lvlJc w:val="left"/>
      <w:pPr>
        <w:ind w:left="5040" w:hanging="360"/>
      </w:pPr>
      <w:rPr>
        <w:rFonts w:ascii="Symbol" w:hAnsi="Symbol" w:hint="default"/>
      </w:rPr>
    </w:lvl>
    <w:lvl w:ilvl="7" w:tplc="387C3744">
      <w:start w:val="1"/>
      <w:numFmt w:val="bullet"/>
      <w:lvlText w:val="o"/>
      <w:lvlJc w:val="left"/>
      <w:pPr>
        <w:ind w:left="5760" w:hanging="360"/>
      </w:pPr>
      <w:rPr>
        <w:rFonts w:ascii="Courier New" w:hAnsi="Courier New" w:hint="default"/>
      </w:rPr>
    </w:lvl>
    <w:lvl w:ilvl="8" w:tplc="8968D69C">
      <w:start w:val="1"/>
      <w:numFmt w:val="bullet"/>
      <w:lvlText w:val=""/>
      <w:lvlJc w:val="left"/>
      <w:pPr>
        <w:ind w:left="6480" w:hanging="360"/>
      </w:pPr>
      <w:rPr>
        <w:rFonts w:ascii="Wingdings" w:hAnsi="Wingdings" w:hint="default"/>
      </w:rPr>
    </w:lvl>
  </w:abstractNum>
  <w:abstractNum w:abstractNumId="92" w15:restartNumberingAfterBreak="0">
    <w:nsid w:val="76D06977"/>
    <w:multiLevelType w:val="hybridMultilevel"/>
    <w:tmpl w:val="42E4798A"/>
    <w:lvl w:ilvl="0" w:tplc="991C3E1E">
      <w:start w:val="1"/>
      <w:numFmt w:val="bullet"/>
      <w:lvlText w:val="-"/>
      <w:lvlJc w:val="left"/>
      <w:pPr>
        <w:ind w:left="1080" w:hanging="720"/>
      </w:pPr>
      <w:rPr>
        <w:rFonts w:ascii="Calibri" w:hAnsi="Calibri" w:hint="default"/>
      </w:rPr>
    </w:lvl>
    <w:lvl w:ilvl="1" w:tplc="548ABFEE">
      <w:start w:val="1"/>
      <w:numFmt w:val="decimal"/>
      <w:lvlText w:val="%2."/>
      <w:lvlJc w:val="left"/>
      <w:pPr>
        <w:ind w:left="1440" w:hanging="360"/>
      </w:pPr>
      <w:rPr>
        <w:rFonts w:hint="default"/>
      </w:rPr>
    </w:lvl>
    <w:lvl w:ilvl="2" w:tplc="450EA25E">
      <w:start w:val="1"/>
      <w:numFmt w:val="lowerRoman"/>
      <w:lvlText w:val="(%3)"/>
      <w:lvlJc w:val="left"/>
      <w:pPr>
        <w:ind w:left="2700" w:hanging="720"/>
      </w:pPr>
      <w:rPr>
        <w:rFonts w:hint="default"/>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3" w15:restartNumberingAfterBreak="0">
    <w:nsid w:val="77566D51"/>
    <w:multiLevelType w:val="hybridMultilevel"/>
    <w:tmpl w:val="334A26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7816483B"/>
    <w:multiLevelType w:val="hybridMultilevel"/>
    <w:tmpl w:val="14569A86"/>
    <w:lvl w:ilvl="0" w:tplc="B22E0E3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5" w15:restartNumberingAfterBreak="0">
    <w:nsid w:val="79EFD594"/>
    <w:multiLevelType w:val="hybridMultilevel"/>
    <w:tmpl w:val="29BA2D90"/>
    <w:lvl w:ilvl="0" w:tplc="68DE7F80">
      <w:start w:val="1"/>
      <w:numFmt w:val="bullet"/>
      <w:lvlText w:val="-"/>
      <w:lvlJc w:val="left"/>
      <w:pPr>
        <w:ind w:left="720" w:hanging="360"/>
      </w:pPr>
      <w:rPr>
        <w:rFonts w:ascii="Aptos" w:hAnsi="Aptos" w:hint="default"/>
      </w:rPr>
    </w:lvl>
    <w:lvl w:ilvl="1" w:tplc="DFA8AC82">
      <w:start w:val="1"/>
      <w:numFmt w:val="bullet"/>
      <w:lvlText w:val="o"/>
      <w:lvlJc w:val="left"/>
      <w:pPr>
        <w:ind w:left="1440" w:hanging="360"/>
      </w:pPr>
      <w:rPr>
        <w:rFonts w:ascii="Courier New" w:hAnsi="Courier New" w:hint="default"/>
      </w:rPr>
    </w:lvl>
    <w:lvl w:ilvl="2" w:tplc="80ACE3EC">
      <w:start w:val="1"/>
      <w:numFmt w:val="bullet"/>
      <w:lvlText w:val=""/>
      <w:lvlJc w:val="left"/>
      <w:pPr>
        <w:ind w:left="2160" w:hanging="360"/>
      </w:pPr>
      <w:rPr>
        <w:rFonts w:ascii="Wingdings" w:hAnsi="Wingdings" w:hint="default"/>
      </w:rPr>
    </w:lvl>
    <w:lvl w:ilvl="3" w:tplc="9A4E138A">
      <w:start w:val="1"/>
      <w:numFmt w:val="bullet"/>
      <w:lvlText w:val=""/>
      <w:lvlJc w:val="left"/>
      <w:pPr>
        <w:ind w:left="2880" w:hanging="360"/>
      </w:pPr>
      <w:rPr>
        <w:rFonts w:ascii="Symbol" w:hAnsi="Symbol" w:hint="default"/>
      </w:rPr>
    </w:lvl>
    <w:lvl w:ilvl="4" w:tplc="E682B9AA">
      <w:start w:val="1"/>
      <w:numFmt w:val="bullet"/>
      <w:lvlText w:val="o"/>
      <w:lvlJc w:val="left"/>
      <w:pPr>
        <w:ind w:left="3600" w:hanging="360"/>
      </w:pPr>
      <w:rPr>
        <w:rFonts w:ascii="Courier New" w:hAnsi="Courier New" w:hint="default"/>
      </w:rPr>
    </w:lvl>
    <w:lvl w:ilvl="5" w:tplc="212CE970">
      <w:start w:val="1"/>
      <w:numFmt w:val="bullet"/>
      <w:lvlText w:val=""/>
      <w:lvlJc w:val="left"/>
      <w:pPr>
        <w:ind w:left="4320" w:hanging="360"/>
      </w:pPr>
      <w:rPr>
        <w:rFonts w:ascii="Wingdings" w:hAnsi="Wingdings" w:hint="default"/>
      </w:rPr>
    </w:lvl>
    <w:lvl w:ilvl="6" w:tplc="0364771A">
      <w:start w:val="1"/>
      <w:numFmt w:val="bullet"/>
      <w:lvlText w:val=""/>
      <w:lvlJc w:val="left"/>
      <w:pPr>
        <w:ind w:left="5040" w:hanging="360"/>
      </w:pPr>
      <w:rPr>
        <w:rFonts w:ascii="Symbol" w:hAnsi="Symbol" w:hint="default"/>
      </w:rPr>
    </w:lvl>
    <w:lvl w:ilvl="7" w:tplc="BCA6CD9A">
      <w:start w:val="1"/>
      <w:numFmt w:val="bullet"/>
      <w:lvlText w:val="o"/>
      <w:lvlJc w:val="left"/>
      <w:pPr>
        <w:ind w:left="5760" w:hanging="360"/>
      </w:pPr>
      <w:rPr>
        <w:rFonts w:ascii="Courier New" w:hAnsi="Courier New" w:hint="default"/>
      </w:rPr>
    </w:lvl>
    <w:lvl w:ilvl="8" w:tplc="1A00ED24">
      <w:start w:val="1"/>
      <w:numFmt w:val="bullet"/>
      <w:lvlText w:val=""/>
      <w:lvlJc w:val="left"/>
      <w:pPr>
        <w:ind w:left="6480" w:hanging="360"/>
      </w:pPr>
      <w:rPr>
        <w:rFonts w:ascii="Wingdings" w:hAnsi="Wingdings" w:hint="default"/>
      </w:rPr>
    </w:lvl>
  </w:abstractNum>
  <w:abstractNum w:abstractNumId="96" w15:restartNumberingAfterBreak="0">
    <w:nsid w:val="7BF94956"/>
    <w:multiLevelType w:val="hybridMultilevel"/>
    <w:tmpl w:val="26F28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C080B6C"/>
    <w:multiLevelType w:val="hybridMultilevel"/>
    <w:tmpl w:val="4B28B65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9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99" w15:restartNumberingAfterBreak="0">
    <w:nsid w:val="7CD26665"/>
    <w:multiLevelType w:val="multilevel"/>
    <w:tmpl w:val="13DA11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15:restartNumberingAfterBreak="0">
    <w:nsid w:val="7F010CB7"/>
    <w:multiLevelType w:val="multilevel"/>
    <w:tmpl w:val="08ECA51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01" w15:restartNumberingAfterBreak="0">
    <w:nsid w:val="7F332538"/>
    <w:multiLevelType w:val="multilevel"/>
    <w:tmpl w:val="2094396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02" w15:restartNumberingAfterBreak="0">
    <w:nsid w:val="7F830756"/>
    <w:multiLevelType w:val="hybridMultilevel"/>
    <w:tmpl w:val="8A4CF84E"/>
    <w:lvl w:ilvl="0" w:tplc="F96681D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4"/>
  </w:num>
  <w:num w:numId="2">
    <w:abstractNumId w:val="74"/>
  </w:num>
  <w:num w:numId="3">
    <w:abstractNumId w:val="46"/>
  </w:num>
  <w:num w:numId="4">
    <w:abstractNumId w:val="82"/>
  </w:num>
  <w:num w:numId="5">
    <w:abstractNumId w:val="37"/>
  </w:num>
  <w:num w:numId="6">
    <w:abstractNumId w:val="47"/>
  </w:num>
  <w:num w:numId="7">
    <w:abstractNumId w:val="31"/>
  </w:num>
  <w:num w:numId="8">
    <w:abstractNumId w:val="29"/>
  </w:num>
  <w:num w:numId="9">
    <w:abstractNumId w:val="50"/>
  </w:num>
  <w:num w:numId="10">
    <w:abstractNumId w:val="70"/>
  </w:num>
  <w:num w:numId="11">
    <w:abstractNumId w:val="71"/>
  </w:num>
  <w:num w:numId="12">
    <w:abstractNumId w:val="34"/>
  </w:num>
  <w:num w:numId="13">
    <w:abstractNumId w:val="62"/>
  </w:num>
  <w:num w:numId="14">
    <w:abstractNumId w:val="98"/>
  </w:num>
  <w:num w:numId="15">
    <w:abstractNumId w:val="3"/>
  </w:num>
  <w:num w:numId="16">
    <w:abstractNumId w:val="2"/>
  </w:num>
  <w:num w:numId="17">
    <w:abstractNumId w:val="1"/>
  </w:num>
  <w:num w:numId="18">
    <w:abstractNumId w:val="0"/>
  </w:num>
  <w:num w:numId="19">
    <w:abstractNumId w:val="10"/>
  </w:num>
  <w:num w:numId="20">
    <w:abstractNumId w:val="72"/>
  </w:num>
  <w:num w:numId="21">
    <w:abstractNumId w:val="55"/>
  </w:num>
  <w:num w:numId="22">
    <w:abstractNumId w:val="44"/>
  </w:num>
  <w:num w:numId="23">
    <w:abstractNumId w:val="42"/>
  </w:num>
  <w:num w:numId="24">
    <w:abstractNumId w:val="12"/>
  </w:num>
  <w:num w:numId="2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102"/>
  </w:num>
  <w:num w:numId="28">
    <w:abstractNumId w:val="21"/>
  </w:num>
  <w:num w:numId="29">
    <w:abstractNumId w:val="17"/>
  </w:num>
  <w:num w:numId="30">
    <w:abstractNumId w:val="52"/>
  </w:num>
  <w:num w:numId="31">
    <w:abstractNumId w:val="5"/>
  </w:num>
  <w:num w:numId="32">
    <w:abstractNumId w:val="69"/>
  </w:num>
  <w:num w:numId="33">
    <w:abstractNumId w:val="56"/>
  </w:num>
  <w:num w:numId="34">
    <w:abstractNumId w:val="57"/>
  </w:num>
  <w:num w:numId="35">
    <w:abstractNumId w:val="53"/>
  </w:num>
  <w:num w:numId="36">
    <w:abstractNumId w:val="96"/>
  </w:num>
  <w:num w:numId="37">
    <w:abstractNumId w:val="75"/>
  </w:num>
  <w:num w:numId="38">
    <w:abstractNumId w:val="15"/>
  </w:num>
  <w:num w:numId="39">
    <w:abstractNumId w:val="67"/>
  </w:num>
  <w:num w:numId="40">
    <w:abstractNumId w:val="33"/>
  </w:num>
  <w:num w:numId="41">
    <w:abstractNumId w:val="100"/>
  </w:num>
  <w:num w:numId="42">
    <w:abstractNumId w:val="14"/>
  </w:num>
  <w:num w:numId="43">
    <w:abstractNumId w:val="68"/>
  </w:num>
  <w:num w:numId="44">
    <w:abstractNumId w:val="22"/>
  </w:num>
  <w:num w:numId="45">
    <w:abstractNumId w:val="19"/>
  </w:num>
  <w:num w:numId="46">
    <w:abstractNumId w:val="13"/>
  </w:num>
  <w:num w:numId="47">
    <w:abstractNumId w:val="86"/>
  </w:num>
  <w:num w:numId="48">
    <w:abstractNumId w:val="49"/>
  </w:num>
  <w:num w:numId="49">
    <w:abstractNumId w:val="18"/>
  </w:num>
  <w:num w:numId="50">
    <w:abstractNumId w:val="6"/>
  </w:num>
  <w:num w:numId="51">
    <w:abstractNumId w:val="101"/>
  </w:num>
  <w:num w:numId="52">
    <w:abstractNumId w:val="79"/>
  </w:num>
  <w:num w:numId="53">
    <w:abstractNumId w:val="28"/>
  </w:num>
  <w:num w:numId="5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1"/>
  </w:num>
  <w:num w:numId="56">
    <w:abstractNumId w:val="54"/>
  </w:num>
  <w:num w:numId="57">
    <w:abstractNumId w:val="94"/>
  </w:num>
  <w:num w:numId="58">
    <w:abstractNumId w:val="23"/>
  </w:num>
  <w:num w:numId="59">
    <w:abstractNumId w:val="7"/>
  </w:num>
  <w:num w:numId="60">
    <w:abstractNumId w:val="59"/>
  </w:num>
  <w:num w:numId="61">
    <w:abstractNumId w:val="27"/>
  </w:num>
  <w:num w:numId="62">
    <w:abstractNumId w:val="73"/>
  </w:num>
  <w:num w:numId="63">
    <w:abstractNumId w:val="40"/>
  </w:num>
  <w:num w:numId="64">
    <w:abstractNumId w:val="80"/>
  </w:num>
  <w:num w:numId="65">
    <w:abstractNumId w:val="77"/>
  </w:num>
  <w:num w:numId="66">
    <w:abstractNumId w:val="20"/>
  </w:num>
  <w:num w:numId="67">
    <w:abstractNumId w:val="88"/>
  </w:num>
  <w:num w:numId="68">
    <w:abstractNumId w:val="90"/>
  </w:num>
  <w:num w:numId="69">
    <w:abstractNumId w:val="39"/>
  </w:num>
  <w:num w:numId="70">
    <w:abstractNumId w:val="35"/>
  </w:num>
  <w:num w:numId="71">
    <w:abstractNumId w:val="85"/>
  </w:num>
  <w:num w:numId="72">
    <w:abstractNumId w:val="60"/>
  </w:num>
  <w:num w:numId="73">
    <w:abstractNumId w:val="63"/>
  </w:num>
  <w:num w:numId="74">
    <w:abstractNumId w:val="32"/>
  </w:num>
  <w:num w:numId="75">
    <w:abstractNumId w:val="76"/>
  </w:num>
  <w:num w:numId="76">
    <w:abstractNumId w:val="58"/>
  </w:num>
  <w:num w:numId="77">
    <w:abstractNumId w:val="38"/>
  </w:num>
  <w:num w:numId="78">
    <w:abstractNumId w:val="11"/>
  </w:num>
  <w:num w:numId="79">
    <w:abstractNumId w:val="95"/>
  </w:num>
  <w:num w:numId="80">
    <w:abstractNumId w:val="8"/>
  </w:num>
  <w:num w:numId="81">
    <w:abstractNumId w:val="84"/>
  </w:num>
  <w:num w:numId="82">
    <w:abstractNumId w:val="99"/>
  </w:num>
  <w:num w:numId="83">
    <w:abstractNumId w:val="36"/>
  </w:num>
  <w:num w:numId="84">
    <w:abstractNumId w:val="16"/>
  </w:num>
  <w:num w:numId="85">
    <w:abstractNumId w:val="4"/>
  </w:num>
  <w:num w:numId="86">
    <w:abstractNumId w:val="89"/>
  </w:num>
  <w:num w:numId="87">
    <w:abstractNumId w:val="24"/>
  </w:num>
  <w:num w:numId="88">
    <w:abstractNumId w:val="61"/>
  </w:num>
  <w:num w:numId="89">
    <w:abstractNumId w:val="93"/>
  </w:num>
  <w:num w:numId="90">
    <w:abstractNumId w:val="65"/>
  </w:num>
  <w:num w:numId="91">
    <w:abstractNumId w:val="26"/>
  </w:num>
  <w:num w:numId="92">
    <w:abstractNumId w:val="92"/>
  </w:num>
  <w:num w:numId="93">
    <w:abstractNumId w:val="45"/>
  </w:num>
  <w:num w:numId="9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87"/>
  </w:num>
  <w:num w:numId="97">
    <w:abstractNumId w:val="91"/>
  </w:num>
  <w:num w:numId="98">
    <w:abstractNumId w:val="30"/>
  </w:num>
  <w:num w:numId="9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
  </w:num>
  <w:num w:numId="101">
    <w:abstractNumId w:val="43"/>
  </w:num>
  <w:num w:numId="102">
    <w:abstractNumId w:val="83"/>
  </w:num>
  <w:num w:numId="103">
    <w:abstractNumId w:val="51"/>
  </w:num>
  <w:num w:numId="104">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78"/>
  </w:num>
  <w:num w:numId="106">
    <w:abstractNumId w:val="66"/>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splitPgBreakAndParaMark/>
    <w:compatSetting w:name="compatibilityMode" w:uri="http://schemas.microsoft.com/office/word" w:val="12"/>
  </w:compat>
  <w:docVars>
    <w:docVar w:name="Council" w:val="true"/>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2-09&lt;/text&gt;_x000d__x000a_  &lt;/metadata&gt;_x000d__x000a_  &lt;metadata key=&quot;md_Prefix&quot;&gt;_x000d__x000a_    &lt;text&gt;&lt;/text&gt;_x000d__x000a_  &lt;/metadata&gt;_x000d__x000a_  &lt;metadata key=&quot;md_DocumentNumber&quot;&gt;_x000d__x000a_    &lt;text&gt;15754&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575&lt;/text&gt;_x000d__x000a_      &lt;text&gt;UEM 573&lt;/text&gt;_x000d__x000a_      &lt;text&gt;FIN 1428&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5/0377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Implementing Decision of 13 July 2021 on the approval of the assessment of the recovery and resilience plan for Greece&quot;&gt;&amp;lt;FlowDocument xmlns=&quot;http://schemas.microsoft.com/winfx/2006/xaml/presentation&quot;&amp;gt;&amp;lt;Paragraph&amp;gt;ANNEX to the COUNCIL IMPLEMENTING DECISION amending Implementing Decision of 13 July 2021 on the approval of the assessment of the recovery and resilience plan for Greece&amp;lt;/Paragraph&amp;gt;&amp;lt;/FlowDocument&amp;gt;&lt;/xaml&gt;_x000d__x000a_  &lt;/metadata&gt;_x000d__x000a_  &lt;metadata key=&quot;md_SubjectFootnote&quot;&gt;_x000d__x000a_    &lt;text&gt;&lt;/text&gt;_x000d__x000a_  &lt;/metadata&gt;_x000d__x000a_  &lt;metadata key=&quot;md_DG&quot;&gt;_x000d__x000a_    &lt;text&gt;ECOIF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702CBCD8-9D41-4BDC-AD82-446CD798DDF7"/>
    <w:docVar w:name="LW_COVERPAGE_TYPE" w:val="1"/>
    <w:docVar w:name="LW_CROSSREFERENCE" w:val="{SWD(2026) 252 final}"/>
    <w:docVar w:name="LW_DocType" w:val="DW_COUNCIL"/>
    <w:docVar w:name="LW_EMISSION" w:val="23.7.2026"/>
    <w:docVar w:name="LW_EMISSION_ISODATE" w:val="2026-07-23"/>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Conseil du 13 juillet 2021 relative à l\u8217?approbation de l\u8217?évaluation du plan pour la reprise et la résilience pour la Grèce"/>
    <w:docVar w:name="LW_PART_NBR" w:val="1"/>
    <w:docVar w:name="LW_PART_NBR_TOTAL" w:val="1"/>
    <w:docVar w:name="LW_REF.INST.NEW" w:val="COM"/>
    <w:docVar w:name="LW_REF.INST.NEW_ADOPTED" w:val="final"/>
    <w:docVar w:name="LW_REF.INST.NEW_TEXT" w:val="(2026) 4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EXÉCUTION DU CONSEIL"/>
    <w:docVar w:name="LwApiVersions" w:val="LW4CoDe 1.24.5.0; LW 9.2, Build 20251112"/>
  </w:docVars>
  <w:rsids>
    <w:rsidRoot w:val="00A86151"/>
    <w:rsid w:val="00000017"/>
    <w:rsid w:val="00000112"/>
    <w:rsid w:val="00000150"/>
    <w:rsid w:val="000002AC"/>
    <w:rsid w:val="0000032E"/>
    <w:rsid w:val="000004EF"/>
    <w:rsid w:val="00000625"/>
    <w:rsid w:val="00000680"/>
    <w:rsid w:val="00000832"/>
    <w:rsid w:val="000009AE"/>
    <w:rsid w:val="00000ABF"/>
    <w:rsid w:val="00000E9B"/>
    <w:rsid w:val="000012B7"/>
    <w:rsid w:val="00001342"/>
    <w:rsid w:val="000015A8"/>
    <w:rsid w:val="00001605"/>
    <w:rsid w:val="00001A17"/>
    <w:rsid w:val="00001A1D"/>
    <w:rsid w:val="00001CA7"/>
    <w:rsid w:val="00001D51"/>
    <w:rsid w:val="00001E55"/>
    <w:rsid w:val="00001F1C"/>
    <w:rsid w:val="000021C8"/>
    <w:rsid w:val="00002413"/>
    <w:rsid w:val="0000242E"/>
    <w:rsid w:val="00002520"/>
    <w:rsid w:val="000025A6"/>
    <w:rsid w:val="00002734"/>
    <w:rsid w:val="00002B2E"/>
    <w:rsid w:val="00002E58"/>
    <w:rsid w:val="00002F60"/>
    <w:rsid w:val="00003174"/>
    <w:rsid w:val="000033B9"/>
    <w:rsid w:val="00003541"/>
    <w:rsid w:val="000035C6"/>
    <w:rsid w:val="000036F5"/>
    <w:rsid w:val="00003731"/>
    <w:rsid w:val="00003A2C"/>
    <w:rsid w:val="00003D89"/>
    <w:rsid w:val="00003DBB"/>
    <w:rsid w:val="00003EA2"/>
    <w:rsid w:val="00003F15"/>
    <w:rsid w:val="0000432F"/>
    <w:rsid w:val="00004465"/>
    <w:rsid w:val="000045A1"/>
    <w:rsid w:val="00004849"/>
    <w:rsid w:val="00005003"/>
    <w:rsid w:val="000054F3"/>
    <w:rsid w:val="000054FA"/>
    <w:rsid w:val="00005598"/>
    <w:rsid w:val="00005924"/>
    <w:rsid w:val="00005C33"/>
    <w:rsid w:val="00005D58"/>
    <w:rsid w:val="00005D83"/>
    <w:rsid w:val="00005DFB"/>
    <w:rsid w:val="00005EE7"/>
    <w:rsid w:val="00005F39"/>
    <w:rsid w:val="000065BB"/>
    <w:rsid w:val="00006722"/>
    <w:rsid w:val="00006790"/>
    <w:rsid w:val="00006859"/>
    <w:rsid w:val="00006A0D"/>
    <w:rsid w:val="00006DA3"/>
    <w:rsid w:val="00006F88"/>
    <w:rsid w:val="0000700F"/>
    <w:rsid w:val="00007292"/>
    <w:rsid w:val="00007302"/>
    <w:rsid w:val="000073AB"/>
    <w:rsid w:val="0000743F"/>
    <w:rsid w:val="0000746C"/>
    <w:rsid w:val="000077B4"/>
    <w:rsid w:val="000077EB"/>
    <w:rsid w:val="00007975"/>
    <w:rsid w:val="00007AB6"/>
    <w:rsid w:val="00007ACA"/>
    <w:rsid w:val="00007E61"/>
    <w:rsid w:val="000102AF"/>
    <w:rsid w:val="00010484"/>
    <w:rsid w:val="00010568"/>
    <w:rsid w:val="00010976"/>
    <w:rsid w:val="0001115B"/>
    <w:rsid w:val="0001132C"/>
    <w:rsid w:val="0001186F"/>
    <w:rsid w:val="000119DE"/>
    <w:rsid w:val="00011D19"/>
    <w:rsid w:val="00011E37"/>
    <w:rsid w:val="00011E4D"/>
    <w:rsid w:val="0001211E"/>
    <w:rsid w:val="000126FE"/>
    <w:rsid w:val="000128B2"/>
    <w:rsid w:val="00012BBE"/>
    <w:rsid w:val="00012C51"/>
    <w:rsid w:val="00012C5A"/>
    <w:rsid w:val="00012FEC"/>
    <w:rsid w:val="000132A6"/>
    <w:rsid w:val="000132E1"/>
    <w:rsid w:val="00013354"/>
    <w:rsid w:val="00013509"/>
    <w:rsid w:val="0001356B"/>
    <w:rsid w:val="000135A6"/>
    <w:rsid w:val="000135DF"/>
    <w:rsid w:val="00013689"/>
    <w:rsid w:val="0001384A"/>
    <w:rsid w:val="0001389B"/>
    <w:rsid w:val="00013AA5"/>
    <w:rsid w:val="00013AC3"/>
    <w:rsid w:val="00013B0F"/>
    <w:rsid w:val="00013EDC"/>
    <w:rsid w:val="000142C1"/>
    <w:rsid w:val="000145F5"/>
    <w:rsid w:val="00014805"/>
    <w:rsid w:val="00014816"/>
    <w:rsid w:val="0001491E"/>
    <w:rsid w:val="0001494D"/>
    <w:rsid w:val="000149B4"/>
    <w:rsid w:val="000149C8"/>
    <w:rsid w:val="00014D62"/>
    <w:rsid w:val="00014FDB"/>
    <w:rsid w:val="000151FE"/>
    <w:rsid w:val="00015484"/>
    <w:rsid w:val="0001578F"/>
    <w:rsid w:val="00015939"/>
    <w:rsid w:val="0001595B"/>
    <w:rsid w:val="00015AFB"/>
    <w:rsid w:val="00015F1D"/>
    <w:rsid w:val="00015FB9"/>
    <w:rsid w:val="000161F6"/>
    <w:rsid w:val="000162DD"/>
    <w:rsid w:val="000163BE"/>
    <w:rsid w:val="0001648C"/>
    <w:rsid w:val="0001659F"/>
    <w:rsid w:val="00016721"/>
    <w:rsid w:val="00016797"/>
    <w:rsid w:val="000167D6"/>
    <w:rsid w:val="00016951"/>
    <w:rsid w:val="00016A84"/>
    <w:rsid w:val="00016BF1"/>
    <w:rsid w:val="00017317"/>
    <w:rsid w:val="00017688"/>
    <w:rsid w:val="000176B2"/>
    <w:rsid w:val="000178DE"/>
    <w:rsid w:val="00017B2E"/>
    <w:rsid w:val="00017BA1"/>
    <w:rsid w:val="00017CF8"/>
    <w:rsid w:val="00017F86"/>
    <w:rsid w:val="00020025"/>
    <w:rsid w:val="0002002B"/>
    <w:rsid w:val="00020269"/>
    <w:rsid w:val="00020326"/>
    <w:rsid w:val="00020348"/>
    <w:rsid w:val="0002067D"/>
    <w:rsid w:val="0002071C"/>
    <w:rsid w:val="00020732"/>
    <w:rsid w:val="00020761"/>
    <w:rsid w:val="000208E8"/>
    <w:rsid w:val="00020AC5"/>
    <w:rsid w:val="00020B63"/>
    <w:rsid w:val="00020C48"/>
    <w:rsid w:val="00020CAF"/>
    <w:rsid w:val="00020F1E"/>
    <w:rsid w:val="00020F4A"/>
    <w:rsid w:val="000213FC"/>
    <w:rsid w:val="00021446"/>
    <w:rsid w:val="00021699"/>
    <w:rsid w:val="00021763"/>
    <w:rsid w:val="00021971"/>
    <w:rsid w:val="00021BF1"/>
    <w:rsid w:val="00021D23"/>
    <w:rsid w:val="000220F1"/>
    <w:rsid w:val="0002227B"/>
    <w:rsid w:val="00022375"/>
    <w:rsid w:val="0002243B"/>
    <w:rsid w:val="000226D8"/>
    <w:rsid w:val="00022A58"/>
    <w:rsid w:val="000232E0"/>
    <w:rsid w:val="00023338"/>
    <w:rsid w:val="0002363F"/>
    <w:rsid w:val="0002367C"/>
    <w:rsid w:val="000237A1"/>
    <w:rsid w:val="00023AD4"/>
    <w:rsid w:val="00023BD1"/>
    <w:rsid w:val="00023D2B"/>
    <w:rsid w:val="00023DB5"/>
    <w:rsid w:val="00023DCF"/>
    <w:rsid w:val="00024021"/>
    <w:rsid w:val="000240B8"/>
    <w:rsid w:val="000244F0"/>
    <w:rsid w:val="000247CD"/>
    <w:rsid w:val="000248F4"/>
    <w:rsid w:val="0002495F"/>
    <w:rsid w:val="00024B29"/>
    <w:rsid w:val="000251B8"/>
    <w:rsid w:val="000254D1"/>
    <w:rsid w:val="00025511"/>
    <w:rsid w:val="000256B2"/>
    <w:rsid w:val="00025A39"/>
    <w:rsid w:val="00025A43"/>
    <w:rsid w:val="00025A4E"/>
    <w:rsid w:val="00025A97"/>
    <w:rsid w:val="00025B8E"/>
    <w:rsid w:val="00025D80"/>
    <w:rsid w:val="00025DDE"/>
    <w:rsid w:val="00026017"/>
    <w:rsid w:val="000260BF"/>
    <w:rsid w:val="0002613D"/>
    <w:rsid w:val="00026360"/>
    <w:rsid w:val="00026372"/>
    <w:rsid w:val="00026688"/>
    <w:rsid w:val="000269F4"/>
    <w:rsid w:val="00026A5C"/>
    <w:rsid w:val="00026A9D"/>
    <w:rsid w:val="00026AB9"/>
    <w:rsid w:val="00026C48"/>
    <w:rsid w:val="00027018"/>
    <w:rsid w:val="000274C4"/>
    <w:rsid w:val="0002777C"/>
    <w:rsid w:val="0002780C"/>
    <w:rsid w:val="000278D8"/>
    <w:rsid w:val="000279E8"/>
    <w:rsid w:val="00027D57"/>
    <w:rsid w:val="00027E15"/>
    <w:rsid w:val="00030059"/>
    <w:rsid w:val="0003035A"/>
    <w:rsid w:val="00030390"/>
    <w:rsid w:val="0003054D"/>
    <w:rsid w:val="000305B3"/>
    <w:rsid w:val="00030BB4"/>
    <w:rsid w:val="00030CD8"/>
    <w:rsid w:val="00030D14"/>
    <w:rsid w:val="00030F79"/>
    <w:rsid w:val="00030FBD"/>
    <w:rsid w:val="000310C0"/>
    <w:rsid w:val="0003153C"/>
    <w:rsid w:val="0003177F"/>
    <w:rsid w:val="000319D7"/>
    <w:rsid w:val="00031A78"/>
    <w:rsid w:val="00031B77"/>
    <w:rsid w:val="00031B9A"/>
    <w:rsid w:val="00031CE9"/>
    <w:rsid w:val="00031D9D"/>
    <w:rsid w:val="00031FA3"/>
    <w:rsid w:val="00032000"/>
    <w:rsid w:val="0003214E"/>
    <w:rsid w:val="00032187"/>
    <w:rsid w:val="000324FF"/>
    <w:rsid w:val="00032713"/>
    <w:rsid w:val="000329AA"/>
    <w:rsid w:val="00032BAF"/>
    <w:rsid w:val="00032BC5"/>
    <w:rsid w:val="00032F4D"/>
    <w:rsid w:val="0003326E"/>
    <w:rsid w:val="000332A0"/>
    <w:rsid w:val="0003356C"/>
    <w:rsid w:val="000338D9"/>
    <w:rsid w:val="00033A8A"/>
    <w:rsid w:val="00033EC5"/>
    <w:rsid w:val="00034154"/>
    <w:rsid w:val="000342F8"/>
    <w:rsid w:val="00034481"/>
    <w:rsid w:val="000344F6"/>
    <w:rsid w:val="00034627"/>
    <w:rsid w:val="000346CF"/>
    <w:rsid w:val="000347EB"/>
    <w:rsid w:val="00034817"/>
    <w:rsid w:val="00034915"/>
    <w:rsid w:val="000349D7"/>
    <w:rsid w:val="00034ACA"/>
    <w:rsid w:val="00034B83"/>
    <w:rsid w:val="00034B85"/>
    <w:rsid w:val="00034E14"/>
    <w:rsid w:val="00034E64"/>
    <w:rsid w:val="0003518B"/>
    <w:rsid w:val="000351DB"/>
    <w:rsid w:val="0003566F"/>
    <w:rsid w:val="000356D8"/>
    <w:rsid w:val="000357B9"/>
    <w:rsid w:val="00035D40"/>
    <w:rsid w:val="00035DF8"/>
    <w:rsid w:val="00036073"/>
    <w:rsid w:val="00036080"/>
    <w:rsid w:val="000360C5"/>
    <w:rsid w:val="000361A5"/>
    <w:rsid w:val="000361F7"/>
    <w:rsid w:val="0003628C"/>
    <w:rsid w:val="00036320"/>
    <w:rsid w:val="0003665A"/>
    <w:rsid w:val="0003673C"/>
    <w:rsid w:val="00036799"/>
    <w:rsid w:val="00036BAB"/>
    <w:rsid w:val="00036DC6"/>
    <w:rsid w:val="00037004"/>
    <w:rsid w:val="000371E4"/>
    <w:rsid w:val="00037975"/>
    <w:rsid w:val="000379C4"/>
    <w:rsid w:val="00037AD1"/>
    <w:rsid w:val="00037F44"/>
    <w:rsid w:val="00037FC1"/>
    <w:rsid w:val="0004017A"/>
    <w:rsid w:val="00040200"/>
    <w:rsid w:val="0004024F"/>
    <w:rsid w:val="000402AA"/>
    <w:rsid w:val="000405D4"/>
    <w:rsid w:val="000406AC"/>
    <w:rsid w:val="000408D6"/>
    <w:rsid w:val="00040CFE"/>
    <w:rsid w:val="00040DF9"/>
    <w:rsid w:val="00040F07"/>
    <w:rsid w:val="00041022"/>
    <w:rsid w:val="000410F4"/>
    <w:rsid w:val="00041205"/>
    <w:rsid w:val="00041643"/>
    <w:rsid w:val="00041946"/>
    <w:rsid w:val="00041ECD"/>
    <w:rsid w:val="00042392"/>
    <w:rsid w:val="000427B1"/>
    <w:rsid w:val="00042881"/>
    <w:rsid w:val="00042AB2"/>
    <w:rsid w:val="00042AD2"/>
    <w:rsid w:val="00042ED3"/>
    <w:rsid w:val="00043545"/>
    <w:rsid w:val="000435E4"/>
    <w:rsid w:val="00043662"/>
    <w:rsid w:val="000438E6"/>
    <w:rsid w:val="00043B76"/>
    <w:rsid w:val="00043C43"/>
    <w:rsid w:val="00043DBE"/>
    <w:rsid w:val="00043F44"/>
    <w:rsid w:val="000440F7"/>
    <w:rsid w:val="000443C5"/>
    <w:rsid w:val="00044A23"/>
    <w:rsid w:val="00044B7E"/>
    <w:rsid w:val="00044CA7"/>
    <w:rsid w:val="00044CB1"/>
    <w:rsid w:val="00044EC2"/>
    <w:rsid w:val="000451C1"/>
    <w:rsid w:val="0004533A"/>
    <w:rsid w:val="0004534C"/>
    <w:rsid w:val="00045424"/>
    <w:rsid w:val="00045451"/>
    <w:rsid w:val="00045697"/>
    <w:rsid w:val="000459FD"/>
    <w:rsid w:val="00045C5A"/>
    <w:rsid w:val="00045E45"/>
    <w:rsid w:val="00045EEE"/>
    <w:rsid w:val="000460E1"/>
    <w:rsid w:val="00046229"/>
    <w:rsid w:val="000462EC"/>
    <w:rsid w:val="00046338"/>
    <w:rsid w:val="0004633C"/>
    <w:rsid w:val="000464E6"/>
    <w:rsid w:val="00046510"/>
    <w:rsid w:val="00046587"/>
    <w:rsid w:val="0004667B"/>
    <w:rsid w:val="000466A8"/>
    <w:rsid w:val="000468A5"/>
    <w:rsid w:val="00046D12"/>
    <w:rsid w:val="00046F56"/>
    <w:rsid w:val="000470FD"/>
    <w:rsid w:val="00047107"/>
    <w:rsid w:val="000471D7"/>
    <w:rsid w:val="00047282"/>
    <w:rsid w:val="000476B5"/>
    <w:rsid w:val="000478F8"/>
    <w:rsid w:val="00047AC5"/>
    <w:rsid w:val="00047BD4"/>
    <w:rsid w:val="00047E10"/>
    <w:rsid w:val="00047F01"/>
    <w:rsid w:val="0005032D"/>
    <w:rsid w:val="00050416"/>
    <w:rsid w:val="00050422"/>
    <w:rsid w:val="0005055A"/>
    <w:rsid w:val="00050634"/>
    <w:rsid w:val="000506A7"/>
    <w:rsid w:val="00050770"/>
    <w:rsid w:val="00050776"/>
    <w:rsid w:val="000507EF"/>
    <w:rsid w:val="00050855"/>
    <w:rsid w:val="0005098F"/>
    <w:rsid w:val="00050A11"/>
    <w:rsid w:val="00050BE2"/>
    <w:rsid w:val="00050C80"/>
    <w:rsid w:val="00050D0D"/>
    <w:rsid w:val="00050E97"/>
    <w:rsid w:val="00050FC2"/>
    <w:rsid w:val="00051072"/>
    <w:rsid w:val="00051329"/>
    <w:rsid w:val="0005139A"/>
    <w:rsid w:val="000513EE"/>
    <w:rsid w:val="000515A7"/>
    <w:rsid w:val="00051677"/>
    <w:rsid w:val="0005172D"/>
    <w:rsid w:val="000517F2"/>
    <w:rsid w:val="00051B68"/>
    <w:rsid w:val="00051FB7"/>
    <w:rsid w:val="00051FCE"/>
    <w:rsid w:val="000520DB"/>
    <w:rsid w:val="0005248B"/>
    <w:rsid w:val="0005257A"/>
    <w:rsid w:val="0005262B"/>
    <w:rsid w:val="000526D1"/>
    <w:rsid w:val="00052AA1"/>
    <w:rsid w:val="00052B68"/>
    <w:rsid w:val="00052D7C"/>
    <w:rsid w:val="00052DD4"/>
    <w:rsid w:val="00053316"/>
    <w:rsid w:val="000533F8"/>
    <w:rsid w:val="00053538"/>
    <w:rsid w:val="00053886"/>
    <w:rsid w:val="00053CB5"/>
    <w:rsid w:val="00053D1F"/>
    <w:rsid w:val="00053E0C"/>
    <w:rsid w:val="0005402A"/>
    <w:rsid w:val="000543AE"/>
    <w:rsid w:val="0005454A"/>
    <w:rsid w:val="0005471E"/>
    <w:rsid w:val="000548F3"/>
    <w:rsid w:val="0005494D"/>
    <w:rsid w:val="00054AF6"/>
    <w:rsid w:val="00054B57"/>
    <w:rsid w:val="00054D56"/>
    <w:rsid w:val="00054D6D"/>
    <w:rsid w:val="00054EF3"/>
    <w:rsid w:val="00054FE8"/>
    <w:rsid w:val="0005507C"/>
    <w:rsid w:val="0005508E"/>
    <w:rsid w:val="00055226"/>
    <w:rsid w:val="000553A8"/>
    <w:rsid w:val="000553EF"/>
    <w:rsid w:val="00055402"/>
    <w:rsid w:val="00055543"/>
    <w:rsid w:val="00055711"/>
    <w:rsid w:val="000559B0"/>
    <w:rsid w:val="00055D22"/>
    <w:rsid w:val="00055FDA"/>
    <w:rsid w:val="00056111"/>
    <w:rsid w:val="00056457"/>
    <w:rsid w:val="00056594"/>
    <w:rsid w:val="00056743"/>
    <w:rsid w:val="000569CA"/>
    <w:rsid w:val="00056B55"/>
    <w:rsid w:val="00056DD0"/>
    <w:rsid w:val="00056DD2"/>
    <w:rsid w:val="00056ECA"/>
    <w:rsid w:val="00056F4B"/>
    <w:rsid w:val="00057000"/>
    <w:rsid w:val="00057036"/>
    <w:rsid w:val="000572F0"/>
    <w:rsid w:val="0005732D"/>
    <w:rsid w:val="0005747A"/>
    <w:rsid w:val="000574B2"/>
    <w:rsid w:val="00057813"/>
    <w:rsid w:val="00057924"/>
    <w:rsid w:val="00057DE5"/>
    <w:rsid w:val="00057EE8"/>
    <w:rsid w:val="00057FFD"/>
    <w:rsid w:val="00060057"/>
    <w:rsid w:val="00060420"/>
    <w:rsid w:val="00060458"/>
    <w:rsid w:val="000609E1"/>
    <w:rsid w:val="00060BA2"/>
    <w:rsid w:val="00060BE9"/>
    <w:rsid w:val="00060C22"/>
    <w:rsid w:val="00061302"/>
    <w:rsid w:val="000613E3"/>
    <w:rsid w:val="00061521"/>
    <w:rsid w:val="0006177F"/>
    <w:rsid w:val="000617D4"/>
    <w:rsid w:val="00061AF0"/>
    <w:rsid w:val="00061C11"/>
    <w:rsid w:val="00061CFC"/>
    <w:rsid w:val="00061FFD"/>
    <w:rsid w:val="00062141"/>
    <w:rsid w:val="0006215E"/>
    <w:rsid w:val="0006240D"/>
    <w:rsid w:val="0006245E"/>
    <w:rsid w:val="00062544"/>
    <w:rsid w:val="000626AD"/>
    <w:rsid w:val="000627B8"/>
    <w:rsid w:val="000629CB"/>
    <w:rsid w:val="00062B70"/>
    <w:rsid w:val="00062DAA"/>
    <w:rsid w:val="000630EF"/>
    <w:rsid w:val="00063145"/>
    <w:rsid w:val="00063459"/>
    <w:rsid w:val="0006348E"/>
    <w:rsid w:val="00063699"/>
    <w:rsid w:val="0006375B"/>
    <w:rsid w:val="00063B41"/>
    <w:rsid w:val="00063C77"/>
    <w:rsid w:val="00063E2E"/>
    <w:rsid w:val="00063EF6"/>
    <w:rsid w:val="00064284"/>
    <w:rsid w:val="000648C9"/>
    <w:rsid w:val="00064AD8"/>
    <w:rsid w:val="00064B22"/>
    <w:rsid w:val="00064F30"/>
    <w:rsid w:val="00065020"/>
    <w:rsid w:val="00065035"/>
    <w:rsid w:val="0006506B"/>
    <w:rsid w:val="0006516D"/>
    <w:rsid w:val="00065603"/>
    <w:rsid w:val="00065928"/>
    <w:rsid w:val="0006592A"/>
    <w:rsid w:val="00065D68"/>
    <w:rsid w:val="00065DFB"/>
    <w:rsid w:val="00065E0A"/>
    <w:rsid w:val="0006604E"/>
    <w:rsid w:val="00066247"/>
    <w:rsid w:val="0006659D"/>
    <w:rsid w:val="000665A2"/>
    <w:rsid w:val="00066655"/>
    <w:rsid w:val="00066656"/>
    <w:rsid w:val="000666BE"/>
    <w:rsid w:val="000668D5"/>
    <w:rsid w:val="000669FD"/>
    <w:rsid w:val="00066C10"/>
    <w:rsid w:val="00066D92"/>
    <w:rsid w:val="000672E6"/>
    <w:rsid w:val="0006738C"/>
    <w:rsid w:val="000673C7"/>
    <w:rsid w:val="0007003A"/>
    <w:rsid w:val="00070304"/>
    <w:rsid w:val="00070668"/>
    <w:rsid w:val="000706EA"/>
    <w:rsid w:val="0007083E"/>
    <w:rsid w:val="000709FC"/>
    <w:rsid w:val="00070A13"/>
    <w:rsid w:val="00070A4A"/>
    <w:rsid w:val="000710FD"/>
    <w:rsid w:val="0007111F"/>
    <w:rsid w:val="000711E2"/>
    <w:rsid w:val="000712CA"/>
    <w:rsid w:val="000713BC"/>
    <w:rsid w:val="000714DD"/>
    <w:rsid w:val="0007154D"/>
    <w:rsid w:val="000715A2"/>
    <w:rsid w:val="00071733"/>
    <w:rsid w:val="00071910"/>
    <w:rsid w:val="0007199A"/>
    <w:rsid w:val="00071C53"/>
    <w:rsid w:val="00071FD7"/>
    <w:rsid w:val="00072103"/>
    <w:rsid w:val="0007219C"/>
    <w:rsid w:val="000721D0"/>
    <w:rsid w:val="0007228A"/>
    <w:rsid w:val="000722C4"/>
    <w:rsid w:val="00072376"/>
    <w:rsid w:val="00072515"/>
    <w:rsid w:val="00072542"/>
    <w:rsid w:val="00072602"/>
    <w:rsid w:val="000728E0"/>
    <w:rsid w:val="0007297D"/>
    <w:rsid w:val="000729F8"/>
    <w:rsid w:val="00072A56"/>
    <w:rsid w:val="00072C60"/>
    <w:rsid w:val="00072CCA"/>
    <w:rsid w:val="00072F6F"/>
    <w:rsid w:val="000733C7"/>
    <w:rsid w:val="000734DA"/>
    <w:rsid w:val="00073544"/>
    <w:rsid w:val="0007386F"/>
    <w:rsid w:val="000739CC"/>
    <w:rsid w:val="00073C0F"/>
    <w:rsid w:val="00073E62"/>
    <w:rsid w:val="00074476"/>
    <w:rsid w:val="00074657"/>
    <w:rsid w:val="00074BA6"/>
    <w:rsid w:val="00074CEA"/>
    <w:rsid w:val="00074DD9"/>
    <w:rsid w:val="000753B0"/>
    <w:rsid w:val="000753F1"/>
    <w:rsid w:val="00075417"/>
    <w:rsid w:val="0007548D"/>
    <w:rsid w:val="000755E7"/>
    <w:rsid w:val="00075884"/>
    <w:rsid w:val="0007588F"/>
    <w:rsid w:val="000759C3"/>
    <w:rsid w:val="00075B72"/>
    <w:rsid w:val="00075CA0"/>
    <w:rsid w:val="00075CEB"/>
    <w:rsid w:val="00075E94"/>
    <w:rsid w:val="00075FB5"/>
    <w:rsid w:val="00076038"/>
    <w:rsid w:val="000764C9"/>
    <w:rsid w:val="000767ED"/>
    <w:rsid w:val="000768E4"/>
    <w:rsid w:val="00076B06"/>
    <w:rsid w:val="00076DE9"/>
    <w:rsid w:val="00076EAC"/>
    <w:rsid w:val="0007713A"/>
    <w:rsid w:val="000771AD"/>
    <w:rsid w:val="00077225"/>
    <w:rsid w:val="000772BF"/>
    <w:rsid w:val="0007749E"/>
    <w:rsid w:val="00077519"/>
    <w:rsid w:val="00077698"/>
    <w:rsid w:val="00077E98"/>
    <w:rsid w:val="00077EAF"/>
    <w:rsid w:val="00077F91"/>
    <w:rsid w:val="00077FA7"/>
    <w:rsid w:val="00077FD9"/>
    <w:rsid w:val="00080063"/>
    <w:rsid w:val="00080307"/>
    <w:rsid w:val="000804DD"/>
    <w:rsid w:val="00080579"/>
    <w:rsid w:val="000806C4"/>
    <w:rsid w:val="00080850"/>
    <w:rsid w:val="000809DA"/>
    <w:rsid w:val="00080B83"/>
    <w:rsid w:val="00080EBF"/>
    <w:rsid w:val="00080F26"/>
    <w:rsid w:val="000812EB"/>
    <w:rsid w:val="00081311"/>
    <w:rsid w:val="000815B3"/>
    <w:rsid w:val="00081B28"/>
    <w:rsid w:val="00081FEE"/>
    <w:rsid w:val="00082329"/>
    <w:rsid w:val="00082453"/>
    <w:rsid w:val="00082589"/>
    <w:rsid w:val="00082756"/>
    <w:rsid w:val="000829E7"/>
    <w:rsid w:val="00082A77"/>
    <w:rsid w:val="00082B87"/>
    <w:rsid w:val="00082E14"/>
    <w:rsid w:val="00082E5A"/>
    <w:rsid w:val="00082E76"/>
    <w:rsid w:val="00082F1A"/>
    <w:rsid w:val="00082F51"/>
    <w:rsid w:val="000831D3"/>
    <w:rsid w:val="00083214"/>
    <w:rsid w:val="00083234"/>
    <w:rsid w:val="00083B7B"/>
    <w:rsid w:val="00083E44"/>
    <w:rsid w:val="00083E91"/>
    <w:rsid w:val="00083F66"/>
    <w:rsid w:val="000844BD"/>
    <w:rsid w:val="00084642"/>
    <w:rsid w:val="000846A3"/>
    <w:rsid w:val="00084771"/>
    <w:rsid w:val="0008482F"/>
    <w:rsid w:val="0008498A"/>
    <w:rsid w:val="00084ADB"/>
    <w:rsid w:val="00084D46"/>
    <w:rsid w:val="0008526E"/>
    <w:rsid w:val="000853D9"/>
    <w:rsid w:val="00085658"/>
    <w:rsid w:val="000857FC"/>
    <w:rsid w:val="000859A8"/>
    <w:rsid w:val="00085A99"/>
    <w:rsid w:val="00085B18"/>
    <w:rsid w:val="00085B99"/>
    <w:rsid w:val="00085F89"/>
    <w:rsid w:val="0008621D"/>
    <w:rsid w:val="00086384"/>
    <w:rsid w:val="000863CC"/>
    <w:rsid w:val="000863D3"/>
    <w:rsid w:val="00086498"/>
    <w:rsid w:val="000865D6"/>
    <w:rsid w:val="00086723"/>
    <w:rsid w:val="00086739"/>
    <w:rsid w:val="000868F5"/>
    <w:rsid w:val="000869EF"/>
    <w:rsid w:val="00086AA6"/>
    <w:rsid w:val="00086B57"/>
    <w:rsid w:val="00086DA5"/>
    <w:rsid w:val="00086E56"/>
    <w:rsid w:val="00087015"/>
    <w:rsid w:val="000873E7"/>
    <w:rsid w:val="000875CB"/>
    <w:rsid w:val="00087B79"/>
    <w:rsid w:val="00087E51"/>
    <w:rsid w:val="00087FB0"/>
    <w:rsid w:val="00090017"/>
    <w:rsid w:val="000901C5"/>
    <w:rsid w:val="0009048E"/>
    <w:rsid w:val="00090559"/>
    <w:rsid w:val="000906C2"/>
    <w:rsid w:val="000906EA"/>
    <w:rsid w:val="000908C9"/>
    <w:rsid w:val="00090D76"/>
    <w:rsid w:val="00090DC9"/>
    <w:rsid w:val="00090E42"/>
    <w:rsid w:val="000911C8"/>
    <w:rsid w:val="000911EE"/>
    <w:rsid w:val="000912B2"/>
    <w:rsid w:val="00091385"/>
    <w:rsid w:val="000914CC"/>
    <w:rsid w:val="000915AA"/>
    <w:rsid w:val="000916EC"/>
    <w:rsid w:val="00091742"/>
    <w:rsid w:val="000917C1"/>
    <w:rsid w:val="000919B7"/>
    <w:rsid w:val="00091A41"/>
    <w:rsid w:val="00091B44"/>
    <w:rsid w:val="00091CE3"/>
    <w:rsid w:val="00091D75"/>
    <w:rsid w:val="00091E02"/>
    <w:rsid w:val="00092058"/>
    <w:rsid w:val="000920B6"/>
    <w:rsid w:val="0009214D"/>
    <w:rsid w:val="000923A3"/>
    <w:rsid w:val="000923D9"/>
    <w:rsid w:val="000923EE"/>
    <w:rsid w:val="000926C4"/>
    <w:rsid w:val="00092799"/>
    <w:rsid w:val="00092C75"/>
    <w:rsid w:val="00092DEE"/>
    <w:rsid w:val="00092FCF"/>
    <w:rsid w:val="00093260"/>
    <w:rsid w:val="00093403"/>
    <w:rsid w:val="000936D7"/>
    <w:rsid w:val="00093B05"/>
    <w:rsid w:val="00093C49"/>
    <w:rsid w:val="00093D51"/>
    <w:rsid w:val="00093E2A"/>
    <w:rsid w:val="00093F32"/>
    <w:rsid w:val="000944F9"/>
    <w:rsid w:val="0009483A"/>
    <w:rsid w:val="0009497A"/>
    <w:rsid w:val="00094AAA"/>
    <w:rsid w:val="00094F6F"/>
    <w:rsid w:val="00094FE5"/>
    <w:rsid w:val="000952B4"/>
    <w:rsid w:val="000954D6"/>
    <w:rsid w:val="00095556"/>
    <w:rsid w:val="000957C7"/>
    <w:rsid w:val="00095836"/>
    <w:rsid w:val="0009585D"/>
    <w:rsid w:val="0009594F"/>
    <w:rsid w:val="00095B0A"/>
    <w:rsid w:val="0009644C"/>
    <w:rsid w:val="000965EF"/>
    <w:rsid w:val="00096951"/>
    <w:rsid w:val="00096954"/>
    <w:rsid w:val="00096E78"/>
    <w:rsid w:val="0009752D"/>
    <w:rsid w:val="00097806"/>
    <w:rsid w:val="00097874"/>
    <w:rsid w:val="00097B63"/>
    <w:rsid w:val="00097B77"/>
    <w:rsid w:val="00097D92"/>
    <w:rsid w:val="00097DB3"/>
    <w:rsid w:val="00097DCD"/>
    <w:rsid w:val="00097FF9"/>
    <w:rsid w:val="000A0138"/>
    <w:rsid w:val="000A050F"/>
    <w:rsid w:val="000A0752"/>
    <w:rsid w:val="000A08D5"/>
    <w:rsid w:val="000A13E3"/>
    <w:rsid w:val="000A14CE"/>
    <w:rsid w:val="000A1702"/>
    <w:rsid w:val="000A1710"/>
    <w:rsid w:val="000A17EA"/>
    <w:rsid w:val="000A1851"/>
    <w:rsid w:val="000A190B"/>
    <w:rsid w:val="000A1B67"/>
    <w:rsid w:val="000A1BC6"/>
    <w:rsid w:val="000A1D21"/>
    <w:rsid w:val="000A1D7B"/>
    <w:rsid w:val="000A1F0E"/>
    <w:rsid w:val="000A21BE"/>
    <w:rsid w:val="000A228E"/>
    <w:rsid w:val="000A234E"/>
    <w:rsid w:val="000A2490"/>
    <w:rsid w:val="000A24D6"/>
    <w:rsid w:val="000A2552"/>
    <w:rsid w:val="000A2778"/>
    <w:rsid w:val="000A27F4"/>
    <w:rsid w:val="000A289D"/>
    <w:rsid w:val="000A2AB8"/>
    <w:rsid w:val="000A2CD0"/>
    <w:rsid w:val="000A2DC0"/>
    <w:rsid w:val="000A2DDB"/>
    <w:rsid w:val="000A2EFF"/>
    <w:rsid w:val="000A3047"/>
    <w:rsid w:val="000A3050"/>
    <w:rsid w:val="000A311E"/>
    <w:rsid w:val="000A31C2"/>
    <w:rsid w:val="000A33C9"/>
    <w:rsid w:val="000A34FA"/>
    <w:rsid w:val="000A361B"/>
    <w:rsid w:val="000A394C"/>
    <w:rsid w:val="000A3A21"/>
    <w:rsid w:val="000A3B53"/>
    <w:rsid w:val="000A3B8E"/>
    <w:rsid w:val="000A3F8E"/>
    <w:rsid w:val="000A41D2"/>
    <w:rsid w:val="000A426C"/>
    <w:rsid w:val="000A42E5"/>
    <w:rsid w:val="000A46E2"/>
    <w:rsid w:val="000A46EE"/>
    <w:rsid w:val="000A4798"/>
    <w:rsid w:val="000A498E"/>
    <w:rsid w:val="000A4A2F"/>
    <w:rsid w:val="000A4C56"/>
    <w:rsid w:val="000A4CB6"/>
    <w:rsid w:val="000A4D9A"/>
    <w:rsid w:val="000A4E9B"/>
    <w:rsid w:val="000A4ECC"/>
    <w:rsid w:val="000A4EF2"/>
    <w:rsid w:val="000A4F2E"/>
    <w:rsid w:val="000A501E"/>
    <w:rsid w:val="000A5314"/>
    <w:rsid w:val="000A54CF"/>
    <w:rsid w:val="000A564B"/>
    <w:rsid w:val="000A58B2"/>
    <w:rsid w:val="000A59BD"/>
    <w:rsid w:val="000A59DF"/>
    <w:rsid w:val="000A5C73"/>
    <w:rsid w:val="000A5C8A"/>
    <w:rsid w:val="000A5EBF"/>
    <w:rsid w:val="000A5FE1"/>
    <w:rsid w:val="000A60E8"/>
    <w:rsid w:val="000A6513"/>
    <w:rsid w:val="000A6591"/>
    <w:rsid w:val="000A6B38"/>
    <w:rsid w:val="000A6B7E"/>
    <w:rsid w:val="000A71B3"/>
    <w:rsid w:val="000A72D1"/>
    <w:rsid w:val="000A75E1"/>
    <w:rsid w:val="000A7604"/>
    <w:rsid w:val="000A7A7F"/>
    <w:rsid w:val="000A7CAA"/>
    <w:rsid w:val="000A7E11"/>
    <w:rsid w:val="000B0031"/>
    <w:rsid w:val="000B01D4"/>
    <w:rsid w:val="000B02A4"/>
    <w:rsid w:val="000B0311"/>
    <w:rsid w:val="000B06C4"/>
    <w:rsid w:val="000B0884"/>
    <w:rsid w:val="000B0A3A"/>
    <w:rsid w:val="000B0B73"/>
    <w:rsid w:val="000B0B7D"/>
    <w:rsid w:val="000B0C83"/>
    <w:rsid w:val="000B0C88"/>
    <w:rsid w:val="000B0C8A"/>
    <w:rsid w:val="000B0CBD"/>
    <w:rsid w:val="000B0D00"/>
    <w:rsid w:val="000B0E33"/>
    <w:rsid w:val="000B0E92"/>
    <w:rsid w:val="000B1035"/>
    <w:rsid w:val="000B10C1"/>
    <w:rsid w:val="000B125D"/>
    <w:rsid w:val="000B1321"/>
    <w:rsid w:val="000B164B"/>
    <w:rsid w:val="000B1B31"/>
    <w:rsid w:val="000B1C41"/>
    <w:rsid w:val="000B1DD3"/>
    <w:rsid w:val="000B202E"/>
    <w:rsid w:val="000B2127"/>
    <w:rsid w:val="000B2148"/>
    <w:rsid w:val="000B231D"/>
    <w:rsid w:val="000B2333"/>
    <w:rsid w:val="000B2686"/>
    <w:rsid w:val="000B26B9"/>
    <w:rsid w:val="000B26EA"/>
    <w:rsid w:val="000B28F5"/>
    <w:rsid w:val="000B2AF4"/>
    <w:rsid w:val="000B2B81"/>
    <w:rsid w:val="000B2D4A"/>
    <w:rsid w:val="000B303B"/>
    <w:rsid w:val="000B31BA"/>
    <w:rsid w:val="000B338E"/>
    <w:rsid w:val="000B33D0"/>
    <w:rsid w:val="000B3455"/>
    <w:rsid w:val="000B35EB"/>
    <w:rsid w:val="000B3729"/>
    <w:rsid w:val="000B3747"/>
    <w:rsid w:val="000B39D9"/>
    <w:rsid w:val="000B3A06"/>
    <w:rsid w:val="000B3A65"/>
    <w:rsid w:val="000B3B33"/>
    <w:rsid w:val="000B3BA8"/>
    <w:rsid w:val="000B3D9E"/>
    <w:rsid w:val="000B40BF"/>
    <w:rsid w:val="000B421D"/>
    <w:rsid w:val="000B46D9"/>
    <w:rsid w:val="000B46E1"/>
    <w:rsid w:val="000B47F7"/>
    <w:rsid w:val="000B484B"/>
    <w:rsid w:val="000B49C0"/>
    <w:rsid w:val="000B4B39"/>
    <w:rsid w:val="000B4CD2"/>
    <w:rsid w:val="000B4D7E"/>
    <w:rsid w:val="000B4F8C"/>
    <w:rsid w:val="000B4FE4"/>
    <w:rsid w:val="000B5092"/>
    <w:rsid w:val="000B51F3"/>
    <w:rsid w:val="000B52D6"/>
    <w:rsid w:val="000B5394"/>
    <w:rsid w:val="000B53B0"/>
    <w:rsid w:val="000B57E9"/>
    <w:rsid w:val="000B5B49"/>
    <w:rsid w:val="000B5B4B"/>
    <w:rsid w:val="000B5BC4"/>
    <w:rsid w:val="000B5D9C"/>
    <w:rsid w:val="000B5DF6"/>
    <w:rsid w:val="000B6024"/>
    <w:rsid w:val="000B641A"/>
    <w:rsid w:val="000B6741"/>
    <w:rsid w:val="000B6A23"/>
    <w:rsid w:val="000B6C36"/>
    <w:rsid w:val="000B709E"/>
    <w:rsid w:val="000B70C9"/>
    <w:rsid w:val="000B7238"/>
    <w:rsid w:val="000B753F"/>
    <w:rsid w:val="000B777B"/>
    <w:rsid w:val="000B7836"/>
    <w:rsid w:val="000B78CD"/>
    <w:rsid w:val="000B792E"/>
    <w:rsid w:val="000B79B1"/>
    <w:rsid w:val="000B7A48"/>
    <w:rsid w:val="000B7A6C"/>
    <w:rsid w:val="000B7C3B"/>
    <w:rsid w:val="000C0278"/>
    <w:rsid w:val="000C04A7"/>
    <w:rsid w:val="000C0A08"/>
    <w:rsid w:val="000C0BC9"/>
    <w:rsid w:val="000C0F7E"/>
    <w:rsid w:val="000C11FD"/>
    <w:rsid w:val="000C15A8"/>
    <w:rsid w:val="000C16DD"/>
    <w:rsid w:val="000C181C"/>
    <w:rsid w:val="000C1C23"/>
    <w:rsid w:val="000C1C49"/>
    <w:rsid w:val="000C1DC8"/>
    <w:rsid w:val="000C1EAF"/>
    <w:rsid w:val="000C2132"/>
    <w:rsid w:val="000C21B5"/>
    <w:rsid w:val="000C2607"/>
    <w:rsid w:val="000C2894"/>
    <w:rsid w:val="000C2CC0"/>
    <w:rsid w:val="000C2D08"/>
    <w:rsid w:val="000C2D53"/>
    <w:rsid w:val="000C2E66"/>
    <w:rsid w:val="000C2F3C"/>
    <w:rsid w:val="000C3000"/>
    <w:rsid w:val="000C343D"/>
    <w:rsid w:val="000C3465"/>
    <w:rsid w:val="000C3747"/>
    <w:rsid w:val="000C389E"/>
    <w:rsid w:val="000C3A12"/>
    <w:rsid w:val="000C3A53"/>
    <w:rsid w:val="000C3BCE"/>
    <w:rsid w:val="000C3BE2"/>
    <w:rsid w:val="000C3F53"/>
    <w:rsid w:val="000C441F"/>
    <w:rsid w:val="000C47D1"/>
    <w:rsid w:val="000C47DF"/>
    <w:rsid w:val="000C48BE"/>
    <w:rsid w:val="000C48CF"/>
    <w:rsid w:val="000C4AFA"/>
    <w:rsid w:val="000C4B45"/>
    <w:rsid w:val="000C4C03"/>
    <w:rsid w:val="000C4C5E"/>
    <w:rsid w:val="000C4D71"/>
    <w:rsid w:val="000C4DA8"/>
    <w:rsid w:val="000C4ED3"/>
    <w:rsid w:val="000C533A"/>
    <w:rsid w:val="000C5349"/>
    <w:rsid w:val="000C53DB"/>
    <w:rsid w:val="000C556C"/>
    <w:rsid w:val="000C59F5"/>
    <w:rsid w:val="000C5A33"/>
    <w:rsid w:val="000C5A4C"/>
    <w:rsid w:val="000C5ABA"/>
    <w:rsid w:val="000C5B63"/>
    <w:rsid w:val="000C5D1C"/>
    <w:rsid w:val="000C5DB9"/>
    <w:rsid w:val="000C5ECF"/>
    <w:rsid w:val="000C5FB9"/>
    <w:rsid w:val="000C6024"/>
    <w:rsid w:val="000C61B8"/>
    <w:rsid w:val="000C6304"/>
    <w:rsid w:val="000C63CC"/>
    <w:rsid w:val="000C644F"/>
    <w:rsid w:val="000C6462"/>
    <w:rsid w:val="000C6513"/>
    <w:rsid w:val="000C6A98"/>
    <w:rsid w:val="000C6AF8"/>
    <w:rsid w:val="000C6E14"/>
    <w:rsid w:val="000C7098"/>
    <w:rsid w:val="000C7116"/>
    <w:rsid w:val="000C74A7"/>
    <w:rsid w:val="000C75A1"/>
    <w:rsid w:val="000C76C3"/>
    <w:rsid w:val="000C77A2"/>
    <w:rsid w:val="000C77B5"/>
    <w:rsid w:val="000C77F8"/>
    <w:rsid w:val="000C79BD"/>
    <w:rsid w:val="000C79F7"/>
    <w:rsid w:val="000C7A6D"/>
    <w:rsid w:val="000C7A95"/>
    <w:rsid w:val="000C7A9A"/>
    <w:rsid w:val="000C7EBB"/>
    <w:rsid w:val="000C7EF7"/>
    <w:rsid w:val="000D01D3"/>
    <w:rsid w:val="000D0556"/>
    <w:rsid w:val="000D0666"/>
    <w:rsid w:val="000D0718"/>
    <w:rsid w:val="000D0AEF"/>
    <w:rsid w:val="000D0C17"/>
    <w:rsid w:val="000D0C44"/>
    <w:rsid w:val="000D0DB8"/>
    <w:rsid w:val="000D0E4C"/>
    <w:rsid w:val="000D1290"/>
    <w:rsid w:val="000D139D"/>
    <w:rsid w:val="000D16B2"/>
    <w:rsid w:val="000D1AB8"/>
    <w:rsid w:val="000D1CDD"/>
    <w:rsid w:val="000D1CF8"/>
    <w:rsid w:val="000D1D70"/>
    <w:rsid w:val="000D1EB3"/>
    <w:rsid w:val="000D1F75"/>
    <w:rsid w:val="000D20FF"/>
    <w:rsid w:val="000D2163"/>
    <w:rsid w:val="000D21F6"/>
    <w:rsid w:val="000D22C4"/>
    <w:rsid w:val="000D248E"/>
    <w:rsid w:val="000D2534"/>
    <w:rsid w:val="000D276C"/>
    <w:rsid w:val="000D285B"/>
    <w:rsid w:val="000D287F"/>
    <w:rsid w:val="000D2907"/>
    <w:rsid w:val="000D2B4E"/>
    <w:rsid w:val="000D2DFF"/>
    <w:rsid w:val="000D3040"/>
    <w:rsid w:val="000D3129"/>
    <w:rsid w:val="000D345D"/>
    <w:rsid w:val="000D3641"/>
    <w:rsid w:val="000D365B"/>
    <w:rsid w:val="000D37FA"/>
    <w:rsid w:val="000D3819"/>
    <w:rsid w:val="000D381D"/>
    <w:rsid w:val="000D3BDC"/>
    <w:rsid w:val="000D3DB2"/>
    <w:rsid w:val="000D3F2D"/>
    <w:rsid w:val="000D4204"/>
    <w:rsid w:val="000D4241"/>
    <w:rsid w:val="000D4263"/>
    <w:rsid w:val="000D46C6"/>
    <w:rsid w:val="000D474D"/>
    <w:rsid w:val="000D4B2F"/>
    <w:rsid w:val="000D4D87"/>
    <w:rsid w:val="000D514A"/>
    <w:rsid w:val="000D5605"/>
    <w:rsid w:val="000D58FB"/>
    <w:rsid w:val="000D5A34"/>
    <w:rsid w:val="000D5A8A"/>
    <w:rsid w:val="000D5AFF"/>
    <w:rsid w:val="000D5EA3"/>
    <w:rsid w:val="000D5ECE"/>
    <w:rsid w:val="000D5EEB"/>
    <w:rsid w:val="000D5FF6"/>
    <w:rsid w:val="000D608F"/>
    <w:rsid w:val="000D6522"/>
    <w:rsid w:val="000D6530"/>
    <w:rsid w:val="000D6537"/>
    <w:rsid w:val="000D67DD"/>
    <w:rsid w:val="000D68F2"/>
    <w:rsid w:val="000D6999"/>
    <w:rsid w:val="000D6A93"/>
    <w:rsid w:val="000D6CA9"/>
    <w:rsid w:val="000D6ECD"/>
    <w:rsid w:val="000D6F62"/>
    <w:rsid w:val="000D6F68"/>
    <w:rsid w:val="000D6FD8"/>
    <w:rsid w:val="000D70AF"/>
    <w:rsid w:val="000D70C1"/>
    <w:rsid w:val="000D72DC"/>
    <w:rsid w:val="000D72F0"/>
    <w:rsid w:val="000D738B"/>
    <w:rsid w:val="000D740F"/>
    <w:rsid w:val="000D74B9"/>
    <w:rsid w:val="000D751E"/>
    <w:rsid w:val="000D75BA"/>
    <w:rsid w:val="000D76A7"/>
    <w:rsid w:val="000D77BA"/>
    <w:rsid w:val="000D77C5"/>
    <w:rsid w:val="000D78E7"/>
    <w:rsid w:val="000D7C13"/>
    <w:rsid w:val="000D7C90"/>
    <w:rsid w:val="000D7CAD"/>
    <w:rsid w:val="000D7D43"/>
    <w:rsid w:val="000D7D4A"/>
    <w:rsid w:val="000D7DC6"/>
    <w:rsid w:val="000E0230"/>
    <w:rsid w:val="000E06DF"/>
    <w:rsid w:val="000E07F6"/>
    <w:rsid w:val="000E0879"/>
    <w:rsid w:val="000E0897"/>
    <w:rsid w:val="000E09A2"/>
    <w:rsid w:val="000E0A6F"/>
    <w:rsid w:val="000E0EA2"/>
    <w:rsid w:val="000E1010"/>
    <w:rsid w:val="000E1552"/>
    <w:rsid w:val="000E161E"/>
    <w:rsid w:val="000E1744"/>
    <w:rsid w:val="000E1C60"/>
    <w:rsid w:val="000E1D3B"/>
    <w:rsid w:val="000E215D"/>
    <w:rsid w:val="000E2267"/>
    <w:rsid w:val="000E2519"/>
    <w:rsid w:val="000E2AE8"/>
    <w:rsid w:val="000E2B58"/>
    <w:rsid w:val="000E2CC7"/>
    <w:rsid w:val="000E2E7A"/>
    <w:rsid w:val="000E3396"/>
    <w:rsid w:val="000E33C2"/>
    <w:rsid w:val="000E35EC"/>
    <w:rsid w:val="000E3715"/>
    <w:rsid w:val="000E39C0"/>
    <w:rsid w:val="000E3AB8"/>
    <w:rsid w:val="000E3E1E"/>
    <w:rsid w:val="000E3EA7"/>
    <w:rsid w:val="000E41AC"/>
    <w:rsid w:val="000E448E"/>
    <w:rsid w:val="000E46E6"/>
    <w:rsid w:val="000E4882"/>
    <w:rsid w:val="000E4A17"/>
    <w:rsid w:val="000E4B0D"/>
    <w:rsid w:val="000E4E5B"/>
    <w:rsid w:val="000E4EBC"/>
    <w:rsid w:val="000E4EBD"/>
    <w:rsid w:val="000E4EC6"/>
    <w:rsid w:val="000E5010"/>
    <w:rsid w:val="000E5035"/>
    <w:rsid w:val="000E593C"/>
    <w:rsid w:val="000E5B3F"/>
    <w:rsid w:val="000E5CFA"/>
    <w:rsid w:val="000E5F5E"/>
    <w:rsid w:val="000E607C"/>
    <w:rsid w:val="000E60A8"/>
    <w:rsid w:val="000E6497"/>
    <w:rsid w:val="000E681E"/>
    <w:rsid w:val="000E6E2A"/>
    <w:rsid w:val="000E6F60"/>
    <w:rsid w:val="000E7316"/>
    <w:rsid w:val="000E7317"/>
    <w:rsid w:val="000E7414"/>
    <w:rsid w:val="000E7769"/>
    <w:rsid w:val="000E77F8"/>
    <w:rsid w:val="000E7D83"/>
    <w:rsid w:val="000E7E55"/>
    <w:rsid w:val="000E7F7C"/>
    <w:rsid w:val="000E7F95"/>
    <w:rsid w:val="000E7FFC"/>
    <w:rsid w:val="000F00FC"/>
    <w:rsid w:val="000F0748"/>
    <w:rsid w:val="000F077B"/>
    <w:rsid w:val="000F07BA"/>
    <w:rsid w:val="000F0A32"/>
    <w:rsid w:val="000F0CA3"/>
    <w:rsid w:val="000F0D0D"/>
    <w:rsid w:val="000F0E55"/>
    <w:rsid w:val="000F0F2B"/>
    <w:rsid w:val="000F13EC"/>
    <w:rsid w:val="000F1432"/>
    <w:rsid w:val="000F15A8"/>
    <w:rsid w:val="000F192C"/>
    <w:rsid w:val="000F1A3D"/>
    <w:rsid w:val="000F1BD7"/>
    <w:rsid w:val="000F1C3B"/>
    <w:rsid w:val="000F1D7C"/>
    <w:rsid w:val="000F212B"/>
    <w:rsid w:val="000F2234"/>
    <w:rsid w:val="000F2248"/>
    <w:rsid w:val="000F2278"/>
    <w:rsid w:val="000F255E"/>
    <w:rsid w:val="000F2A3C"/>
    <w:rsid w:val="000F2B24"/>
    <w:rsid w:val="000F2C46"/>
    <w:rsid w:val="000F2F10"/>
    <w:rsid w:val="000F3080"/>
    <w:rsid w:val="000F3192"/>
    <w:rsid w:val="000F31F5"/>
    <w:rsid w:val="000F32AA"/>
    <w:rsid w:val="000F373D"/>
    <w:rsid w:val="000F38DA"/>
    <w:rsid w:val="000F3A72"/>
    <w:rsid w:val="000F3D68"/>
    <w:rsid w:val="000F3EA5"/>
    <w:rsid w:val="000F3ED0"/>
    <w:rsid w:val="000F3F94"/>
    <w:rsid w:val="000F40F9"/>
    <w:rsid w:val="000F4495"/>
    <w:rsid w:val="000F45CB"/>
    <w:rsid w:val="000F45E3"/>
    <w:rsid w:val="000F4603"/>
    <w:rsid w:val="000F48AE"/>
    <w:rsid w:val="000F49F8"/>
    <w:rsid w:val="000F4A87"/>
    <w:rsid w:val="000F4C00"/>
    <w:rsid w:val="000F4DA2"/>
    <w:rsid w:val="000F4ECD"/>
    <w:rsid w:val="000F554F"/>
    <w:rsid w:val="000F561C"/>
    <w:rsid w:val="000F56B4"/>
    <w:rsid w:val="000F5985"/>
    <w:rsid w:val="000F5995"/>
    <w:rsid w:val="000F5AC2"/>
    <w:rsid w:val="000F5B82"/>
    <w:rsid w:val="000F5CD3"/>
    <w:rsid w:val="000F5E33"/>
    <w:rsid w:val="000F5F83"/>
    <w:rsid w:val="000F602B"/>
    <w:rsid w:val="000F608C"/>
    <w:rsid w:val="000F6099"/>
    <w:rsid w:val="000F61E0"/>
    <w:rsid w:val="000F6278"/>
    <w:rsid w:val="000F62A9"/>
    <w:rsid w:val="000F6388"/>
    <w:rsid w:val="000F63B6"/>
    <w:rsid w:val="000F6448"/>
    <w:rsid w:val="000F6484"/>
    <w:rsid w:val="000F6592"/>
    <w:rsid w:val="000F663B"/>
    <w:rsid w:val="000F67F2"/>
    <w:rsid w:val="000F685E"/>
    <w:rsid w:val="000F68A4"/>
    <w:rsid w:val="000F6940"/>
    <w:rsid w:val="000F6956"/>
    <w:rsid w:val="000F6ABE"/>
    <w:rsid w:val="000F6BA7"/>
    <w:rsid w:val="000F6C01"/>
    <w:rsid w:val="000F6C51"/>
    <w:rsid w:val="000F6D68"/>
    <w:rsid w:val="000F6E1B"/>
    <w:rsid w:val="000F708D"/>
    <w:rsid w:val="000F75A8"/>
    <w:rsid w:val="000F7DF1"/>
    <w:rsid w:val="000F7F43"/>
    <w:rsid w:val="00100225"/>
    <w:rsid w:val="001003F1"/>
    <w:rsid w:val="001004A7"/>
    <w:rsid w:val="00100563"/>
    <w:rsid w:val="0010063E"/>
    <w:rsid w:val="00100917"/>
    <w:rsid w:val="00100C76"/>
    <w:rsid w:val="001010F9"/>
    <w:rsid w:val="00101565"/>
    <w:rsid w:val="001017E2"/>
    <w:rsid w:val="0010184D"/>
    <w:rsid w:val="00101D12"/>
    <w:rsid w:val="001020DE"/>
    <w:rsid w:val="00102573"/>
    <w:rsid w:val="001025E1"/>
    <w:rsid w:val="00102608"/>
    <w:rsid w:val="001026F7"/>
    <w:rsid w:val="00102889"/>
    <w:rsid w:val="00102941"/>
    <w:rsid w:val="00102A24"/>
    <w:rsid w:val="00102CD1"/>
    <w:rsid w:val="00102D44"/>
    <w:rsid w:val="00102EFA"/>
    <w:rsid w:val="00102FB0"/>
    <w:rsid w:val="001030D1"/>
    <w:rsid w:val="00103209"/>
    <w:rsid w:val="0010323E"/>
    <w:rsid w:val="00103327"/>
    <w:rsid w:val="001033A4"/>
    <w:rsid w:val="001034F6"/>
    <w:rsid w:val="00103518"/>
    <w:rsid w:val="00103634"/>
    <w:rsid w:val="0010368E"/>
    <w:rsid w:val="00103903"/>
    <w:rsid w:val="00103AA3"/>
    <w:rsid w:val="00103AE3"/>
    <w:rsid w:val="00103C9C"/>
    <w:rsid w:val="00103E4A"/>
    <w:rsid w:val="00103E81"/>
    <w:rsid w:val="001040AB"/>
    <w:rsid w:val="001041CB"/>
    <w:rsid w:val="0010423C"/>
    <w:rsid w:val="00104563"/>
    <w:rsid w:val="001045C2"/>
    <w:rsid w:val="00104736"/>
    <w:rsid w:val="00104896"/>
    <w:rsid w:val="00104A8B"/>
    <w:rsid w:val="00104E7A"/>
    <w:rsid w:val="00104F7F"/>
    <w:rsid w:val="00105015"/>
    <w:rsid w:val="001050EA"/>
    <w:rsid w:val="00105240"/>
    <w:rsid w:val="001052F1"/>
    <w:rsid w:val="00105539"/>
    <w:rsid w:val="001058D9"/>
    <w:rsid w:val="00105902"/>
    <w:rsid w:val="00105964"/>
    <w:rsid w:val="00105974"/>
    <w:rsid w:val="001059B2"/>
    <w:rsid w:val="00105B4F"/>
    <w:rsid w:val="00105F23"/>
    <w:rsid w:val="00106021"/>
    <w:rsid w:val="00106270"/>
    <w:rsid w:val="0010632C"/>
    <w:rsid w:val="00106344"/>
    <w:rsid w:val="00106767"/>
    <w:rsid w:val="0010690B"/>
    <w:rsid w:val="0010697D"/>
    <w:rsid w:val="00107177"/>
    <w:rsid w:val="001071CE"/>
    <w:rsid w:val="001072C7"/>
    <w:rsid w:val="001073CD"/>
    <w:rsid w:val="00107566"/>
    <w:rsid w:val="0010774C"/>
    <w:rsid w:val="00107852"/>
    <w:rsid w:val="001079EA"/>
    <w:rsid w:val="00107A30"/>
    <w:rsid w:val="00107BB5"/>
    <w:rsid w:val="00110031"/>
    <w:rsid w:val="0011018A"/>
    <w:rsid w:val="0011024F"/>
    <w:rsid w:val="00110669"/>
    <w:rsid w:val="00110C2D"/>
    <w:rsid w:val="00110FA3"/>
    <w:rsid w:val="001114AF"/>
    <w:rsid w:val="00111637"/>
    <w:rsid w:val="00111AB1"/>
    <w:rsid w:val="00111B26"/>
    <w:rsid w:val="00111C7D"/>
    <w:rsid w:val="00111D1A"/>
    <w:rsid w:val="00111E15"/>
    <w:rsid w:val="00111F2C"/>
    <w:rsid w:val="0011233F"/>
    <w:rsid w:val="00112496"/>
    <w:rsid w:val="00112606"/>
    <w:rsid w:val="001126CA"/>
    <w:rsid w:val="001126FF"/>
    <w:rsid w:val="001128E3"/>
    <w:rsid w:val="00112972"/>
    <w:rsid w:val="00112A2C"/>
    <w:rsid w:val="00112AA6"/>
    <w:rsid w:val="00112D1E"/>
    <w:rsid w:val="001130A6"/>
    <w:rsid w:val="001130C9"/>
    <w:rsid w:val="00113251"/>
    <w:rsid w:val="001132F3"/>
    <w:rsid w:val="001137C5"/>
    <w:rsid w:val="00113A13"/>
    <w:rsid w:val="00113D50"/>
    <w:rsid w:val="00113D51"/>
    <w:rsid w:val="00113DB4"/>
    <w:rsid w:val="00113E04"/>
    <w:rsid w:val="00113F84"/>
    <w:rsid w:val="00114122"/>
    <w:rsid w:val="00114AC9"/>
    <w:rsid w:val="00114B21"/>
    <w:rsid w:val="00114B54"/>
    <w:rsid w:val="00114C2A"/>
    <w:rsid w:val="00114C43"/>
    <w:rsid w:val="00114FA4"/>
    <w:rsid w:val="00115077"/>
    <w:rsid w:val="00115115"/>
    <w:rsid w:val="001153A4"/>
    <w:rsid w:val="001154B6"/>
    <w:rsid w:val="001155B2"/>
    <w:rsid w:val="001157B3"/>
    <w:rsid w:val="00115923"/>
    <w:rsid w:val="00115A94"/>
    <w:rsid w:val="00115B61"/>
    <w:rsid w:val="00115BFE"/>
    <w:rsid w:val="00115E40"/>
    <w:rsid w:val="00115E5A"/>
    <w:rsid w:val="00115F61"/>
    <w:rsid w:val="0011622F"/>
    <w:rsid w:val="001164E8"/>
    <w:rsid w:val="00116775"/>
    <w:rsid w:val="0011677E"/>
    <w:rsid w:val="00116864"/>
    <w:rsid w:val="00116CE7"/>
    <w:rsid w:val="00117179"/>
    <w:rsid w:val="001172BE"/>
    <w:rsid w:val="0011738E"/>
    <w:rsid w:val="0011788E"/>
    <w:rsid w:val="001178FE"/>
    <w:rsid w:val="00117C8A"/>
    <w:rsid w:val="00117EAF"/>
    <w:rsid w:val="00117F9E"/>
    <w:rsid w:val="001201F7"/>
    <w:rsid w:val="001202B6"/>
    <w:rsid w:val="001204B4"/>
    <w:rsid w:val="00120C69"/>
    <w:rsid w:val="00120F47"/>
    <w:rsid w:val="00120FCD"/>
    <w:rsid w:val="00121002"/>
    <w:rsid w:val="00121198"/>
    <w:rsid w:val="00121630"/>
    <w:rsid w:val="00121967"/>
    <w:rsid w:val="00121C19"/>
    <w:rsid w:val="00121C47"/>
    <w:rsid w:val="00121C48"/>
    <w:rsid w:val="00121EAF"/>
    <w:rsid w:val="00121EB2"/>
    <w:rsid w:val="001225D4"/>
    <w:rsid w:val="0012269A"/>
    <w:rsid w:val="001226CD"/>
    <w:rsid w:val="0012281A"/>
    <w:rsid w:val="00122920"/>
    <w:rsid w:val="00122AF6"/>
    <w:rsid w:val="00122DA6"/>
    <w:rsid w:val="00122E30"/>
    <w:rsid w:val="0012331D"/>
    <w:rsid w:val="0012345B"/>
    <w:rsid w:val="001235C2"/>
    <w:rsid w:val="00123881"/>
    <w:rsid w:val="00123C96"/>
    <w:rsid w:val="00123E9C"/>
    <w:rsid w:val="001240DE"/>
    <w:rsid w:val="00124152"/>
    <w:rsid w:val="001244A1"/>
    <w:rsid w:val="00124649"/>
    <w:rsid w:val="00124776"/>
    <w:rsid w:val="00124E00"/>
    <w:rsid w:val="00124E01"/>
    <w:rsid w:val="00124F23"/>
    <w:rsid w:val="001251B9"/>
    <w:rsid w:val="00125348"/>
    <w:rsid w:val="00125412"/>
    <w:rsid w:val="00125788"/>
    <w:rsid w:val="001259C3"/>
    <w:rsid w:val="00125A92"/>
    <w:rsid w:val="00125B3E"/>
    <w:rsid w:val="00125BB6"/>
    <w:rsid w:val="00125D73"/>
    <w:rsid w:val="00125DFD"/>
    <w:rsid w:val="00125EB2"/>
    <w:rsid w:val="00126026"/>
    <w:rsid w:val="00126264"/>
    <w:rsid w:val="001263EF"/>
    <w:rsid w:val="00126459"/>
    <w:rsid w:val="00126548"/>
    <w:rsid w:val="00126566"/>
    <w:rsid w:val="001265AC"/>
    <w:rsid w:val="001265AD"/>
    <w:rsid w:val="001265DC"/>
    <w:rsid w:val="00126705"/>
    <w:rsid w:val="00126989"/>
    <w:rsid w:val="00126A62"/>
    <w:rsid w:val="00126D66"/>
    <w:rsid w:val="00126D83"/>
    <w:rsid w:val="00126DF1"/>
    <w:rsid w:val="001270CB"/>
    <w:rsid w:val="001271A4"/>
    <w:rsid w:val="001274DF"/>
    <w:rsid w:val="00127967"/>
    <w:rsid w:val="00127B78"/>
    <w:rsid w:val="00127C10"/>
    <w:rsid w:val="00127E6B"/>
    <w:rsid w:val="00130058"/>
    <w:rsid w:val="001300DC"/>
    <w:rsid w:val="001301A3"/>
    <w:rsid w:val="00130393"/>
    <w:rsid w:val="001306CE"/>
    <w:rsid w:val="001307A7"/>
    <w:rsid w:val="001309AB"/>
    <w:rsid w:val="001309D8"/>
    <w:rsid w:val="00130CCA"/>
    <w:rsid w:val="00130E24"/>
    <w:rsid w:val="00131160"/>
    <w:rsid w:val="001314B3"/>
    <w:rsid w:val="0013161D"/>
    <w:rsid w:val="001318E8"/>
    <w:rsid w:val="00131A45"/>
    <w:rsid w:val="00131A8D"/>
    <w:rsid w:val="00131B0D"/>
    <w:rsid w:val="00131B49"/>
    <w:rsid w:val="00131BEF"/>
    <w:rsid w:val="00131BFD"/>
    <w:rsid w:val="00131F1D"/>
    <w:rsid w:val="00131FEC"/>
    <w:rsid w:val="001320F3"/>
    <w:rsid w:val="00132456"/>
    <w:rsid w:val="0013257B"/>
    <w:rsid w:val="001328A3"/>
    <w:rsid w:val="00132AC3"/>
    <w:rsid w:val="0013326E"/>
    <w:rsid w:val="00133340"/>
    <w:rsid w:val="00133389"/>
    <w:rsid w:val="00133616"/>
    <w:rsid w:val="00133BAC"/>
    <w:rsid w:val="00133C69"/>
    <w:rsid w:val="00133C76"/>
    <w:rsid w:val="00133CC5"/>
    <w:rsid w:val="00133CC7"/>
    <w:rsid w:val="00133D95"/>
    <w:rsid w:val="00134013"/>
    <w:rsid w:val="00134294"/>
    <w:rsid w:val="001342ED"/>
    <w:rsid w:val="001347E9"/>
    <w:rsid w:val="00134A2A"/>
    <w:rsid w:val="00134D56"/>
    <w:rsid w:val="00135005"/>
    <w:rsid w:val="001350BF"/>
    <w:rsid w:val="0013514F"/>
    <w:rsid w:val="00135380"/>
    <w:rsid w:val="0013538E"/>
    <w:rsid w:val="00135463"/>
    <w:rsid w:val="00135521"/>
    <w:rsid w:val="001355A0"/>
    <w:rsid w:val="001355D5"/>
    <w:rsid w:val="001355FA"/>
    <w:rsid w:val="00135961"/>
    <w:rsid w:val="00135E97"/>
    <w:rsid w:val="00136073"/>
    <w:rsid w:val="0013614F"/>
    <w:rsid w:val="00136794"/>
    <w:rsid w:val="00136809"/>
    <w:rsid w:val="00136824"/>
    <w:rsid w:val="00136ACD"/>
    <w:rsid w:val="00136B39"/>
    <w:rsid w:val="00136B3A"/>
    <w:rsid w:val="00136B7D"/>
    <w:rsid w:val="00136C64"/>
    <w:rsid w:val="00136F46"/>
    <w:rsid w:val="00136F95"/>
    <w:rsid w:val="00136FCA"/>
    <w:rsid w:val="00137178"/>
    <w:rsid w:val="00137205"/>
    <w:rsid w:val="0013724D"/>
    <w:rsid w:val="0013741D"/>
    <w:rsid w:val="00137561"/>
    <w:rsid w:val="00137578"/>
    <w:rsid w:val="0013775B"/>
    <w:rsid w:val="001377DF"/>
    <w:rsid w:val="001378AF"/>
    <w:rsid w:val="00137947"/>
    <w:rsid w:val="00137A46"/>
    <w:rsid w:val="00137BE2"/>
    <w:rsid w:val="00137C7E"/>
    <w:rsid w:val="00137D53"/>
    <w:rsid w:val="00140821"/>
    <w:rsid w:val="00140C6C"/>
    <w:rsid w:val="00140F08"/>
    <w:rsid w:val="00141015"/>
    <w:rsid w:val="0014102F"/>
    <w:rsid w:val="001410D7"/>
    <w:rsid w:val="00141F3B"/>
    <w:rsid w:val="00141FFC"/>
    <w:rsid w:val="00142037"/>
    <w:rsid w:val="00142209"/>
    <w:rsid w:val="0014247A"/>
    <w:rsid w:val="00142682"/>
    <w:rsid w:val="00142877"/>
    <w:rsid w:val="001429A1"/>
    <w:rsid w:val="00142A0F"/>
    <w:rsid w:val="00142E40"/>
    <w:rsid w:val="00142F4D"/>
    <w:rsid w:val="0014338B"/>
    <w:rsid w:val="00143719"/>
    <w:rsid w:val="00143793"/>
    <w:rsid w:val="00143840"/>
    <w:rsid w:val="00143A0D"/>
    <w:rsid w:val="00143C09"/>
    <w:rsid w:val="00143DAE"/>
    <w:rsid w:val="00143E88"/>
    <w:rsid w:val="00143F7B"/>
    <w:rsid w:val="00144043"/>
    <w:rsid w:val="001441ED"/>
    <w:rsid w:val="00144441"/>
    <w:rsid w:val="0014447D"/>
    <w:rsid w:val="00144511"/>
    <w:rsid w:val="0014451A"/>
    <w:rsid w:val="00144768"/>
    <w:rsid w:val="00144A49"/>
    <w:rsid w:val="00144A70"/>
    <w:rsid w:val="00144AB9"/>
    <w:rsid w:val="00144C73"/>
    <w:rsid w:val="00144CF2"/>
    <w:rsid w:val="00144DFE"/>
    <w:rsid w:val="00144E65"/>
    <w:rsid w:val="00144F3C"/>
    <w:rsid w:val="00144F9E"/>
    <w:rsid w:val="00144FF1"/>
    <w:rsid w:val="0014501C"/>
    <w:rsid w:val="00145110"/>
    <w:rsid w:val="0014515D"/>
    <w:rsid w:val="001457BB"/>
    <w:rsid w:val="00145838"/>
    <w:rsid w:val="00145870"/>
    <w:rsid w:val="00145952"/>
    <w:rsid w:val="00145B43"/>
    <w:rsid w:val="00145F59"/>
    <w:rsid w:val="00146138"/>
    <w:rsid w:val="00146166"/>
    <w:rsid w:val="00146346"/>
    <w:rsid w:val="001463C1"/>
    <w:rsid w:val="00146584"/>
    <w:rsid w:val="0014661F"/>
    <w:rsid w:val="00146AEE"/>
    <w:rsid w:val="00146B86"/>
    <w:rsid w:val="00146D40"/>
    <w:rsid w:val="00146FF7"/>
    <w:rsid w:val="001470FB"/>
    <w:rsid w:val="001472ED"/>
    <w:rsid w:val="00147304"/>
    <w:rsid w:val="0014761D"/>
    <w:rsid w:val="00147B8A"/>
    <w:rsid w:val="00147C80"/>
    <w:rsid w:val="00147F91"/>
    <w:rsid w:val="00147FA6"/>
    <w:rsid w:val="0015018F"/>
    <w:rsid w:val="001502FC"/>
    <w:rsid w:val="001506E9"/>
    <w:rsid w:val="00150A3C"/>
    <w:rsid w:val="00150B3D"/>
    <w:rsid w:val="00150B77"/>
    <w:rsid w:val="00150C42"/>
    <w:rsid w:val="00150E56"/>
    <w:rsid w:val="00150F72"/>
    <w:rsid w:val="00151149"/>
    <w:rsid w:val="0015144D"/>
    <w:rsid w:val="00151593"/>
    <w:rsid w:val="001515ED"/>
    <w:rsid w:val="00151780"/>
    <w:rsid w:val="001518BD"/>
    <w:rsid w:val="00151B2F"/>
    <w:rsid w:val="00151B37"/>
    <w:rsid w:val="001525AF"/>
    <w:rsid w:val="001526EA"/>
    <w:rsid w:val="001526F6"/>
    <w:rsid w:val="00152821"/>
    <w:rsid w:val="00152913"/>
    <w:rsid w:val="00152AC1"/>
    <w:rsid w:val="00152BCD"/>
    <w:rsid w:val="00152DC6"/>
    <w:rsid w:val="00152E89"/>
    <w:rsid w:val="00152FF0"/>
    <w:rsid w:val="00153080"/>
    <w:rsid w:val="001533CE"/>
    <w:rsid w:val="001534E8"/>
    <w:rsid w:val="00153553"/>
    <w:rsid w:val="0015362A"/>
    <w:rsid w:val="00153665"/>
    <w:rsid w:val="00153AC0"/>
    <w:rsid w:val="00153DB2"/>
    <w:rsid w:val="00154178"/>
    <w:rsid w:val="001541B7"/>
    <w:rsid w:val="001541D6"/>
    <w:rsid w:val="001541DC"/>
    <w:rsid w:val="00154361"/>
    <w:rsid w:val="0015447C"/>
    <w:rsid w:val="001544EB"/>
    <w:rsid w:val="00154540"/>
    <w:rsid w:val="00154611"/>
    <w:rsid w:val="0015492C"/>
    <w:rsid w:val="00154A6B"/>
    <w:rsid w:val="00154AA7"/>
    <w:rsid w:val="00154B64"/>
    <w:rsid w:val="00154B96"/>
    <w:rsid w:val="00154CA3"/>
    <w:rsid w:val="00154CF0"/>
    <w:rsid w:val="00154DC6"/>
    <w:rsid w:val="00154F74"/>
    <w:rsid w:val="00154FFD"/>
    <w:rsid w:val="0015510C"/>
    <w:rsid w:val="00155617"/>
    <w:rsid w:val="00155975"/>
    <w:rsid w:val="00155A46"/>
    <w:rsid w:val="00155C9E"/>
    <w:rsid w:val="00155D91"/>
    <w:rsid w:val="00155DD3"/>
    <w:rsid w:val="0015606A"/>
    <w:rsid w:val="001560C4"/>
    <w:rsid w:val="001561C9"/>
    <w:rsid w:val="0015649F"/>
    <w:rsid w:val="00156717"/>
    <w:rsid w:val="001567D7"/>
    <w:rsid w:val="0015698A"/>
    <w:rsid w:val="00156BBA"/>
    <w:rsid w:val="00156C06"/>
    <w:rsid w:val="00157187"/>
    <w:rsid w:val="0015731E"/>
    <w:rsid w:val="0015739D"/>
    <w:rsid w:val="001577AD"/>
    <w:rsid w:val="001577EE"/>
    <w:rsid w:val="00157A62"/>
    <w:rsid w:val="00157B15"/>
    <w:rsid w:val="00157BB3"/>
    <w:rsid w:val="00157E33"/>
    <w:rsid w:val="00157E52"/>
    <w:rsid w:val="0016005A"/>
    <w:rsid w:val="001600EC"/>
    <w:rsid w:val="00160253"/>
    <w:rsid w:val="00160293"/>
    <w:rsid w:val="00160417"/>
    <w:rsid w:val="00160A0E"/>
    <w:rsid w:val="00160BAA"/>
    <w:rsid w:val="0016119F"/>
    <w:rsid w:val="00161581"/>
    <w:rsid w:val="00161832"/>
    <w:rsid w:val="0016183E"/>
    <w:rsid w:val="001619A9"/>
    <w:rsid w:val="001619F2"/>
    <w:rsid w:val="00161B6E"/>
    <w:rsid w:val="00161E4E"/>
    <w:rsid w:val="001624E3"/>
    <w:rsid w:val="001624E8"/>
    <w:rsid w:val="001625C0"/>
    <w:rsid w:val="0016265A"/>
    <w:rsid w:val="00162D81"/>
    <w:rsid w:val="00162DCF"/>
    <w:rsid w:val="00162F70"/>
    <w:rsid w:val="001630B1"/>
    <w:rsid w:val="00163112"/>
    <w:rsid w:val="00163199"/>
    <w:rsid w:val="00163855"/>
    <w:rsid w:val="00163B1E"/>
    <w:rsid w:val="00163D37"/>
    <w:rsid w:val="00163F36"/>
    <w:rsid w:val="001641A2"/>
    <w:rsid w:val="0016446A"/>
    <w:rsid w:val="001644ED"/>
    <w:rsid w:val="00164750"/>
    <w:rsid w:val="00164915"/>
    <w:rsid w:val="00164A34"/>
    <w:rsid w:val="00164D78"/>
    <w:rsid w:val="00164DBF"/>
    <w:rsid w:val="00165167"/>
    <w:rsid w:val="001651BA"/>
    <w:rsid w:val="001652E4"/>
    <w:rsid w:val="001653A7"/>
    <w:rsid w:val="001654EF"/>
    <w:rsid w:val="00165681"/>
    <w:rsid w:val="00165752"/>
    <w:rsid w:val="001657F2"/>
    <w:rsid w:val="001658A5"/>
    <w:rsid w:val="00165A71"/>
    <w:rsid w:val="00165C78"/>
    <w:rsid w:val="00165EB1"/>
    <w:rsid w:val="00166168"/>
    <w:rsid w:val="0016636A"/>
    <w:rsid w:val="0016666B"/>
    <w:rsid w:val="001666FC"/>
    <w:rsid w:val="0016678C"/>
    <w:rsid w:val="00166909"/>
    <w:rsid w:val="00166B99"/>
    <w:rsid w:val="00166D9E"/>
    <w:rsid w:val="00166E62"/>
    <w:rsid w:val="0016710A"/>
    <w:rsid w:val="001679D9"/>
    <w:rsid w:val="00167A38"/>
    <w:rsid w:val="00167ACB"/>
    <w:rsid w:val="00167B1E"/>
    <w:rsid w:val="00167C7C"/>
    <w:rsid w:val="0017029B"/>
    <w:rsid w:val="001703F7"/>
    <w:rsid w:val="00170530"/>
    <w:rsid w:val="0017060F"/>
    <w:rsid w:val="001706A3"/>
    <w:rsid w:val="00170871"/>
    <w:rsid w:val="0017096A"/>
    <w:rsid w:val="00170B09"/>
    <w:rsid w:val="00170C64"/>
    <w:rsid w:val="00170E91"/>
    <w:rsid w:val="00170EEE"/>
    <w:rsid w:val="0017120D"/>
    <w:rsid w:val="0017121E"/>
    <w:rsid w:val="00171278"/>
    <w:rsid w:val="001712FE"/>
    <w:rsid w:val="00171777"/>
    <w:rsid w:val="00171A9F"/>
    <w:rsid w:val="00171B85"/>
    <w:rsid w:val="00171BE9"/>
    <w:rsid w:val="00171C62"/>
    <w:rsid w:val="00171DEB"/>
    <w:rsid w:val="00171FD9"/>
    <w:rsid w:val="00172729"/>
    <w:rsid w:val="00172BE0"/>
    <w:rsid w:val="00172D43"/>
    <w:rsid w:val="00172DBB"/>
    <w:rsid w:val="001731F2"/>
    <w:rsid w:val="00173554"/>
    <w:rsid w:val="00173594"/>
    <w:rsid w:val="001735C3"/>
    <w:rsid w:val="0017390B"/>
    <w:rsid w:val="00173E06"/>
    <w:rsid w:val="00173E3F"/>
    <w:rsid w:val="00173F16"/>
    <w:rsid w:val="00173F97"/>
    <w:rsid w:val="0017430B"/>
    <w:rsid w:val="00174861"/>
    <w:rsid w:val="00174871"/>
    <w:rsid w:val="00174C8C"/>
    <w:rsid w:val="00174DA8"/>
    <w:rsid w:val="00175052"/>
    <w:rsid w:val="0017506C"/>
    <w:rsid w:val="001750E2"/>
    <w:rsid w:val="0017515F"/>
    <w:rsid w:val="0017532F"/>
    <w:rsid w:val="0017556C"/>
    <w:rsid w:val="001756AF"/>
    <w:rsid w:val="00175967"/>
    <w:rsid w:val="001759E2"/>
    <w:rsid w:val="00175A35"/>
    <w:rsid w:val="00175BE0"/>
    <w:rsid w:val="00175CC5"/>
    <w:rsid w:val="0017629E"/>
    <w:rsid w:val="00176561"/>
    <w:rsid w:val="001767BB"/>
    <w:rsid w:val="00176840"/>
    <w:rsid w:val="001769C6"/>
    <w:rsid w:val="00176DC5"/>
    <w:rsid w:val="00176FCB"/>
    <w:rsid w:val="00177087"/>
    <w:rsid w:val="00177183"/>
    <w:rsid w:val="001773E6"/>
    <w:rsid w:val="00177710"/>
    <w:rsid w:val="0017771F"/>
    <w:rsid w:val="001777BE"/>
    <w:rsid w:val="001778BB"/>
    <w:rsid w:val="001779BE"/>
    <w:rsid w:val="00177A85"/>
    <w:rsid w:val="00177BBC"/>
    <w:rsid w:val="00177C3E"/>
    <w:rsid w:val="00177E3F"/>
    <w:rsid w:val="0018007C"/>
    <w:rsid w:val="001802E9"/>
    <w:rsid w:val="0018068E"/>
    <w:rsid w:val="001806E7"/>
    <w:rsid w:val="00180724"/>
    <w:rsid w:val="00180C93"/>
    <w:rsid w:val="00180D75"/>
    <w:rsid w:val="00180D90"/>
    <w:rsid w:val="00180F73"/>
    <w:rsid w:val="00181045"/>
    <w:rsid w:val="0018148D"/>
    <w:rsid w:val="00181501"/>
    <w:rsid w:val="001818DB"/>
    <w:rsid w:val="001818F1"/>
    <w:rsid w:val="00181D18"/>
    <w:rsid w:val="00181D1D"/>
    <w:rsid w:val="00181D3C"/>
    <w:rsid w:val="00181DFC"/>
    <w:rsid w:val="00181FD9"/>
    <w:rsid w:val="0018256E"/>
    <w:rsid w:val="001826B8"/>
    <w:rsid w:val="001827A8"/>
    <w:rsid w:val="00182860"/>
    <w:rsid w:val="00182A43"/>
    <w:rsid w:val="00182A54"/>
    <w:rsid w:val="00182AAF"/>
    <w:rsid w:val="00182ABD"/>
    <w:rsid w:val="00182B01"/>
    <w:rsid w:val="00182C6D"/>
    <w:rsid w:val="00182D8A"/>
    <w:rsid w:val="00182E57"/>
    <w:rsid w:val="0018312D"/>
    <w:rsid w:val="00183285"/>
    <w:rsid w:val="00183372"/>
    <w:rsid w:val="00183667"/>
    <w:rsid w:val="00183687"/>
    <w:rsid w:val="00183714"/>
    <w:rsid w:val="001837C0"/>
    <w:rsid w:val="001838C6"/>
    <w:rsid w:val="001838FC"/>
    <w:rsid w:val="00183A8C"/>
    <w:rsid w:val="00183DA0"/>
    <w:rsid w:val="00183EFE"/>
    <w:rsid w:val="00183F0F"/>
    <w:rsid w:val="00184081"/>
    <w:rsid w:val="001840FE"/>
    <w:rsid w:val="001842DD"/>
    <w:rsid w:val="0018449E"/>
    <w:rsid w:val="0018489F"/>
    <w:rsid w:val="001848A9"/>
    <w:rsid w:val="001848C4"/>
    <w:rsid w:val="00184A39"/>
    <w:rsid w:val="00184C99"/>
    <w:rsid w:val="00184CA0"/>
    <w:rsid w:val="00184CAA"/>
    <w:rsid w:val="00184D95"/>
    <w:rsid w:val="00184E02"/>
    <w:rsid w:val="00184E8C"/>
    <w:rsid w:val="00184E9A"/>
    <w:rsid w:val="00184EE5"/>
    <w:rsid w:val="0018529F"/>
    <w:rsid w:val="0018538C"/>
    <w:rsid w:val="001854DC"/>
    <w:rsid w:val="001857AA"/>
    <w:rsid w:val="001857CC"/>
    <w:rsid w:val="00185860"/>
    <w:rsid w:val="00185C76"/>
    <w:rsid w:val="00185E95"/>
    <w:rsid w:val="00185F06"/>
    <w:rsid w:val="00185FE9"/>
    <w:rsid w:val="00186349"/>
    <w:rsid w:val="001864B2"/>
    <w:rsid w:val="001864C4"/>
    <w:rsid w:val="0018661A"/>
    <w:rsid w:val="0018671E"/>
    <w:rsid w:val="00186877"/>
    <w:rsid w:val="00186925"/>
    <w:rsid w:val="00186ABD"/>
    <w:rsid w:val="00186F2D"/>
    <w:rsid w:val="00186FE8"/>
    <w:rsid w:val="0018731A"/>
    <w:rsid w:val="00187465"/>
    <w:rsid w:val="0018768B"/>
    <w:rsid w:val="001876D8"/>
    <w:rsid w:val="00187E6B"/>
    <w:rsid w:val="00187F34"/>
    <w:rsid w:val="0019033B"/>
    <w:rsid w:val="00190693"/>
    <w:rsid w:val="0019069F"/>
    <w:rsid w:val="00190BEE"/>
    <w:rsid w:val="00190CCA"/>
    <w:rsid w:val="00190FE2"/>
    <w:rsid w:val="00191733"/>
    <w:rsid w:val="00191AE8"/>
    <w:rsid w:val="00191B2D"/>
    <w:rsid w:val="0019210A"/>
    <w:rsid w:val="001921EE"/>
    <w:rsid w:val="00192262"/>
    <w:rsid w:val="00192348"/>
    <w:rsid w:val="00192779"/>
    <w:rsid w:val="0019279C"/>
    <w:rsid w:val="0019295A"/>
    <w:rsid w:val="001929FF"/>
    <w:rsid w:val="00192AE2"/>
    <w:rsid w:val="00192AFC"/>
    <w:rsid w:val="00192B35"/>
    <w:rsid w:val="00192BF0"/>
    <w:rsid w:val="00192D64"/>
    <w:rsid w:val="00192F3F"/>
    <w:rsid w:val="00193057"/>
    <w:rsid w:val="0019322A"/>
    <w:rsid w:val="0019327E"/>
    <w:rsid w:val="00193A1C"/>
    <w:rsid w:val="00193B54"/>
    <w:rsid w:val="00193CE3"/>
    <w:rsid w:val="00193D66"/>
    <w:rsid w:val="00194173"/>
    <w:rsid w:val="00194345"/>
    <w:rsid w:val="0019448E"/>
    <w:rsid w:val="001946D8"/>
    <w:rsid w:val="0019478D"/>
    <w:rsid w:val="00194984"/>
    <w:rsid w:val="00194B7F"/>
    <w:rsid w:val="00194D7E"/>
    <w:rsid w:val="00194DD5"/>
    <w:rsid w:val="00194EEB"/>
    <w:rsid w:val="00194F51"/>
    <w:rsid w:val="00194F6E"/>
    <w:rsid w:val="00194F9E"/>
    <w:rsid w:val="00195077"/>
    <w:rsid w:val="0019507D"/>
    <w:rsid w:val="001952F1"/>
    <w:rsid w:val="00195320"/>
    <w:rsid w:val="0019559C"/>
    <w:rsid w:val="00195651"/>
    <w:rsid w:val="0019597B"/>
    <w:rsid w:val="001959FA"/>
    <w:rsid w:val="00195C21"/>
    <w:rsid w:val="001960E2"/>
    <w:rsid w:val="001960F5"/>
    <w:rsid w:val="00196221"/>
    <w:rsid w:val="001962F3"/>
    <w:rsid w:val="00196360"/>
    <w:rsid w:val="00196624"/>
    <w:rsid w:val="001966FC"/>
    <w:rsid w:val="0019693E"/>
    <w:rsid w:val="001969E7"/>
    <w:rsid w:val="00197120"/>
    <w:rsid w:val="001971B3"/>
    <w:rsid w:val="00197441"/>
    <w:rsid w:val="001975CA"/>
    <w:rsid w:val="00197757"/>
    <w:rsid w:val="00197763"/>
    <w:rsid w:val="001977EB"/>
    <w:rsid w:val="00197834"/>
    <w:rsid w:val="001978FE"/>
    <w:rsid w:val="001979F1"/>
    <w:rsid w:val="00197BA6"/>
    <w:rsid w:val="00197C6E"/>
    <w:rsid w:val="001A00B1"/>
    <w:rsid w:val="001A013C"/>
    <w:rsid w:val="001A0151"/>
    <w:rsid w:val="001A01A0"/>
    <w:rsid w:val="001A041F"/>
    <w:rsid w:val="001A0420"/>
    <w:rsid w:val="001A0422"/>
    <w:rsid w:val="001A045B"/>
    <w:rsid w:val="001A08F5"/>
    <w:rsid w:val="001A0994"/>
    <w:rsid w:val="001A09FE"/>
    <w:rsid w:val="001A0B12"/>
    <w:rsid w:val="001A0C0C"/>
    <w:rsid w:val="001A0F4E"/>
    <w:rsid w:val="001A0F68"/>
    <w:rsid w:val="001A0FA2"/>
    <w:rsid w:val="001A1120"/>
    <w:rsid w:val="001A1783"/>
    <w:rsid w:val="001A17A3"/>
    <w:rsid w:val="001A192F"/>
    <w:rsid w:val="001A1AC3"/>
    <w:rsid w:val="001A1B12"/>
    <w:rsid w:val="001A1C1A"/>
    <w:rsid w:val="001A1E69"/>
    <w:rsid w:val="001A2144"/>
    <w:rsid w:val="001A2188"/>
    <w:rsid w:val="001A2217"/>
    <w:rsid w:val="001A2236"/>
    <w:rsid w:val="001A238B"/>
    <w:rsid w:val="001A241B"/>
    <w:rsid w:val="001A257A"/>
    <w:rsid w:val="001A2596"/>
    <w:rsid w:val="001A262C"/>
    <w:rsid w:val="001A2777"/>
    <w:rsid w:val="001A27B6"/>
    <w:rsid w:val="001A2800"/>
    <w:rsid w:val="001A2882"/>
    <w:rsid w:val="001A2920"/>
    <w:rsid w:val="001A2AB6"/>
    <w:rsid w:val="001A2CC5"/>
    <w:rsid w:val="001A2FF6"/>
    <w:rsid w:val="001A3063"/>
    <w:rsid w:val="001A3364"/>
    <w:rsid w:val="001A34E9"/>
    <w:rsid w:val="001A38D5"/>
    <w:rsid w:val="001A390A"/>
    <w:rsid w:val="001A39EA"/>
    <w:rsid w:val="001A3E0F"/>
    <w:rsid w:val="001A4068"/>
    <w:rsid w:val="001A40A5"/>
    <w:rsid w:val="001A42E4"/>
    <w:rsid w:val="001A4655"/>
    <w:rsid w:val="001A46E2"/>
    <w:rsid w:val="001A4815"/>
    <w:rsid w:val="001A4958"/>
    <w:rsid w:val="001A4BBC"/>
    <w:rsid w:val="001A4CA9"/>
    <w:rsid w:val="001A4F62"/>
    <w:rsid w:val="001A52BE"/>
    <w:rsid w:val="001A52FF"/>
    <w:rsid w:val="001A55A2"/>
    <w:rsid w:val="001A55D5"/>
    <w:rsid w:val="001A595A"/>
    <w:rsid w:val="001A5DAC"/>
    <w:rsid w:val="001A5FAC"/>
    <w:rsid w:val="001A5FE3"/>
    <w:rsid w:val="001A627D"/>
    <w:rsid w:val="001A6357"/>
    <w:rsid w:val="001A6446"/>
    <w:rsid w:val="001A65CB"/>
    <w:rsid w:val="001A693D"/>
    <w:rsid w:val="001A694E"/>
    <w:rsid w:val="001A6979"/>
    <w:rsid w:val="001A6B6A"/>
    <w:rsid w:val="001A6E27"/>
    <w:rsid w:val="001A6EBC"/>
    <w:rsid w:val="001A7039"/>
    <w:rsid w:val="001A7222"/>
    <w:rsid w:val="001A7419"/>
    <w:rsid w:val="001A762E"/>
    <w:rsid w:val="001A769A"/>
    <w:rsid w:val="001A76AF"/>
    <w:rsid w:val="001A7826"/>
    <w:rsid w:val="001A793E"/>
    <w:rsid w:val="001A7DC7"/>
    <w:rsid w:val="001A7E4A"/>
    <w:rsid w:val="001B0007"/>
    <w:rsid w:val="001B0135"/>
    <w:rsid w:val="001B01F7"/>
    <w:rsid w:val="001B031C"/>
    <w:rsid w:val="001B0765"/>
    <w:rsid w:val="001B0A5A"/>
    <w:rsid w:val="001B0AA9"/>
    <w:rsid w:val="001B0B1A"/>
    <w:rsid w:val="001B0C71"/>
    <w:rsid w:val="001B0F7E"/>
    <w:rsid w:val="001B103A"/>
    <w:rsid w:val="001B117B"/>
    <w:rsid w:val="001B11D5"/>
    <w:rsid w:val="001B15F4"/>
    <w:rsid w:val="001B15F8"/>
    <w:rsid w:val="001B1650"/>
    <w:rsid w:val="001B16C8"/>
    <w:rsid w:val="001B16E0"/>
    <w:rsid w:val="001B1762"/>
    <w:rsid w:val="001B186F"/>
    <w:rsid w:val="001B1B33"/>
    <w:rsid w:val="001B1E4C"/>
    <w:rsid w:val="001B1F27"/>
    <w:rsid w:val="001B1FA2"/>
    <w:rsid w:val="001B25A0"/>
    <w:rsid w:val="001B25A7"/>
    <w:rsid w:val="001B26B8"/>
    <w:rsid w:val="001B279F"/>
    <w:rsid w:val="001B2C06"/>
    <w:rsid w:val="001B2C22"/>
    <w:rsid w:val="001B2D24"/>
    <w:rsid w:val="001B2D45"/>
    <w:rsid w:val="001B2DE2"/>
    <w:rsid w:val="001B309C"/>
    <w:rsid w:val="001B30D4"/>
    <w:rsid w:val="001B3155"/>
    <w:rsid w:val="001B32EA"/>
    <w:rsid w:val="001B335F"/>
    <w:rsid w:val="001B350C"/>
    <w:rsid w:val="001B39FD"/>
    <w:rsid w:val="001B40AC"/>
    <w:rsid w:val="001B4105"/>
    <w:rsid w:val="001B41CE"/>
    <w:rsid w:val="001B4497"/>
    <w:rsid w:val="001B45CB"/>
    <w:rsid w:val="001B462D"/>
    <w:rsid w:val="001B46BC"/>
    <w:rsid w:val="001B4736"/>
    <w:rsid w:val="001B477C"/>
    <w:rsid w:val="001B47AF"/>
    <w:rsid w:val="001B480B"/>
    <w:rsid w:val="001B4A33"/>
    <w:rsid w:val="001B4B32"/>
    <w:rsid w:val="001B4B88"/>
    <w:rsid w:val="001B4D8B"/>
    <w:rsid w:val="001B4E81"/>
    <w:rsid w:val="001B4F57"/>
    <w:rsid w:val="001B5008"/>
    <w:rsid w:val="001B502C"/>
    <w:rsid w:val="001B503E"/>
    <w:rsid w:val="001B51BF"/>
    <w:rsid w:val="001B51EA"/>
    <w:rsid w:val="001B5326"/>
    <w:rsid w:val="001B5419"/>
    <w:rsid w:val="001B584A"/>
    <w:rsid w:val="001B5990"/>
    <w:rsid w:val="001B5A2B"/>
    <w:rsid w:val="001B5A90"/>
    <w:rsid w:val="001B5F78"/>
    <w:rsid w:val="001B61DD"/>
    <w:rsid w:val="001B664C"/>
    <w:rsid w:val="001B66FB"/>
    <w:rsid w:val="001B698F"/>
    <w:rsid w:val="001B6A3D"/>
    <w:rsid w:val="001B6C13"/>
    <w:rsid w:val="001B6C2F"/>
    <w:rsid w:val="001B6C38"/>
    <w:rsid w:val="001B6CC8"/>
    <w:rsid w:val="001B74A4"/>
    <w:rsid w:val="001B793E"/>
    <w:rsid w:val="001B79CA"/>
    <w:rsid w:val="001B7B03"/>
    <w:rsid w:val="001B7B63"/>
    <w:rsid w:val="001B7EB7"/>
    <w:rsid w:val="001B7F38"/>
    <w:rsid w:val="001C0089"/>
    <w:rsid w:val="001C045D"/>
    <w:rsid w:val="001C053D"/>
    <w:rsid w:val="001C05AD"/>
    <w:rsid w:val="001C05F7"/>
    <w:rsid w:val="001C063B"/>
    <w:rsid w:val="001C08D3"/>
    <w:rsid w:val="001C0B2C"/>
    <w:rsid w:val="001C0C54"/>
    <w:rsid w:val="001C0FE9"/>
    <w:rsid w:val="001C123E"/>
    <w:rsid w:val="001C156C"/>
    <w:rsid w:val="001C15EA"/>
    <w:rsid w:val="001C1699"/>
    <w:rsid w:val="001C16E9"/>
    <w:rsid w:val="001C17B9"/>
    <w:rsid w:val="001C1AF5"/>
    <w:rsid w:val="001C2168"/>
    <w:rsid w:val="001C2195"/>
    <w:rsid w:val="001C2342"/>
    <w:rsid w:val="001C2542"/>
    <w:rsid w:val="001C26B3"/>
    <w:rsid w:val="001C274E"/>
    <w:rsid w:val="001C27A8"/>
    <w:rsid w:val="001C2A34"/>
    <w:rsid w:val="001C2BC2"/>
    <w:rsid w:val="001C2BEF"/>
    <w:rsid w:val="001C2C66"/>
    <w:rsid w:val="001C2C77"/>
    <w:rsid w:val="001C2F7F"/>
    <w:rsid w:val="001C301E"/>
    <w:rsid w:val="001C30B1"/>
    <w:rsid w:val="001C3238"/>
    <w:rsid w:val="001C3341"/>
    <w:rsid w:val="001C3380"/>
    <w:rsid w:val="001C3423"/>
    <w:rsid w:val="001C34A5"/>
    <w:rsid w:val="001C36C0"/>
    <w:rsid w:val="001C3733"/>
    <w:rsid w:val="001C3743"/>
    <w:rsid w:val="001C3969"/>
    <w:rsid w:val="001C3AD5"/>
    <w:rsid w:val="001C3B5B"/>
    <w:rsid w:val="001C3E34"/>
    <w:rsid w:val="001C3E4F"/>
    <w:rsid w:val="001C3EBB"/>
    <w:rsid w:val="001C405F"/>
    <w:rsid w:val="001C41EB"/>
    <w:rsid w:val="001C43F3"/>
    <w:rsid w:val="001C46D0"/>
    <w:rsid w:val="001C4743"/>
    <w:rsid w:val="001C48EA"/>
    <w:rsid w:val="001C4E66"/>
    <w:rsid w:val="001C4F57"/>
    <w:rsid w:val="001C4F7A"/>
    <w:rsid w:val="001C50EC"/>
    <w:rsid w:val="001C55D3"/>
    <w:rsid w:val="001C5A48"/>
    <w:rsid w:val="001C5A7D"/>
    <w:rsid w:val="001C5C79"/>
    <w:rsid w:val="001C5C8F"/>
    <w:rsid w:val="001C5E3D"/>
    <w:rsid w:val="001C60BD"/>
    <w:rsid w:val="001C60CD"/>
    <w:rsid w:val="001C6189"/>
    <w:rsid w:val="001C6371"/>
    <w:rsid w:val="001C671C"/>
    <w:rsid w:val="001C67EC"/>
    <w:rsid w:val="001C6A3C"/>
    <w:rsid w:val="001C6B68"/>
    <w:rsid w:val="001C6BE2"/>
    <w:rsid w:val="001C6CAD"/>
    <w:rsid w:val="001C70A7"/>
    <w:rsid w:val="001C71D4"/>
    <w:rsid w:val="001C729F"/>
    <w:rsid w:val="001C732A"/>
    <w:rsid w:val="001C76BF"/>
    <w:rsid w:val="001C777F"/>
    <w:rsid w:val="001C77AD"/>
    <w:rsid w:val="001C7B20"/>
    <w:rsid w:val="001D012A"/>
    <w:rsid w:val="001D0499"/>
    <w:rsid w:val="001D06DF"/>
    <w:rsid w:val="001D0A3A"/>
    <w:rsid w:val="001D0C17"/>
    <w:rsid w:val="001D0DA3"/>
    <w:rsid w:val="001D11F8"/>
    <w:rsid w:val="001D12F1"/>
    <w:rsid w:val="001D1762"/>
    <w:rsid w:val="001D1C44"/>
    <w:rsid w:val="001D1CFB"/>
    <w:rsid w:val="001D2239"/>
    <w:rsid w:val="001D2296"/>
    <w:rsid w:val="001D234F"/>
    <w:rsid w:val="001D264A"/>
    <w:rsid w:val="001D26DA"/>
    <w:rsid w:val="001D28BC"/>
    <w:rsid w:val="001D2A02"/>
    <w:rsid w:val="001D2C2E"/>
    <w:rsid w:val="001D2CC2"/>
    <w:rsid w:val="001D2F34"/>
    <w:rsid w:val="001D2F61"/>
    <w:rsid w:val="001D30A7"/>
    <w:rsid w:val="001D31B2"/>
    <w:rsid w:val="001D335E"/>
    <w:rsid w:val="001D34F7"/>
    <w:rsid w:val="001D3647"/>
    <w:rsid w:val="001D37B1"/>
    <w:rsid w:val="001D3976"/>
    <w:rsid w:val="001D3A6F"/>
    <w:rsid w:val="001D3B22"/>
    <w:rsid w:val="001D3B7F"/>
    <w:rsid w:val="001D3D26"/>
    <w:rsid w:val="001D4061"/>
    <w:rsid w:val="001D40B3"/>
    <w:rsid w:val="001D446D"/>
    <w:rsid w:val="001D447C"/>
    <w:rsid w:val="001D4AFE"/>
    <w:rsid w:val="001D4C3A"/>
    <w:rsid w:val="001D4DCB"/>
    <w:rsid w:val="001D5239"/>
    <w:rsid w:val="001D532B"/>
    <w:rsid w:val="001D55D3"/>
    <w:rsid w:val="001D58EF"/>
    <w:rsid w:val="001D5AAC"/>
    <w:rsid w:val="001D5C21"/>
    <w:rsid w:val="001D5C4B"/>
    <w:rsid w:val="001D6231"/>
    <w:rsid w:val="001D640D"/>
    <w:rsid w:val="001D65AC"/>
    <w:rsid w:val="001D65B3"/>
    <w:rsid w:val="001D666F"/>
    <w:rsid w:val="001D6AAF"/>
    <w:rsid w:val="001D6BC1"/>
    <w:rsid w:val="001D6DC8"/>
    <w:rsid w:val="001D6F5C"/>
    <w:rsid w:val="001D6FCE"/>
    <w:rsid w:val="001D74AC"/>
    <w:rsid w:val="001D7652"/>
    <w:rsid w:val="001D7709"/>
    <w:rsid w:val="001D774F"/>
    <w:rsid w:val="001D78CC"/>
    <w:rsid w:val="001D7B6D"/>
    <w:rsid w:val="001D7C33"/>
    <w:rsid w:val="001D7D75"/>
    <w:rsid w:val="001D7EA4"/>
    <w:rsid w:val="001D7ECD"/>
    <w:rsid w:val="001E002A"/>
    <w:rsid w:val="001E00FE"/>
    <w:rsid w:val="001E0155"/>
    <w:rsid w:val="001E0169"/>
    <w:rsid w:val="001E01BB"/>
    <w:rsid w:val="001E02D0"/>
    <w:rsid w:val="001E030E"/>
    <w:rsid w:val="001E0311"/>
    <w:rsid w:val="001E0333"/>
    <w:rsid w:val="001E077B"/>
    <w:rsid w:val="001E091E"/>
    <w:rsid w:val="001E0A4A"/>
    <w:rsid w:val="001E0ACF"/>
    <w:rsid w:val="001E0B04"/>
    <w:rsid w:val="001E0F76"/>
    <w:rsid w:val="001E1237"/>
    <w:rsid w:val="001E14A5"/>
    <w:rsid w:val="001E16CB"/>
    <w:rsid w:val="001E1BC4"/>
    <w:rsid w:val="001E1BC8"/>
    <w:rsid w:val="001E1D4B"/>
    <w:rsid w:val="001E1DA1"/>
    <w:rsid w:val="001E1F41"/>
    <w:rsid w:val="001E21AB"/>
    <w:rsid w:val="001E21F4"/>
    <w:rsid w:val="001E23A0"/>
    <w:rsid w:val="001E24CA"/>
    <w:rsid w:val="001E257A"/>
    <w:rsid w:val="001E2721"/>
    <w:rsid w:val="001E279D"/>
    <w:rsid w:val="001E29A9"/>
    <w:rsid w:val="001E2E19"/>
    <w:rsid w:val="001E2EAE"/>
    <w:rsid w:val="001E311E"/>
    <w:rsid w:val="001E314D"/>
    <w:rsid w:val="001E3399"/>
    <w:rsid w:val="001E35BE"/>
    <w:rsid w:val="001E3AD4"/>
    <w:rsid w:val="001E3E99"/>
    <w:rsid w:val="001E3FC7"/>
    <w:rsid w:val="001E4113"/>
    <w:rsid w:val="001E4328"/>
    <w:rsid w:val="001E43CD"/>
    <w:rsid w:val="001E4515"/>
    <w:rsid w:val="001E45E7"/>
    <w:rsid w:val="001E48AB"/>
    <w:rsid w:val="001E4AAF"/>
    <w:rsid w:val="001E4AD6"/>
    <w:rsid w:val="001E4E75"/>
    <w:rsid w:val="001E526D"/>
    <w:rsid w:val="001E533D"/>
    <w:rsid w:val="001E564E"/>
    <w:rsid w:val="001E5702"/>
    <w:rsid w:val="001E5912"/>
    <w:rsid w:val="001E5923"/>
    <w:rsid w:val="001E5AC6"/>
    <w:rsid w:val="001E5AEB"/>
    <w:rsid w:val="001E5C6E"/>
    <w:rsid w:val="001E5CA1"/>
    <w:rsid w:val="001E5E03"/>
    <w:rsid w:val="001E5E76"/>
    <w:rsid w:val="001E5FB2"/>
    <w:rsid w:val="001E60BA"/>
    <w:rsid w:val="001E6212"/>
    <w:rsid w:val="001E63BE"/>
    <w:rsid w:val="001E66D2"/>
    <w:rsid w:val="001E671C"/>
    <w:rsid w:val="001E6947"/>
    <w:rsid w:val="001E6FC5"/>
    <w:rsid w:val="001E71C8"/>
    <w:rsid w:val="001E72ED"/>
    <w:rsid w:val="001E743E"/>
    <w:rsid w:val="001E7556"/>
    <w:rsid w:val="001E75FF"/>
    <w:rsid w:val="001E7A05"/>
    <w:rsid w:val="001E7BBF"/>
    <w:rsid w:val="001E7CDA"/>
    <w:rsid w:val="001E7DA0"/>
    <w:rsid w:val="001F00CA"/>
    <w:rsid w:val="001F04F1"/>
    <w:rsid w:val="001F082B"/>
    <w:rsid w:val="001F0890"/>
    <w:rsid w:val="001F0B0E"/>
    <w:rsid w:val="001F0C11"/>
    <w:rsid w:val="001F0DC3"/>
    <w:rsid w:val="001F0E15"/>
    <w:rsid w:val="001F0E92"/>
    <w:rsid w:val="001F102A"/>
    <w:rsid w:val="001F11D4"/>
    <w:rsid w:val="001F1254"/>
    <w:rsid w:val="001F131B"/>
    <w:rsid w:val="001F1321"/>
    <w:rsid w:val="001F134E"/>
    <w:rsid w:val="001F15CF"/>
    <w:rsid w:val="001F1698"/>
    <w:rsid w:val="001F1785"/>
    <w:rsid w:val="001F1B13"/>
    <w:rsid w:val="001F1E4A"/>
    <w:rsid w:val="001F1E51"/>
    <w:rsid w:val="001F1F69"/>
    <w:rsid w:val="001F2043"/>
    <w:rsid w:val="001F2288"/>
    <w:rsid w:val="001F23C6"/>
    <w:rsid w:val="001F23D6"/>
    <w:rsid w:val="001F2536"/>
    <w:rsid w:val="001F29A4"/>
    <w:rsid w:val="001F2A38"/>
    <w:rsid w:val="001F2B66"/>
    <w:rsid w:val="001F2B74"/>
    <w:rsid w:val="001F2B99"/>
    <w:rsid w:val="001F2C38"/>
    <w:rsid w:val="001F2DF0"/>
    <w:rsid w:val="001F3011"/>
    <w:rsid w:val="001F3249"/>
    <w:rsid w:val="001F3281"/>
    <w:rsid w:val="001F337D"/>
    <w:rsid w:val="001F34C9"/>
    <w:rsid w:val="001F3849"/>
    <w:rsid w:val="001F3898"/>
    <w:rsid w:val="001F38FE"/>
    <w:rsid w:val="001F399A"/>
    <w:rsid w:val="001F39A0"/>
    <w:rsid w:val="001F3BF8"/>
    <w:rsid w:val="001F3CED"/>
    <w:rsid w:val="001F40DE"/>
    <w:rsid w:val="001F41CD"/>
    <w:rsid w:val="001F4379"/>
    <w:rsid w:val="001F4448"/>
    <w:rsid w:val="001F4467"/>
    <w:rsid w:val="001F4ADA"/>
    <w:rsid w:val="001F4AEF"/>
    <w:rsid w:val="001F4D8A"/>
    <w:rsid w:val="001F4DA2"/>
    <w:rsid w:val="001F4DA3"/>
    <w:rsid w:val="001F53D6"/>
    <w:rsid w:val="001F53FB"/>
    <w:rsid w:val="001F5589"/>
    <w:rsid w:val="001F55AA"/>
    <w:rsid w:val="001F5890"/>
    <w:rsid w:val="001F59DD"/>
    <w:rsid w:val="001F5D25"/>
    <w:rsid w:val="001F5DAD"/>
    <w:rsid w:val="001F5DDD"/>
    <w:rsid w:val="001F5E37"/>
    <w:rsid w:val="001F5E4E"/>
    <w:rsid w:val="001F5FA2"/>
    <w:rsid w:val="001F6216"/>
    <w:rsid w:val="001F656E"/>
    <w:rsid w:val="001F65DE"/>
    <w:rsid w:val="001F65E0"/>
    <w:rsid w:val="001F67A9"/>
    <w:rsid w:val="001F6A8B"/>
    <w:rsid w:val="001F6A9C"/>
    <w:rsid w:val="001F6B32"/>
    <w:rsid w:val="001F6B6B"/>
    <w:rsid w:val="001F6C27"/>
    <w:rsid w:val="001F6D28"/>
    <w:rsid w:val="001F6E73"/>
    <w:rsid w:val="001F6F71"/>
    <w:rsid w:val="001F7119"/>
    <w:rsid w:val="001F734E"/>
    <w:rsid w:val="001F7350"/>
    <w:rsid w:val="001F7482"/>
    <w:rsid w:val="001F7680"/>
    <w:rsid w:val="001F77F8"/>
    <w:rsid w:val="001F7AF2"/>
    <w:rsid w:val="001F7DEA"/>
    <w:rsid w:val="001F7E0C"/>
    <w:rsid w:val="001F7E1B"/>
    <w:rsid w:val="001F7F4E"/>
    <w:rsid w:val="00200229"/>
    <w:rsid w:val="00200286"/>
    <w:rsid w:val="002002B4"/>
    <w:rsid w:val="00200320"/>
    <w:rsid w:val="002007D4"/>
    <w:rsid w:val="002008DB"/>
    <w:rsid w:val="00200B08"/>
    <w:rsid w:val="00200C75"/>
    <w:rsid w:val="00200D3C"/>
    <w:rsid w:val="002010B6"/>
    <w:rsid w:val="002012E4"/>
    <w:rsid w:val="00201383"/>
    <w:rsid w:val="00201447"/>
    <w:rsid w:val="00201668"/>
    <w:rsid w:val="00201C49"/>
    <w:rsid w:val="00201CC4"/>
    <w:rsid w:val="00201E6A"/>
    <w:rsid w:val="00201FEC"/>
    <w:rsid w:val="0020202D"/>
    <w:rsid w:val="002022BF"/>
    <w:rsid w:val="0020274B"/>
    <w:rsid w:val="00202883"/>
    <w:rsid w:val="00202DD4"/>
    <w:rsid w:val="00202F16"/>
    <w:rsid w:val="00202F83"/>
    <w:rsid w:val="00203043"/>
    <w:rsid w:val="0020312A"/>
    <w:rsid w:val="00203340"/>
    <w:rsid w:val="00203390"/>
    <w:rsid w:val="00203698"/>
    <w:rsid w:val="00203862"/>
    <w:rsid w:val="0020389A"/>
    <w:rsid w:val="002039CE"/>
    <w:rsid w:val="00203AE1"/>
    <w:rsid w:val="00203AF3"/>
    <w:rsid w:val="00203B0F"/>
    <w:rsid w:val="00203BED"/>
    <w:rsid w:val="00203D56"/>
    <w:rsid w:val="00203D84"/>
    <w:rsid w:val="00203F05"/>
    <w:rsid w:val="002041B4"/>
    <w:rsid w:val="00204400"/>
    <w:rsid w:val="00204584"/>
    <w:rsid w:val="002045BC"/>
    <w:rsid w:val="00204602"/>
    <w:rsid w:val="0020467D"/>
    <w:rsid w:val="0020484D"/>
    <w:rsid w:val="00204A07"/>
    <w:rsid w:val="00204BD5"/>
    <w:rsid w:val="00204BE7"/>
    <w:rsid w:val="00204CC5"/>
    <w:rsid w:val="00204CEA"/>
    <w:rsid w:val="002050E4"/>
    <w:rsid w:val="0020524B"/>
    <w:rsid w:val="0020528D"/>
    <w:rsid w:val="00205388"/>
    <w:rsid w:val="00205820"/>
    <w:rsid w:val="002059A4"/>
    <w:rsid w:val="00205D30"/>
    <w:rsid w:val="00205F3F"/>
    <w:rsid w:val="00206084"/>
    <w:rsid w:val="0020657A"/>
    <w:rsid w:val="002069B2"/>
    <w:rsid w:val="00206C37"/>
    <w:rsid w:val="002070C0"/>
    <w:rsid w:val="00207171"/>
    <w:rsid w:val="00207181"/>
    <w:rsid w:val="002071D0"/>
    <w:rsid w:val="00207289"/>
    <w:rsid w:val="00207349"/>
    <w:rsid w:val="00207376"/>
    <w:rsid w:val="002073E3"/>
    <w:rsid w:val="00207491"/>
    <w:rsid w:val="002074B9"/>
    <w:rsid w:val="00207926"/>
    <w:rsid w:val="002079DB"/>
    <w:rsid w:val="00207B1C"/>
    <w:rsid w:val="00207DCE"/>
    <w:rsid w:val="00207EE6"/>
    <w:rsid w:val="00207F92"/>
    <w:rsid w:val="00207FBA"/>
    <w:rsid w:val="00210416"/>
    <w:rsid w:val="00210621"/>
    <w:rsid w:val="002108F5"/>
    <w:rsid w:val="00210A10"/>
    <w:rsid w:val="00210C69"/>
    <w:rsid w:val="00210CE9"/>
    <w:rsid w:val="00211087"/>
    <w:rsid w:val="00211412"/>
    <w:rsid w:val="0021143F"/>
    <w:rsid w:val="00211530"/>
    <w:rsid w:val="0021155C"/>
    <w:rsid w:val="002117EB"/>
    <w:rsid w:val="00211872"/>
    <w:rsid w:val="00211AC3"/>
    <w:rsid w:val="00211B02"/>
    <w:rsid w:val="00211B63"/>
    <w:rsid w:val="00211C6E"/>
    <w:rsid w:val="00212200"/>
    <w:rsid w:val="00212454"/>
    <w:rsid w:val="00212D2F"/>
    <w:rsid w:val="00212D38"/>
    <w:rsid w:val="00212D93"/>
    <w:rsid w:val="00213073"/>
    <w:rsid w:val="00213180"/>
    <w:rsid w:val="00213321"/>
    <w:rsid w:val="002134BB"/>
    <w:rsid w:val="002138CB"/>
    <w:rsid w:val="0021399A"/>
    <w:rsid w:val="002139F7"/>
    <w:rsid w:val="00213A85"/>
    <w:rsid w:val="00213CB2"/>
    <w:rsid w:val="00213D3C"/>
    <w:rsid w:val="00213DBC"/>
    <w:rsid w:val="00213F90"/>
    <w:rsid w:val="00213FE1"/>
    <w:rsid w:val="002147E9"/>
    <w:rsid w:val="0021490F"/>
    <w:rsid w:val="00214944"/>
    <w:rsid w:val="00214D93"/>
    <w:rsid w:val="00214EF5"/>
    <w:rsid w:val="00214FB7"/>
    <w:rsid w:val="00215341"/>
    <w:rsid w:val="0021552A"/>
    <w:rsid w:val="00215BEB"/>
    <w:rsid w:val="00215F24"/>
    <w:rsid w:val="00215FA2"/>
    <w:rsid w:val="0021634D"/>
    <w:rsid w:val="002164EE"/>
    <w:rsid w:val="0021651B"/>
    <w:rsid w:val="00216687"/>
    <w:rsid w:val="00216ABB"/>
    <w:rsid w:val="00216B85"/>
    <w:rsid w:val="00216BE0"/>
    <w:rsid w:val="00216BE2"/>
    <w:rsid w:val="00216CE1"/>
    <w:rsid w:val="00216E44"/>
    <w:rsid w:val="00216FD0"/>
    <w:rsid w:val="00216FE0"/>
    <w:rsid w:val="0021708C"/>
    <w:rsid w:val="00217581"/>
    <w:rsid w:val="0021761F"/>
    <w:rsid w:val="00217992"/>
    <w:rsid w:val="00217AE5"/>
    <w:rsid w:val="00217C6F"/>
    <w:rsid w:val="00217CC4"/>
    <w:rsid w:val="002200AE"/>
    <w:rsid w:val="0022031E"/>
    <w:rsid w:val="002206E9"/>
    <w:rsid w:val="00220700"/>
    <w:rsid w:val="002208E0"/>
    <w:rsid w:val="00220CB4"/>
    <w:rsid w:val="00220D0F"/>
    <w:rsid w:val="00220E9A"/>
    <w:rsid w:val="00220FBF"/>
    <w:rsid w:val="00221089"/>
    <w:rsid w:val="00221242"/>
    <w:rsid w:val="002212AE"/>
    <w:rsid w:val="00221412"/>
    <w:rsid w:val="00221F9E"/>
    <w:rsid w:val="00221FA7"/>
    <w:rsid w:val="002222AA"/>
    <w:rsid w:val="00222383"/>
    <w:rsid w:val="00222437"/>
    <w:rsid w:val="00222767"/>
    <w:rsid w:val="0022277D"/>
    <w:rsid w:val="00222D35"/>
    <w:rsid w:val="00222E13"/>
    <w:rsid w:val="0022317B"/>
    <w:rsid w:val="00223208"/>
    <w:rsid w:val="0022324B"/>
    <w:rsid w:val="002232A1"/>
    <w:rsid w:val="0022334A"/>
    <w:rsid w:val="00223428"/>
    <w:rsid w:val="00223479"/>
    <w:rsid w:val="002234A3"/>
    <w:rsid w:val="00223517"/>
    <w:rsid w:val="00223544"/>
    <w:rsid w:val="0022377C"/>
    <w:rsid w:val="00223792"/>
    <w:rsid w:val="002238FF"/>
    <w:rsid w:val="00223936"/>
    <w:rsid w:val="00223AED"/>
    <w:rsid w:val="00223D07"/>
    <w:rsid w:val="0022416E"/>
    <w:rsid w:val="00224405"/>
    <w:rsid w:val="002245FE"/>
    <w:rsid w:val="00224817"/>
    <w:rsid w:val="00224FC9"/>
    <w:rsid w:val="002250DB"/>
    <w:rsid w:val="002252E7"/>
    <w:rsid w:val="002255F0"/>
    <w:rsid w:val="00225ADB"/>
    <w:rsid w:val="00225C0E"/>
    <w:rsid w:val="00225CC3"/>
    <w:rsid w:val="00225D1A"/>
    <w:rsid w:val="00226197"/>
    <w:rsid w:val="002262AD"/>
    <w:rsid w:val="00226482"/>
    <w:rsid w:val="002264CE"/>
    <w:rsid w:val="00226573"/>
    <w:rsid w:val="00226787"/>
    <w:rsid w:val="00226844"/>
    <w:rsid w:val="00226B48"/>
    <w:rsid w:val="00226D33"/>
    <w:rsid w:val="00226EB2"/>
    <w:rsid w:val="00226F98"/>
    <w:rsid w:val="002272C9"/>
    <w:rsid w:val="002272CB"/>
    <w:rsid w:val="002275D2"/>
    <w:rsid w:val="00227692"/>
    <w:rsid w:val="00227813"/>
    <w:rsid w:val="002279B9"/>
    <w:rsid w:val="00227A5C"/>
    <w:rsid w:val="00227CBE"/>
    <w:rsid w:val="00227EE8"/>
    <w:rsid w:val="00230154"/>
    <w:rsid w:val="002302DD"/>
    <w:rsid w:val="0023033C"/>
    <w:rsid w:val="0023043C"/>
    <w:rsid w:val="00230682"/>
    <w:rsid w:val="00230684"/>
    <w:rsid w:val="0023091F"/>
    <w:rsid w:val="00230957"/>
    <w:rsid w:val="00230AD8"/>
    <w:rsid w:val="00230D09"/>
    <w:rsid w:val="00230D87"/>
    <w:rsid w:val="00230DAC"/>
    <w:rsid w:val="00230E90"/>
    <w:rsid w:val="00230F67"/>
    <w:rsid w:val="0023105B"/>
    <w:rsid w:val="002311C7"/>
    <w:rsid w:val="00231983"/>
    <w:rsid w:val="00231B9C"/>
    <w:rsid w:val="00231E2F"/>
    <w:rsid w:val="002322D7"/>
    <w:rsid w:val="0023231A"/>
    <w:rsid w:val="00232757"/>
    <w:rsid w:val="002328A5"/>
    <w:rsid w:val="00232978"/>
    <w:rsid w:val="00232A6E"/>
    <w:rsid w:val="00232AFC"/>
    <w:rsid w:val="00232C95"/>
    <w:rsid w:val="00232D1A"/>
    <w:rsid w:val="00232E28"/>
    <w:rsid w:val="00232EF5"/>
    <w:rsid w:val="00232FAC"/>
    <w:rsid w:val="00232FC3"/>
    <w:rsid w:val="0023326B"/>
    <w:rsid w:val="00233503"/>
    <w:rsid w:val="0023371C"/>
    <w:rsid w:val="0023380D"/>
    <w:rsid w:val="00233846"/>
    <w:rsid w:val="00233950"/>
    <w:rsid w:val="00233A4E"/>
    <w:rsid w:val="00233AC2"/>
    <w:rsid w:val="00233B93"/>
    <w:rsid w:val="00233B9C"/>
    <w:rsid w:val="00233FD7"/>
    <w:rsid w:val="002340B8"/>
    <w:rsid w:val="00234246"/>
    <w:rsid w:val="00234727"/>
    <w:rsid w:val="0023478F"/>
    <w:rsid w:val="0023493F"/>
    <w:rsid w:val="002349E3"/>
    <w:rsid w:val="00234A9D"/>
    <w:rsid w:val="00234AD5"/>
    <w:rsid w:val="00234BB1"/>
    <w:rsid w:val="00234D86"/>
    <w:rsid w:val="00234E81"/>
    <w:rsid w:val="002352A4"/>
    <w:rsid w:val="00235318"/>
    <w:rsid w:val="00235601"/>
    <w:rsid w:val="00235621"/>
    <w:rsid w:val="00235781"/>
    <w:rsid w:val="002357FE"/>
    <w:rsid w:val="00235847"/>
    <w:rsid w:val="002359E9"/>
    <w:rsid w:val="00235A72"/>
    <w:rsid w:val="00235A9A"/>
    <w:rsid w:val="00235AE4"/>
    <w:rsid w:val="00235BA3"/>
    <w:rsid w:val="00235CA0"/>
    <w:rsid w:val="0023657D"/>
    <w:rsid w:val="002365DF"/>
    <w:rsid w:val="002365ED"/>
    <w:rsid w:val="00236C13"/>
    <w:rsid w:val="00236CCC"/>
    <w:rsid w:val="00237105"/>
    <w:rsid w:val="00237710"/>
    <w:rsid w:val="00237A9A"/>
    <w:rsid w:val="00237B4D"/>
    <w:rsid w:val="00237B51"/>
    <w:rsid w:val="00237FDE"/>
    <w:rsid w:val="00240097"/>
    <w:rsid w:val="002404D3"/>
    <w:rsid w:val="002407E9"/>
    <w:rsid w:val="00240B48"/>
    <w:rsid w:val="00240BD2"/>
    <w:rsid w:val="00240BEA"/>
    <w:rsid w:val="00240BEF"/>
    <w:rsid w:val="00241043"/>
    <w:rsid w:val="002410DF"/>
    <w:rsid w:val="002412A3"/>
    <w:rsid w:val="0024137E"/>
    <w:rsid w:val="002417F3"/>
    <w:rsid w:val="002419B0"/>
    <w:rsid w:val="00241AA0"/>
    <w:rsid w:val="00241C50"/>
    <w:rsid w:val="00241CDE"/>
    <w:rsid w:val="00241E14"/>
    <w:rsid w:val="00241E4D"/>
    <w:rsid w:val="00241E6A"/>
    <w:rsid w:val="00242276"/>
    <w:rsid w:val="002423EF"/>
    <w:rsid w:val="00242545"/>
    <w:rsid w:val="00242570"/>
    <w:rsid w:val="00242598"/>
    <w:rsid w:val="002425BA"/>
    <w:rsid w:val="00242637"/>
    <w:rsid w:val="00242D1A"/>
    <w:rsid w:val="00242D93"/>
    <w:rsid w:val="00243384"/>
    <w:rsid w:val="002433D1"/>
    <w:rsid w:val="002433FA"/>
    <w:rsid w:val="0024346B"/>
    <w:rsid w:val="002434AD"/>
    <w:rsid w:val="002435EF"/>
    <w:rsid w:val="002436D5"/>
    <w:rsid w:val="002436EE"/>
    <w:rsid w:val="00243AEC"/>
    <w:rsid w:val="00244157"/>
    <w:rsid w:val="0024424D"/>
    <w:rsid w:val="00244305"/>
    <w:rsid w:val="002443CE"/>
    <w:rsid w:val="00244401"/>
    <w:rsid w:val="00244495"/>
    <w:rsid w:val="002444A1"/>
    <w:rsid w:val="00244538"/>
    <w:rsid w:val="002447CA"/>
    <w:rsid w:val="00244B1A"/>
    <w:rsid w:val="00244CAB"/>
    <w:rsid w:val="00244CB2"/>
    <w:rsid w:val="00245028"/>
    <w:rsid w:val="00245192"/>
    <w:rsid w:val="002452A1"/>
    <w:rsid w:val="0024551C"/>
    <w:rsid w:val="0024553D"/>
    <w:rsid w:val="0024566A"/>
    <w:rsid w:val="00245731"/>
    <w:rsid w:val="00245889"/>
    <w:rsid w:val="00245940"/>
    <w:rsid w:val="00245BBE"/>
    <w:rsid w:val="00245C46"/>
    <w:rsid w:val="00245C98"/>
    <w:rsid w:val="00245E35"/>
    <w:rsid w:val="00245E9B"/>
    <w:rsid w:val="00246039"/>
    <w:rsid w:val="002460AA"/>
    <w:rsid w:val="002463CF"/>
    <w:rsid w:val="0024666C"/>
    <w:rsid w:val="00246944"/>
    <w:rsid w:val="00246D44"/>
    <w:rsid w:val="0024714F"/>
    <w:rsid w:val="00247476"/>
    <w:rsid w:val="00247700"/>
    <w:rsid w:val="00247718"/>
    <w:rsid w:val="00247D99"/>
    <w:rsid w:val="00247DEC"/>
    <w:rsid w:val="00247EAB"/>
    <w:rsid w:val="00247FB5"/>
    <w:rsid w:val="00247FF4"/>
    <w:rsid w:val="002500E5"/>
    <w:rsid w:val="00250247"/>
    <w:rsid w:val="0025043E"/>
    <w:rsid w:val="00250494"/>
    <w:rsid w:val="00250809"/>
    <w:rsid w:val="00250B37"/>
    <w:rsid w:val="00250C32"/>
    <w:rsid w:val="00250E6F"/>
    <w:rsid w:val="00250EAC"/>
    <w:rsid w:val="0025109A"/>
    <w:rsid w:val="00251255"/>
    <w:rsid w:val="002515B3"/>
    <w:rsid w:val="0025183E"/>
    <w:rsid w:val="00251A11"/>
    <w:rsid w:val="00251B45"/>
    <w:rsid w:val="00251B78"/>
    <w:rsid w:val="00251D73"/>
    <w:rsid w:val="00251DA4"/>
    <w:rsid w:val="00251EA5"/>
    <w:rsid w:val="002522E6"/>
    <w:rsid w:val="002524F9"/>
    <w:rsid w:val="0025263B"/>
    <w:rsid w:val="0025263F"/>
    <w:rsid w:val="002526D0"/>
    <w:rsid w:val="00252EDD"/>
    <w:rsid w:val="00252F62"/>
    <w:rsid w:val="00252F97"/>
    <w:rsid w:val="00253294"/>
    <w:rsid w:val="002532ED"/>
    <w:rsid w:val="00253635"/>
    <w:rsid w:val="00253652"/>
    <w:rsid w:val="002536D3"/>
    <w:rsid w:val="002536DF"/>
    <w:rsid w:val="0025374D"/>
    <w:rsid w:val="002538FB"/>
    <w:rsid w:val="002539B0"/>
    <w:rsid w:val="00253CE2"/>
    <w:rsid w:val="00253E2A"/>
    <w:rsid w:val="00253FEF"/>
    <w:rsid w:val="00254481"/>
    <w:rsid w:val="002544C2"/>
    <w:rsid w:val="002544E5"/>
    <w:rsid w:val="002545E4"/>
    <w:rsid w:val="002548B4"/>
    <w:rsid w:val="002549B1"/>
    <w:rsid w:val="00254CA4"/>
    <w:rsid w:val="00254CED"/>
    <w:rsid w:val="0025509E"/>
    <w:rsid w:val="00255124"/>
    <w:rsid w:val="0025513B"/>
    <w:rsid w:val="0025519B"/>
    <w:rsid w:val="002554D1"/>
    <w:rsid w:val="002558D8"/>
    <w:rsid w:val="002559D3"/>
    <w:rsid w:val="00255A22"/>
    <w:rsid w:val="00255A3C"/>
    <w:rsid w:val="00255CC3"/>
    <w:rsid w:val="00255FF0"/>
    <w:rsid w:val="002563CB"/>
    <w:rsid w:val="002566CB"/>
    <w:rsid w:val="00256841"/>
    <w:rsid w:val="0025698D"/>
    <w:rsid w:val="00256C7F"/>
    <w:rsid w:val="00256D1A"/>
    <w:rsid w:val="00256E89"/>
    <w:rsid w:val="00256F7D"/>
    <w:rsid w:val="00256F88"/>
    <w:rsid w:val="00257389"/>
    <w:rsid w:val="00257746"/>
    <w:rsid w:val="00257ADB"/>
    <w:rsid w:val="00257AE8"/>
    <w:rsid w:val="00257BE6"/>
    <w:rsid w:val="00260081"/>
    <w:rsid w:val="00260082"/>
    <w:rsid w:val="00260320"/>
    <w:rsid w:val="002604FA"/>
    <w:rsid w:val="0026065D"/>
    <w:rsid w:val="00260765"/>
    <w:rsid w:val="002609FB"/>
    <w:rsid w:val="00260B97"/>
    <w:rsid w:val="00260D51"/>
    <w:rsid w:val="00261236"/>
    <w:rsid w:val="002617C4"/>
    <w:rsid w:val="00261893"/>
    <w:rsid w:val="00261978"/>
    <w:rsid w:val="00261BA4"/>
    <w:rsid w:val="00261CA6"/>
    <w:rsid w:val="00261D5B"/>
    <w:rsid w:val="00261D76"/>
    <w:rsid w:val="00261FF9"/>
    <w:rsid w:val="00262031"/>
    <w:rsid w:val="0026239B"/>
    <w:rsid w:val="0026244A"/>
    <w:rsid w:val="002625A4"/>
    <w:rsid w:val="002626E2"/>
    <w:rsid w:val="0026279E"/>
    <w:rsid w:val="00262D0E"/>
    <w:rsid w:val="00263BD5"/>
    <w:rsid w:val="00263BE5"/>
    <w:rsid w:val="00263D0E"/>
    <w:rsid w:val="00263E21"/>
    <w:rsid w:val="00264016"/>
    <w:rsid w:val="0026413B"/>
    <w:rsid w:val="0026417A"/>
    <w:rsid w:val="0026429F"/>
    <w:rsid w:val="0026454E"/>
    <w:rsid w:val="0026456A"/>
    <w:rsid w:val="002645A2"/>
    <w:rsid w:val="002645BD"/>
    <w:rsid w:val="002645CF"/>
    <w:rsid w:val="00264641"/>
    <w:rsid w:val="00264E96"/>
    <w:rsid w:val="00264EBD"/>
    <w:rsid w:val="00264F41"/>
    <w:rsid w:val="00264FB0"/>
    <w:rsid w:val="0026510D"/>
    <w:rsid w:val="002651EC"/>
    <w:rsid w:val="00265274"/>
    <w:rsid w:val="00265443"/>
    <w:rsid w:val="00265832"/>
    <w:rsid w:val="002659E0"/>
    <w:rsid w:val="0026605D"/>
    <w:rsid w:val="002661A6"/>
    <w:rsid w:val="00266244"/>
    <w:rsid w:val="0026643D"/>
    <w:rsid w:val="00266A66"/>
    <w:rsid w:val="00266A9C"/>
    <w:rsid w:val="00266C11"/>
    <w:rsid w:val="00266C35"/>
    <w:rsid w:val="00266D25"/>
    <w:rsid w:val="00266D98"/>
    <w:rsid w:val="00266DA0"/>
    <w:rsid w:val="00266E1F"/>
    <w:rsid w:val="00266F76"/>
    <w:rsid w:val="0026753A"/>
    <w:rsid w:val="002677ED"/>
    <w:rsid w:val="00267833"/>
    <w:rsid w:val="00267983"/>
    <w:rsid w:val="00267CE8"/>
    <w:rsid w:val="00267D92"/>
    <w:rsid w:val="00267E6A"/>
    <w:rsid w:val="00267F8A"/>
    <w:rsid w:val="00270574"/>
    <w:rsid w:val="00270859"/>
    <w:rsid w:val="00270895"/>
    <w:rsid w:val="00270CDB"/>
    <w:rsid w:val="00270D4F"/>
    <w:rsid w:val="00270EB7"/>
    <w:rsid w:val="00271340"/>
    <w:rsid w:val="002714D1"/>
    <w:rsid w:val="00271506"/>
    <w:rsid w:val="0027157D"/>
    <w:rsid w:val="002715F8"/>
    <w:rsid w:val="002717B7"/>
    <w:rsid w:val="002717FA"/>
    <w:rsid w:val="0027191E"/>
    <w:rsid w:val="002719C4"/>
    <w:rsid w:val="00271D6A"/>
    <w:rsid w:val="00271E27"/>
    <w:rsid w:val="00271F52"/>
    <w:rsid w:val="00272244"/>
    <w:rsid w:val="00272427"/>
    <w:rsid w:val="00272529"/>
    <w:rsid w:val="0027283C"/>
    <w:rsid w:val="00272A8F"/>
    <w:rsid w:val="00272B81"/>
    <w:rsid w:val="00272D67"/>
    <w:rsid w:val="00273136"/>
    <w:rsid w:val="0027330F"/>
    <w:rsid w:val="00273345"/>
    <w:rsid w:val="00273633"/>
    <w:rsid w:val="002736ED"/>
    <w:rsid w:val="00273785"/>
    <w:rsid w:val="00273F15"/>
    <w:rsid w:val="00273F43"/>
    <w:rsid w:val="00273F57"/>
    <w:rsid w:val="00274013"/>
    <w:rsid w:val="00274095"/>
    <w:rsid w:val="00274243"/>
    <w:rsid w:val="002742D2"/>
    <w:rsid w:val="00274884"/>
    <w:rsid w:val="00274895"/>
    <w:rsid w:val="00274D2A"/>
    <w:rsid w:val="00274FB3"/>
    <w:rsid w:val="002750CF"/>
    <w:rsid w:val="00275337"/>
    <w:rsid w:val="002753EF"/>
    <w:rsid w:val="002756D1"/>
    <w:rsid w:val="002758F2"/>
    <w:rsid w:val="00275A80"/>
    <w:rsid w:val="00275CB5"/>
    <w:rsid w:val="00275E92"/>
    <w:rsid w:val="00275FF0"/>
    <w:rsid w:val="00276473"/>
    <w:rsid w:val="002764A1"/>
    <w:rsid w:val="002766DB"/>
    <w:rsid w:val="00276830"/>
    <w:rsid w:val="0027695E"/>
    <w:rsid w:val="00276B32"/>
    <w:rsid w:val="00276BB9"/>
    <w:rsid w:val="002770C8"/>
    <w:rsid w:val="00277495"/>
    <w:rsid w:val="00277702"/>
    <w:rsid w:val="0027785E"/>
    <w:rsid w:val="00277AD3"/>
    <w:rsid w:val="00277ADE"/>
    <w:rsid w:val="00277BD9"/>
    <w:rsid w:val="00277C99"/>
    <w:rsid w:val="00277D25"/>
    <w:rsid w:val="00277E6D"/>
    <w:rsid w:val="00277F7C"/>
    <w:rsid w:val="002800B3"/>
    <w:rsid w:val="00280110"/>
    <w:rsid w:val="0028013B"/>
    <w:rsid w:val="00280260"/>
    <w:rsid w:val="00280289"/>
    <w:rsid w:val="002803C3"/>
    <w:rsid w:val="00280445"/>
    <w:rsid w:val="00280563"/>
    <w:rsid w:val="002805FC"/>
    <w:rsid w:val="00280624"/>
    <w:rsid w:val="002806CE"/>
    <w:rsid w:val="0028075C"/>
    <w:rsid w:val="002807E1"/>
    <w:rsid w:val="00280966"/>
    <w:rsid w:val="00280A33"/>
    <w:rsid w:val="00280ACC"/>
    <w:rsid w:val="00280DA0"/>
    <w:rsid w:val="00280E76"/>
    <w:rsid w:val="00280EC1"/>
    <w:rsid w:val="0028106F"/>
    <w:rsid w:val="00281124"/>
    <w:rsid w:val="00281664"/>
    <w:rsid w:val="002817D7"/>
    <w:rsid w:val="00281920"/>
    <w:rsid w:val="00281BB2"/>
    <w:rsid w:val="00281DB0"/>
    <w:rsid w:val="00281FF3"/>
    <w:rsid w:val="00282051"/>
    <w:rsid w:val="00282199"/>
    <w:rsid w:val="00282235"/>
    <w:rsid w:val="0028257F"/>
    <w:rsid w:val="00282602"/>
    <w:rsid w:val="002826A3"/>
    <w:rsid w:val="002828C2"/>
    <w:rsid w:val="00282937"/>
    <w:rsid w:val="00282943"/>
    <w:rsid w:val="00282960"/>
    <w:rsid w:val="00282A02"/>
    <w:rsid w:val="00282B10"/>
    <w:rsid w:val="00282D8E"/>
    <w:rsid w:val="002832C2"/>
    <w:rsid w:val="002833EE"/>
    <w:rsid w:val="002835CB"/>
    <w:rsid w:val="00283796"/>
    <w:rsid w:val="00283D51"/>
    <w:rsid w:val="0028409A"/>
    <w:rsid w:val="00284114"/>
    <w:rsid w:val="002842B2"/>
    <w:rsid w:val="0028434C"/>
    <w:rsid w:val="00284407"/>
    <w:rsid w:val="00284558"/>
    <w:rsid w:val="0028468A"/>
    <w:rsid w:val="002846BC"/>
    <w:rsid w:val="00284731"/>
    <w:rsid w:val="002847A0"/>
    <w:rsid w:val="002847A7"/>
    <w:rsid w:val="00284939"/>
    <w:rsid w:val="00284C36"/>
    <w:rsid w:val="00284F1F"/>
    <w:rsid w:val="00284F3D"/>
    <w:rsid w:val="00284F68"/>
    <w:rsid w:val="002851ED"/>
    <w:rsid w:val="002852A7"/>
    <w:rsid w:val="002852DD"/>
    <w:rsid w:val="00285468"/>
    <w:rsid w:val="00285560"/>
    <w:rsid w:val="002859DC"/>
    <w:rsid w:val="00285B0D"/>
    <w:rsid w:val="00285DD3"/>
    <w:rsid w:val="00285DF3"/>
    <w:rsid w:val="00285E27"/>
    <w:rsid w:val="00285F67"/>
    <w:rsid w:val="00286189"/>
    <w:rsid w:val="002863A0"/>
    <w:rsid w:val="00286B13"/>
    <w:rsid w:val="00286F36"/>
    <w:rsid w:val="00286F83"/>
    <w:rsid w:val="0028712A"/>
    <w:rsid w:val="00287299"/>
    <w:rsid w:val="002872EE"/>
    <w:rsid w:val="00287359"/>
    <w:rsid w:val="0028744A"/>
    <w:rsid w:val="0028745D"/>
    <w:rsid w:val="002874C7"/>
    <w:rsid w:val="002874FA"/>
    <w:rsid w:val="002876EC"/>
    <w:rsid w:val="002876FC"/>
    <w:rsid w:val="00287805"/>
    <w:rsid w:val="002878FE"/>
    <w:rsid w:val="002879D1"/>
    <w:rsid w:val="00287C61"/>
    <w:rsid w:val="00287C78"/>
    <w:rsid w:val="00287CAE"/>
    <w:rsid w:val="00287CBC"/>
    <w:rsid w:val="00287CD5"/>
    <w:rsid w:val="00287CE7"/>
    <w:rsid w:val="0029034E"/>
    <w:rsid w:val="00290590"/>
    <w:rsid w:val="002909A3"/>
    <w:rsid w:val="00290AAA"/>
    <w:rsid w:val="00290BAD"/>
    <w:rsid w:val="00290C4B"/>
    <w:rsid w:val="00290D75"/>
    <w:rsid w:val="00291421"/>
    <w:rsid w:val="00291511"/>
    <w:rsid w:val="0029189C"/>
    <w:rsid w:val="0029194E"/>
    <w:rsid w:val="00291BE0"/>
    <w:rsid w:val="00291C83"/>
    <w:rsid w:val="0029211F"/>
    <w:rsid w:val="002922A9"/>
    <w:rsid w:val="002925E6"/>
    <w:rsid w:val="00292668"/>
    <w:rsid w:val="002928FE"/>
    <w:rsid w:val="00292D26"/>
    <w:rsid w:val="00292DD7"/>
    <w:rsid w:val="00292E54"/>
    <w:rsid w:val="00292E7E"/>
    <w:rsid w:val="00292E98"/>
    <w:rsid w:val="00292E9D"/>
    <w:rsid w:val="00292F0E"/>
    <w:rsid w:val="002931B6"/>
    <w:rsid w:val="002932A1"/>
    <w:rsid w:val="0029345E"/>
    <w:rsid w:val="00293681"/>
    <w:rsid w:val="002938A2"/>
    <w:rsid w:val="002938A3"/>
    <w:rsid w:val="0029392F"/>
    <w:rsid w:val="0029396B"/>
    <w:rsid w:val="00293B01"/>
    <w:rsid w:val="00293D5F"/>
    <w:rsid w:val="0029406D"/>
    <w:rsid w:val="002941AE"/>
    <w:rsid w:val="002941BB"/>
    <w:rsid w:val="00294367"/>
    <w:rsid w:val="00294505"/>
    <w:rsid w:val="0029469F"/>
    <w:rsid w:val="00294833"/>
    <w:rsid w:val="0029487C"/>
    <w:rsid w:val="00294988"/>
    <w:rsid w:val="00294D12"/>
    <w:rsid w:val="00294E26"/>
    <w:rsid w:val="00294FEE"/>
    <w:rsid w:val="00295017"/>
    <w:rsid w:val="00295112"/>
    <w:rsid w:val="002952FA"/>
    <w:rsid w:val="00295373"/>
    <w:rsid w:val="002954A6"/>
    <w:rsid w:val="0029562A"/>
    <w:rsid w:val="00295682"/>
    <w:rsid w:val="002959B2"/>
    <w:rsid w:val="00295A6C"/>
    <w:rsid w:val="00295AD0"/>
    <w:rsid w:val="00295B03"/>
    <w:rsid w:val="00295C7E"/>
    <w:rsid w:val="0029600C"/>
    <w:rsid w:val="002968A3"/>
    <w:rsid w:val="002968BC"/>
    <w:rsid w:val="0029691D"/>
    <w:rsid w:val="00296A2C"/>
    <w:rsid w:val="00296DDB"/>
    <w:rsid w:val="002970F8"/>
    <w:rsid w:val="0029723E"/>
    <w:rsid w:val="00297365"/>
    <w:rsid w:val="00297441"/>
    <w:rsid w:val="00297661"/>
    <w:rsid w:val="002977C0"/>
    <w:rsid w:val="00297881"/>
    <w:rsid w:val="00297ACA"/>
    <w:rsid w:val="00297BB0"/>
    <w:rsid w:val="00297DCC"/>
    <w:rsid w:val="00297FB2"/>
    <w:rsid w:val="002A00A8"/>
    <w:rsid w:val="002A04AB"/>
    <w:rsid w:val="002A0553"/>
    <w:rsid w:val="002A06A1"/>
    <w:rsid w:val="002A06AB"/>
    <w:rsid w:val="002A08F8"/>
    <w:rsid w:val="002A0A3B"/>
    <w:rsid w:val="002A0B42"/>
    <w:rsid w:val="002A0B73"/>
    <w:rsid w:val="002A0FB7"/>
    <w:rsid w:val="002A0FE9"/>
    <w:rsid w:val="002A106F"/>
    <w:rsid w:val="002A123B"/>
    <w:rsid w:val="002A1407"/>
    <w:rsid w:val="002A158D"/>
    <w:rsid w:val="002A16A0"/>
    <w:rsid w:val="002A18FD"/>
    <w:rsid w:val="002A1A04"/>
    <w:rsid w:val="002A1AED"/>
    <w:rsid w:val="002A1B0E"/>
    <w:rsid w:val="002A1B21"/>
    <w:rsid w:val="002A1B63"/>
    <w:rsid w:val="002A1ECA"/>
    <w:rsid w:val="002A21D4"/>
    <w:rsid w:val="002A2272"/>
    <w:rsid w:val="002A230D"/>
    <w:rsid w:val="002A2630"/>
    <w:rsid w:val="002A26C5"/>
    <w:rsid w:val="002A2824"/>
    <w:rsid w:val="002A282E"/>
    <w:rsid w:val="002A2901"/>
    <w:rsid w:val="002A2923"/>
    <w:rsid w:val="002A2C62"/>
    <w:rsid w:val="002A2C77"/>
    <w:rsid w:val="002A33E0"/>
    <w:rsid w:val="002A358C"/>
    <w:rsid w:val="002A3AF2"/>
    <w:rsid w:val="002A3B96"/>
    <w:rsid w:val="002A3D74"/>
    <w:rsid w:val="002A3EA5"/>
    <w:rsid w:val="002A401C"/>
    <w:rsid w:val="002A4319"/>
    <w:rsid w:val="002A437C"/>
    <w:rsid w:val="002A4413"/>
    <w:rsid w:val="002A45F5"/>
    <w:rsid w:val="002A46C5"/>
    <w:rsid w:val="002A4842"/>
    <w:rsid w:val="002A4B3C"/>
    <w:rsid w:val="002A509E"/>
    <w:rsid w:val="002A5608"/>
    <w:rsid w:val="002A5646"/>
    <w:rsid w:val="002A5937"/>
    <w:rsid w:val="002A59AB"/>
    <w:rsid w:val="002A5B0C"/>
    <w:rsid w:val="002A5B7A"/>
    <w:rsid w:val="002A5C88"/>
    <w:rsid w:val="002A5CBC"/>
    <w:rsid w:val="002A5ED7"/>
    <w:rsid w:val="002A606D"/>
    <w:rsid w:val="002A62B7"/>
    <w:rsid w:val="002A641E"/>
    <w:rsid w:val="002A67C8"/>
    <w:rsid w:val="002A6908"/>
    <w:rsid w:val="002A6B7E"/>
    <w:rsid w:val="002A6BE6"/>
    <w:rsid w:val="002A6C60"/>
    <w:rsid w:val="002A6D05"/>
    <w:rsid w:val="002A6D09"/>
    <w:rsid w:val="002A728F"/>
    <w:rsid w:val="002A72DC"/>
    <w:rsid w:val="002A7413"/>
    <w:rsid w:val="002A7792"/>
    <w:rsid w:val="002A7912"/>
    <w:rsid w:val="002A7A78"/>
    <w:rsid w:val="002A7BC7"/>
    <w:rsid w:val="002A7C03"/>
    <w:rsid w:val="002A7EAD"/>
    <w:rsid w:val="002A7FD7"/>
    <w:rsid w:val="002B04B2"/>
    <w:rsid w:val="002B05F8"/>
    <w:rsid w:val="002B0860"/>
    <w:rsid w:val="002B095F"/>
    <w:rsid w:val="002B0984"/>
    <w:rsid w:val="002B0BB9"/>
    <w:rsid w:val="002B0F38"/>
    <w:rsid w:val="002B1117"/>
    <w:rsid w:val="002B1179"/>
    <w:rsid w:val="002B16EE"/>
    <w:rsid w:val="002B1AB1"/>
    <w:rsid w:val="002B1C9F"/>
    <w:rsid w:val="002B21C6"/>
    <w:rsid w:val="002B25BE"/>
    <w:rsid w:val="002B25D6"/>
    <w:rsid w:val="002B2938"/>
    <w:rsid w:val="002B2DA3"/>
    <w:rsid w:val="002B3439"/>
    <w:rsid w:val="002B3738"/>
    <w:rsid w:val="002B39C1"/>
    <w:rsid w:val="002B39D4"/>
    <w:rsid w:val="002B3FC1"/>
    <w:rsid w:val="002B41A9"/>
    <w:rsid w:val="002B42D1"/>
    <w:rsid w:val="002B4368"/>
    <w:rsid w:val="002B4432"/>
    <w:rsid w:val="002B44FE"/>
    <w:rsid w:val="002B45B7"/>
    <w:rsid w:val="002B4636"/>
    <w:rsid w:val="002B4638"/>
    <w:rsid w:val="002B4C3D"/>
    <w:rsid w:val="002B4DB5"/>
    <w:rsid w:val="002B4F4E"/>
    <w:rsid w:val="002B4F87"/>
    <w:rsid w:val="002B4FEF"/>
    <w:rsid w:val="002B51BF"/>
    <w:rsid w:val="002B54E3"/>
    <w:rsid w:val="002B5574"/>
    <w:rsid w:val="002B5885"/>
    <w:rsid w:val="002B5DB8"/>
    <w:rsid w:val="002B5DED"/>
    <w:rsid w:val="002B5E39"/>
    <w:rsid w:val="002B5F28"/>
    <w:rsid w:val="002B606F"/>
    <w:rsid w:val="002B6097"/>
    <w:rsid w:val="002B60BD"/>
    <w:rsid w:val="002B60D8"/>
    <w:rsid w:val="002B6118"/>
    <w:rsid w:val="002B61A6"/>
    <w:rsid w:val="002B61E8"/>
    <w:rsid w:val="002B6261"/>
    <w:rsid w:val="002B6447"/>
    <w:rsid w:val="002B6522"/>
    <w:rsid w:val="002B678F"/>
    <w:rsid w:val="002B6A94"/>
    <w:rsid w:val="002B6C9D"/>
    <w:rsid w:val="002B6CA9"/>
    <w:rsid w:val="002B6D88"/>
    <w:rsid w:val="002B6FEC"/>
    <w:rsid w:val="002B7036"/>
    <w:rsid w:val="002B72B7"/>
    <w:rsid w:val="002B7316"/>
    <w:rsid w:val="002B7352"/>
    <w:rsid w:val="002B74A4"/>
    <w:rsid w:val="002B762C"/>
    <w:rsid w:val="002B76A1"/>
    <w:rsid w:val="002B778A"/>
    <w:rsid w:val="002B77AA"/>
    <w:rsid w:val="002C002E"/>
    <w:rsid w:val="002C0090"/>
    <w:rsid w:val="002C00BD"/>
    <w:rsid w:val="002C015E"/>
    <w:rsid w:val="002C039E"/>
    <w:rsid w:val="002C03E5"/>
    <w:rsid w:val="002C069C"/>
    <w:rsid w:val="002C07B6"/>
    <w:rsid w:val="002C08D9"/>
    <w:rsid w:val="002C08F2"/>
    <w:rsid w:val="002C0A07"/>
    <w:rsid w:val="002C0B83"/>
    <w:rsid w:val="002C108F"/>
    <w:rsid w:val="002C1245"/>
    <w:rsid w:val="002C1469"/>
    <w:rsid w:val="002C155D"/>
    <w:rsid w:val="002C15CA"/>
    <w:rsid w:val="002C16F9"/>
    <w:rsid w:val="002C1AE3"/>
    <w:rsid w:val="002C2037"/>
    <w:rsid w:val="002C22F7"/>
    <w:rsid w:val="002C2320"/>
    <w:rsid w:val="002C23ED"/>
    <w:rsid w:val="002C271C"/>
    <w:rsid w:val="002C29C7"/>
    <w:rsid w:val="002C29CA"/>
    <w:rsid w:val="002C2BCB"/>
    <w:rsid w:val="002C2BEE"/>
    <w:rsid w:val="002C348D"/>
    <w:rsid w:val="002C388F"/>
    <w:rsid w:val="002C3A4D"/>
    <w:rsid w:val="002C3B8B"/>
    <w:rsid w:val="002C3BCC"/>
    <w:rsid w:val="002C3BF2"/>
    <w:rsid w:val="002C3D6D"/>
    <w:rsid w:val="002C414C"/>
    <w:rsid w:val="002C42F8"/>
    <w:rsid w:val="002C43F4"/>
    <w:rsid w:val="002C44D1"/>
    <w:rsid w:val="002C46A3"/>
    <w:rsid w:val="002C46A6"/>
    <w:rsid w:val="002C48EB"/>
    <w:rsid w:val="002C4B13"/>
    <w:rsid w:val="002C4BE5"/>
    <w:rsid w:val="002C4EF7"/>
    <w:rsid w:val="002C51CB"/>
    <w:rsid w:val="002C5215"/>
    <w:rsid w:val="002C5494"/>
    <w:rsid w:val="002C54D7"/>
    <w:rsid w:val="002C54F5"/>
    <w:rsid w:val="002C55E8"/>
    <w:rsid w:val="002C55ED"/>
    <w:rsid w:val="002C58AB"/>
    <w:rsid w:val="002C5982"/>
    <w:rsid w:val="002C5AA5"/>
    <w:rsid w:val="002C5CD0"/>
    <w:rsid w:val="002C60B6"/>
    <w:rsid w:val="002C60DF"/>
    <w:rsid w:val="002C61D2"/>
    <w:rsid w:val="002C63E8"/>
    <w:rsid w:val="002C6424"/>
    <w:rsid w:val="002C646B"/>
    <w:rsid w:val="002C6567"/>
    <w:rsid w:val="002C65AA"/>
    <w:rsid w:val="002C671A"/>
    <w:rsid w:val="002C6774"/>
    <w:rsid w:val="002C6D93"/>
    <w:rsid w:val="002C6EEA"/>
    <w:rsid w:val="002C6F88"/>
    <w:rsid w:val="002C715B"/>
    <w:rsid w:val="002C770A"/>
    <w:rsid w:val="002C786C"/>
    <w:rsid w:val="002C7ABF"/>
    <w:rsid w:val="002C7BDA"/>
    <w:rsid w:val="002C7C53"/>
    <w:rsid w:val="002C7D16"/>
    <w:rsid w:val="002D0124"/>
    <w:rsid w:val="002D02EF"/>
    <w:rsid w:val="002D0343"/>
    <w:rsid w:val="002D0596"/>
    <w:rsid w:val="002D07EF"/>
    <w:rsid w:val="002D08FB"/>
    <w:rsid w:val="002D0978"/>
    <w:rsid w:val="002D0E28"/>
    <w:rsid w:val="002D1026"/>
    <w:rsid w:val="002D1202"/>
    <w:rsid w:val="002D1279"/>
    <w:rsid w:val="002D14BA"/>
    <w:rsid w:val="002D1536"/>
    <w:rsid w:val="002D19AD"/>
    <w:rsid w:val="002D1B21"/>
    <w:rsid w:val="002D1BB0"/>
    <w:rsid w:val="002D1C12"/>
    <w:rsid w:val="002D1DC6"/>
    <w:rsid w:val="002D1FB3"/>
    <w:rsid w:val="002D207A"/>
    <w:rsid w:val="002D255D"/>
    <w:rsid w:val="002D2602"/>
    <w:rsid w:val="002D292F"/>
    <w:rsid w:val="002D29A9"/>
    <w:rsid w:val="002D2BAA"/>
    <w:rsid w:val="002D2BBE"/>
    <w:rsid w:val="002D2D2B"/>
    <w:rsid w:val="002D2DC7"/>
    <w:rsid w:val="002D2E88"/>
    <w:rsid w:val="002D2EB9"/>
    <w:rsid w:val="002D2F67"/>
    <w:rsid w:val="002D2FE8"/>
    <w:rsid w:val="002D3044"/>
    <w:rsid w:val="002D360F"/>
    <w:rsid w:val="002D367D"/>
    <w:rsid w:val="002D3D9C"/>
    <w:rsid w:val="002D420C"/>
    <w:rsid w:val="002D432A"/>
    <w:rsid w:val="002D434C"/>
    <w:rsid w:val="002D4647"/>
    <w:rsid w:val="002D46F3"/>
    <w:rsid w:val="002D4B3B"/>
    <w:rsid w:val="002D4CA7"/>
    <w:rsid w:val="002D4E0F"/>
    <w:rsid w:val="002D4F05"/>
    <w:rsid w:val="002D5003"/>
    <w:rsid w:val="002D510C"/>
    <w:rsid w:val="002D51D2"/>
    <w:rsid w:val="002D5272"/>
    <w:rsid w:val="002D5376"/>
    <w:rsid w:val="002D5566"/>
    <w:rsid w:val="002D5580"/>
    <w:rsid w:val="002D5674"/>
    <w:rsid w:val="002D5698"/>
    <w:rsid w:val="002D56C6"/>
    <w:rsid w:val="002D56CB"/>
    <w:rsid w:val="002D588D"/>
    <w:rsid w:val="002D598E"/>
    <w:rsid w:val="002D5AB3"/>
    <w:rsid w:val="002D5C67"/>
    <w:rsid w:val="002D5E50"/>
    <w:rsid w:val="002D60DA"/>
    <w:rsid w:val="002D639C"/>
    <w:rsid w:val="002D63DD"/>
    <w:rsid w:val="002D695E"/>
    <w:rsid w:val="002D6B5A"/>
    <w:rsid w:val="002D6E2F"/>
    <w:rsid w:val="002D73BF"/>
    <w:rsid w:val="002D78BF"/>
    <w:rsid w:val="002D7A2A"/>
    <w:rsid w:val="002D7D75"/>
    <w:rsid w:val="002D7E7A"/>
    <w:rsid w:val="002D7F1E"/>
    <w:rsid w:val="002D7FAD"/>
    <w:rsid w:val="002E0102"/>
    <w:rsid w:val="002E015C"/>
    <w:rsid w:val="002E02CC"/>
    <w:rsid w:val="002E04BF"/>
    <w:rsid w:val="002E04E4"/>
    <w:rsid w:val="002E05D5"/>
    <w:rsid w:val="002E06A0"/>
    <w:rsid w:val="002E079D"/>
    <w:rsid w:val="002E0954"/>
    <w:rsid w:val="002E0A0F"/>
    <w:rsid w:val="002E0A7E"/>
    <w:rsid w:val="002E0ACD"/>
    <w:rsid w:val="002E0DAD"/>
    <w:rsid w:val="002E112E"/>
    <w:rsid w:val="002E12AB"/>
    <w:rsid w:val="002E12DD"/>
    <w:rsid w:val="002E1981"/>
    <w:rsid w:val="002E1A62"/>
    <w:rsid w:val="002E1B1E"/>
    <w:rsid w:val="002E1CB9"/>
    <w:rsid w:val="002E1D0C"/>
    <w:rsid w:val="002E2520"/>
    <w:rsid w:val="002E257D"/>
    <w:rsid w:val="002E2615"/>
    <w:rsid w:val="002E2626"/>
    <w:rsid w:val="002E268B"/>
    <w:rsid w:val="002E277D"/>
    <w:rsid w:val="002E29D2"/>
    <w:rsid w:val="002E2ECD"/>
    <w:rsid w:val="002E2EE2"/>
    <w:rsid w:val="002E309B"/>
    <w:rsid w:val="002E3222"/>
    <w:rsid w:val="002E3311"/>
    <w:rsid w:val="002E34EA"/>
    <w:rsid w:val="002E35B2"/>
    <w:rsid w:val="002E372E"/>
    <w:rsid w:val="002E3AC8"/>
    <w:rsid w:val="002E3BB3"/>
    <w:rsid w:val="002E3E91"/>
    <w:rsid w:val="002E3EA3"/>
    <w:rsid w:val="002E40B5"/>
    <w:rsid w:val="002E421E"/>
    <w:rsid w:val="002E43F0"/>
    <w:rsid w:val="002E4440"/>
    <w:rsid w:val="002E4828"/>
    <w:rsid w:val="002E4A3B"/>
    <w:rsid w:val="002E53D5"/>
    <w:rsid w:val="002E5981"/>
    <w:rsid w:val="002E5A1A"/>
    <w:rsid w:val="002E6044"/>
    <w:rsid w:val="002E620F"/>
    <w:rsid w:val="002E62DD"/>
    <w:rsid w:val="002E64FB"/>
    <w:rsid w:val="002E6844"/>
    <w:rsid w:val="002E68A3"/>
    <w:rsid w:val="002E6ACD"/>
    <w:rsid w:val="002E6B6A"/>
    <w:rsid w:val="002E6C27"/>
    <w:rsid w:val="002E6C73"/>
    <w:rsid w:val="002E6E2F"/>
    <w:rsid w:val="002E6EB7"/>
    <w:rsid w:val="002E6EE3"/>
    <w:rsid w:val="002E7258"/>
    <w:rsid w:val="002E7259"/>
    <w:rsid w:val="002E740A"/>
    <w:rsid w:val="002E76CF"/>
    <w:rsid w:val="002E7736"/>
    <w:rsid w:val="002E77D6"/>
    <w:rsid w:val="002E7C82"/>
    <w:rsid w:val="002E7CE3"/>
    <w:rsid w:val="002E7D2D"/>
    <w:rsid w:val="002F017D"/>
    <w:rsid w:val="002F02E6"/>
    <w:rsid w:val="002F0331"/>
    <w:rsid w:val="002F047B"/>
    <w:rsid w:val="002F04B3"/>
    <w:rsid w:val="002F06DF"/>
    <w:rsid w:val="002F074D"/>
    <w:rsid w:val="002F088E"/>
    <w:rsid w:val="002F0BC9"/>
    <w:rsid w:val="002F0D83"/>
    <w:rsid w:val="002F0EA3"/>
    <w:rsid w:val="002F10D6"/>
    <w:rsid w:val="002F1849"/>
    <w:rsid w:val="002F1A8A"/>
    <w:rsid w:val="002F1AD6"/>
    <w:rsid w:val="002F1BCF"/>
    <w:rsid w:val="002F1D21"/>
    <w:rsid w:val="002F1D84"/>
    <w:rsid w:val="002F1DF4"/>
    <w:rsid w:val="002F1E94"/>
    <w:rsid w:val="002F1F8C"/>
    <w:rsid w:val="002F219D"/>
    <w:rsid w:val="002F2260"/>
    <w:rsid w:val="002F23C1"/>
    <w:rsid w:val="002F2575"/>
    <w:rsid w:val="002F293B"/>
    <w:rsid w:val="002F29AA"/>
    <w:rsid w:val="002F2A0C"/>
    <w:rsid w:val="002F2B87"/>
    <w:rsid w:val="002F2CD7"/>
    <w:rsid w:val="002F2E35"/>
    <w:rsid w:val="002F2E6E"/>
    <w:rsid w:val="002F2F5F"/>
    <w:rsid w:val="002F2F61"/>
    <w:rsid w:val="002F2F82"/>
    <w:rsid w:val="002F3081"/>
    <w:rsid w:val="002F311C"/>
    <w:rsid w:val="002F3185"/>
    <w:rsid w:val="002F3198"/>
    <w:rsid w:val="002F328C"/>
    <w:rsid w:val="002F3810"/>
    <w:rsid w:val="002F3828"/>
    <w:rsid w:val="002F3969"/>
    <w:rsid w:val="002F3BE0"/>
    <w:rsid w:val="002F3F07"/>
    <w:rsid w:val="002F3FAF"/>
    <w:rsid w:val="002F4054"/>
    <w:rsid w:val="002F4058"/>
    <w:rsid w:val="002F40F5"/>
    <w:rsid w:val="002F40FB"/>
    <w:rsid w:val="002F4171"/>
    <w:rsid w:val="002F4188"/>
    <w:rsid w:val="002F41BB"/>
    <w:rsid w:val="002F43FA"/>
    <w:rsid w:val="002F44FA"/>
    <w:rsid w:val="002F45ED"/>
    <w:rsid w:val="002F47A5"/>
    <w:rsid w:val="002F4A3E"/>
    <w:rsid w:val="002F4AC6"/>
    <w:rsid w:val="002F4B84"/>
    <w:rsid w:val="002F4BCE"/>
    <w:rsid w:val="002F4D00"/>
    <w:rsid w:val="002F4DCE"/>
    <w:rsid w:val="002F5050"/>
    <w:rsid w:val="002F567C"/>
    <w:rsid w:val="002F5836"/>
    <w:rsid w:val="002F58D9"/>
    <w:rsid w:val="002F5A3D"/>
    <w:rsid w:val="002F5F27"/>
    <w:rsid w:val="002F6468"/>
    <w:rsid w:val="002F695A"/>
    <w:rsid w:val="002F6E3F"/>
    <w:rsid w:val="002F707F"/>
    <w:rsid w:val="002F7163"/>
    <w:rsid w:val="002F7171"/>
    <w:rsid w:val="002F73BD"/>
    <w:rsid w:val="002F73F5"/>
    <w:rsid w:val="002F766B"/>
    <w:rsid w:val="002F77AB"/>
    <w:rsid w:val="002F79E1"/>
    <w:rsid w:val="002F7A7F"/>
    <w:rsid w:val="002F7B17"/>
    <w:rsid w:val="002F7BA0"/>
    <w:rsid w:val="002F7E5A"/>
    <w:rsid w:val="00300091"/>
    <w:rsid w:val="003000F1"/>
    <w:rsid w:val="003001E3"/>
    <w:rsid w:val="0030022A"/>
    <w:rsid w:val="0030066C"/>
    <w:rsid w:val="003006B2"/>
    <w:rsid w:val="003006CC"/>
    <w:rsid w:val="0030087F"/>
    <w:rsid w:val="00300BD5"/>
    <w:rsid w:val="00300C22"/>
    <w:rsid w:val="00300E6F"/>
    <w:rsid w:val="0030101C"/>
    <w:rsid w:val="003013AD"/>
    <w:rsid w:val="003013B5"/>
    <w:rsid w:val="003013C0"/>
    <w:rsid w:val="0030187B"/>
    <w:rsid w:val="003018F5"/>
    <w:rsid w:val="003019B0"/>
    <w:rsid w:val="003019EA"/>
    <w:rsid w:val="00301A1C"/>
    <w:rsid w:val="00301B54"/>
    <w:rsid w:val="00301BD3"/>
    <w:rsid w:val="00301D97"/>
    <w:rsid w:val="00301F2C"/>
    <w:rsid w:val="00301F38"/>
    <w:rsid w:val="00302105"/>
    <w:rsid w:val="00302337"/>
    <w:rsid w:val="00302544"/>
    <w:rsid w:val="00302709"/>
    <w:rsid w:val="00302776"/>
    <w:rsid w:val="00302B2B"/>
    <w:rsid w:val="00302B30"/>
    <w:rsid w:val="00302DC8"/>
    <w:rsid w:val="00302E09"/>
    <w:rsid w:val="00302E13"/>
    <w:rsid w:val="00302FA7"/>
    <w:rsid w:val="00303064"/>
    <w:rsid w:val="003032E8"/>
    <w:rsid w:val="003032FF"/>
    <w:rsid w:val="00303894"/>
    <w:rsid w:val="00303939"/>
    <w:rsid w:val="00303C6B"/>
    <w:rsid w:val="00303C72"/>
    <w:rsid w:val="003040AB"/>
    <w:rsid w:val="00304165"/>
    <w:rsid w:val="003044DE"/>
    <w:rsid w:val="00304571"/>
    <w:rsid w:val="00304655"/>
    <w:rsid w:val="0030466E"/>
    <w:rsid w:val="003046BD"/>
    <w:rsid w:val="003046C8"/>
    <w:rsid w:val="0030475D"/>
    <w:rsid w:val="0030484C"/>
    <w:rsid w:val="00304B99"/>
    <w:rsid w:val="00304E01"/>
    <w:rsid w:val="00304E8C"/>
    <w:rsid w:val="00304FA5"/>
    <w:rsid w:val="00304FB0"/>
    <w:rsid w:val="00305105"/>
    <w:rsid w:val="00305379"/>
    <w:rsid w:val="00305441"/>
    <w:rsid w:val="003056BD"/>
    <w:rsid w:val="003056D1"/>
    <w:rsid w:val="00305771"/>
    <w:rsid w:val="003057C2"/>
    <w:rsid w:val="00305CEC"/>
    <w:rsid w:val="00305FB0"/>
    <w:rsid w:val="0030659B"/>
    <w:rsid w:val="00306760"/>
    <w:rsid w:val="00306851"/>
    <w:rsid w:val="0030688A"/>
    <w:rsid w:val="00306926"/>
    <w:rsid w:val="00306B18"/>
    <w:rsid w:val="00306C55"/>
    <w:rsid w:val="00306E93"/>
    <w:rsid w:val="003070C8"/>
    <w:rsid w:val="00307847"/>
    <w:rsid w:val="00307B81"/>
    <w:rsid w:val="00307E1A"/>
    <w:rsid w:val="00307F52"/>
    <w:rsid w:val="00307FFE"/>
    <w:rsid w:val="003100A7"/>
    <w:rsid w:val="0031012B"/>
    <w:rsid w:val="003103DB"/>
    <w:rsid w:val="0031044C"/>
    <w:rsid w:val="00310507"/>
    <w:rsid w:val="003106F2"/>
    <w:rsid w:val="0031073E"/>
    <w:rsid w:val="00310A05"/>
    <w:rsid w:val="00310A7E"/>
    <w:rsid w:val="00310D3E"/>
    <w:rsid w:val="00310D9D"/>
    <w:rsid w:val="00310DA5"/>
    <w:rsid w:val="00310E5F"/>
    <w:rsid w:val="00310F42"/>
    <w:rsid w:val="003110E1"/>
    <w:rsid w:val="00311284"/>
    <w:rsid w:val="00311B7A"/>
    <w:rsid w:val="00311BD1"/>
    <w:rsid w:val="00311C81"/>
    <w:rsid w:val="00311E2E"/>
    <w:rsid w:val="00311EE6"/>
    <w:rsid w:val="00311F8E"/>
    <w:rsid w:val="00311F92"/>
    <w:rsid w:val="00312027"/>
    <w:rsid w:val="003122C2"/>
    <w:rsid w:val="00312332"/>
    <w:rsid w:val="003125CE"/>
    <w:rsid w:val="00312890"/>
    <w:rsid w:val="00312D70"/>
    <w:rsid w:val="00313105"/>
    <w:rsid w:val="0031313C"/>
    <w:rsid w:val="003133EF"/>
    <w:rsid w:val="0031340F"/>
    <w:rsid w:val="00313798"/>
    <w:rsid w:val="003139C7"/>
    <w:rsid w:val="00313C97"/>
    <w:rsid w:val="00314367"/>
    <w:rsid w:val="003147CE"/>
    <w:rsid w:val="00314812"/>
    <w:rsid w:val="00314C89"/>
    <w:rsid w:val="00314D2E"/>
    <w:rsid w:val="00314D87"/>
    <w:rsid w:val="00315265"/>
    <w:rsid w:val="003152F5"/>
    <w:rsid w:val="0031564C"/>
    <w:rsid w:val="00315690"/>
    <w:rsid w:val="00315888"/>
    <w:rsid w:val="00315CA0"/>
    <w:rsid w:val="00315FD0"/>
    <w:rsid w:val="00316410"/>
    <w:rsid w:val="00316495"/>
    <w:rsid w:val="00316794"/>
    <w:rsid w:val="00316A3E"/>
    <w:rsid w:val="00316CA3"/>
    <w:rsid w:val="00316D53"/>
    <w:rsid w:val="00316FAD"/>
    <w:rsid w:val="00316FE9"/>
    <w:rsid w:val="00317266"/>
    <w:rsid w:val="003172F1"/>
    <w:rsid w:val="00317635"/>
    <w:rsid w:val="00317D90"/>
    <w:rsid w:val="00317EA9"/>
    <w:rsid w:val="003201D7"/>
    <w:rsid w:val="003203F4"/>
    <w:rsid w:val="0032092E"/>
    <w:rsid w:val="00320954"/>
    <w:rsid w:val="00320A7A"/>
    <w:rsid w:val="00320A83"/>
    <w:rsid w:val="00320F76"/>
    <w:rsid w:val="00320FB3"/>
    <w:rsid w:val="00320FCF"/>
    <w:rsid w:val="0032183C"/>
    <w:rsid w:val="00321963"/>
    <w:rsid w:val="00321AA2"/>
    <w:rsid w:val="00321ACA"/>
    <w:rsid w:val="00322237"/>
    <w:rsid w:val="00322297"/>
    <w:rsid w:val="003222CA"/>
    <w:rsid w:val="0032279B"/>
    <w:rsid w:val="00322952"/>
    <w:rsid w:val="00322964"/>
    <w:rsid w:val="003229F8"/>
    <w:rsid w:val="00322AF2"/>
    <w:rsid w:val="00322B34"/>
    <w:rsid w:val="00322D8E"/>
    <w:rsid w:val="00322EAF"/>
    <w:rsid w:val="00322FB1"/>
    <w:rsid w:val="00322FEF"/>
    <w:rsid w:val="00323067"/>
    <w:rsid w:val="0032308D"/>
    <w:rsid w:val="003232F4"/>
    <w:rsid w:val="00323499"/>
    <w:rsid w:val="00323761"/>
    <w:rsid w:val="003237C0"/>
    <w:rsid w:val="0032386E"/>
    <w:rsid w:val="003239CD"/>
    <w:rsid w:val="00323B96"/>
    <w:rsid w:val="00323BB9"/>
    <w:rsid w:val="00324445"/>
    <w:rsid w:val="0032452F"/>
    <w:rsid w:val="00324642"/>
    <w:rsid w:val="00324839"/>
    <w:rsid w:val="00324D0C"/>
    <w:rsid w:val="00324EC6"/>
    <w:rsid w:val="00325436"/>
    <w:rsid w:val="0032579D"/>
    <w:rsid w:val="0032584C"/>
    <w:rsid w:val="00325A01"/>
    <w:rsid w:val="00325CDA"/>
    <w:rsid w:val="00325D8D"/>
    <w:rsid w:val="00325DF0"/>
    <w:rsid w:val="00325EC6"/>
    <w:rsid w:val="003260A5"/>
    <w:rsid w:val="00326147"/>
    <w:rsid w:val="00326236"/>
    <w:rsid w:val="0032629E"/>
    <w:rsid w:val="0032668D"/>
    <w:rsid w:val="00326719"/>
    <w:rsid w:val="00326779"/>
    <w:rsid w:val="00326784"/>
    <w:rsid w:val="00326788"/>
    <w:rsid w:val="00326A5E"/>
    <w:rsid w:val="00326E05"/>
    <w:rsid w:val="00326E64"/>
    <w:rsid w:val="0032712C"/>
    <w:rsid w:val="00327240"/>
    <w:rsid w:val="00327490"/>
    <w:rsid w:val="00327494"/>
    <w:rsid w:val="0032752A"/>
    <w:rsid w:val="00327F93"/>
    <w:rsid w:val="003302C0"/>
    <w:rsid w:val="00330303"/>
    <w:rsid w:val="003304DB"/>
    <w:rsid w:val="003305F0"/>
    <w:rsid w:val="00330657"/>
    <w:rsid w:val="00330A52"/>
    <w:rsid w:val="00330C1B"/>
    <w:rsid w:val="00330C2D"/>
    <w:rsid w:val="00330C99"/>
    <w:rsid w:val="00330CBC"/>
    <w:rsid w:val="003314A1"/>
    <w:rsid w:val="003316A4"/>
    <w:rsid w:val="003316B4"/>
    <w:rsid w:val="00331C12"/>
    <w:rsid w:val="00331C5D"/>
    <w:rsid w:val="00331F72"/>
    <w:rsid w:val="003320B1"/>
    <w:rsid w:val="003325D3"/>
    <w:rsid w:val="00332794"/>
    <w:rsid w:val="00332B96"/>
    <w:rsid w:val="00332E8F"/>
    <w:rsid w:val="00332FB5"/>
    <w:rsid w:val="0033304E"/>
    <w:rsid w:val="00333302"/>
    <w:rsid w:val="003336F4"/>
    <w:rsid w:val="00333753"/>
    <w:rsid w:val="003338A7"/>
    <w:rsid w:val="003339BB"/>
    <w:rsid w:val="003339F3"/>
    <w:rsid w:val="00333ADA"/>
    <w:rsid w:val="00333ED4"/>
    <w:rsid w:val="00334274"/>
    <w:rsid w:val="00334390"/>
    <w:rsid w:val="003345D9"/>
    <w:rsid w:val="00334739"/>
    <w:rsid w:val="00334DED"/>
    <w:rsid w:val="00334F3B"/>
    <w:rsid w:val="003352EE"/>
    <w:rsid w:val="00335306"/>
    <w:rsid w:val="0033530D"/>
    <w:rsid w:val="003356A7"/>
    <w:rsid w:val="0033581C"/>
    <w:rsid w:val="00335935"/>
    <w:rsid w:val="0033610C"/>
    <w:rsid w:val="00336313"/>
    <w:rsid w:val="00336338"/>
    <w:rsid w:val="003364F5"/>
    <w:rsid w:val="003365A9"/>
    <w:rsid w:val="003367D7"/>
    <w:rsid w:val="00336A29"/>
    <w:rsid w:val="00336D10"/>
    <w:rsid w:val="0033704E"/>
    <w:rsid w:val="003370A4"/>
    <w:rsid w:val="00337305"/>
    <w:rsid w:val="0033750E"/>
    <w:rsid w:val="003377D3"/>
    <w:rsid w:val="00337802"/>
    <w:rsid w:val="003379A5"/>
    <w:rsid w:val="00337A74"/>
    <w:rsid w:val="00337C59"/>
    <w:rsid w:val="00337E91"/>
    <w:rsid w:val="00337FDA"/>
    <w:rsid w:val="00337FE5"/>
    <w:rsid w:val="00340360"/>
    <w:rsid w:val="003405EC"/>
    <w:rsid w:val="003408D9"/>
    <w:rsid w:val="00340B74"/>
    <w:rsid w:val="00340DD4"/>
    <w:rsid w:val="003410E1"/>
    <w:rsid w:val="0034110D"/>
    <w:rsid w:val="00341129"/>
    <w:rsid w:val="00341168"/>
    <w:rsid w:val="00341332"/>
    <w:rsid w:val="00341417"/>
    <w:rsid w:val="00341456"/>
    <w:rsid w:val="00341509"/>
    <w:rsid w:val="00341545"/>
    <w:rsid w:val="0034154A"/>
    <w:rsid w:val="0034162D"/>
    <w:rsid w:val="00341CC9"/>
    <w:rsid w:val="00341E9A"/>
    <w:rsid w:val="003420A6"/>
    <w:rsid w:val="003420D0"/>
    <w:rsid w:val="003420D6"/>
    <w:rsid w:val="00342303"/>
    <w:rsid w:val="00342482"/>
    <w:rsid w:val="00342591"/>
    <w:rsid w:val="0034266D"/>
    <w:rsid w:val="003426D6"/>
    <w:rsid w:val="00342818"/>
    <w:rsid w:val="0034282B"/>
    <w:rsid w:val="00342860"/>
    <w:rsid w:val="003429E2"/>
    <w:rsid w:val="00342A8B"/>
    <w:rsid w:val="00342CD1"/>
    <w:rsid w:val="00342D4F"/>
    <w:rsid w:val="00342E66"/>
    <w:rsid w:val="00342F4B"/>
    <w:rsid w:val="0034327F"/>
    <w:rsid w:val="00343383"/>
    <w:rsid w:val="003433BA"/>
    <w:rsid w:val="00343709"/>
    <w:rsid w:val="003437A6"/>
    <w:rsid w:val="00343839"/>
    <w:rsid w:val="00343973"/>
    <w:rsid w:val="0034397C"/>
    <w:rsid w:val="00343A3C"/>
    <w:rsid w:val="00343AD0"/>
    <w:rsid w:val="00343C3F"/>
    <w:rsid w:val="00343E37"/>
    <w:rsid w:val="003441BE"/>
    <w:rsid w:val="00344A42"/>
    <w:rsid w:val="00344DDB"/>
    <w:rsid w:val="003450A0"/>
    <w:rsid w:val="003453D1"/>
    <w:rsid w:val="00345488"/>
    <w:rsid w:val="0034572B"/>
    <w:rsid w:val="003458BF"/>
    <w:rsid w:val="00345A0A"/>
    <w:rsid w:val="00345A39"/>
    <w:rsid w:val="00345F42"/>
    <w:rsid w:val="00345FB6"/>
    <w:rsid w:val="00346288"/>
    <w:rsid w:val="003463D0"/>
    <w:rsid w:val="003466FF"/>
    <w:rsid w:val="00346A8E"/>
    <w:rsid w:val="00346B24"/>
    <w:rsid w:val="00346B96"/>
    <w:rsid w:val="00346C48"/>
    <w:rsid w:val="00346C9F"/>
    <w:rsid w:val="00346D16"/>
    <w:rsid w:val="00346FC5"/>
    <w:rsid w:val="00347174"/>
    <w:rsid w:val="00347380"/>
    <w:rsid w:val="003473C8"/>
    <w:rsid w:val="00347436"/>
    <w:rsid w:val="00347580"/>
    <w:rsid w:val="00347824"/>
    <w:rsid w:val="00347A3B"/>
    <w:rsid w:val="00347B4A"/>
    <w:rsid w:val="00347C18"/>
    <w:rsid w:val="00347CE6"/>
    <w:rsid w:val="00347D63"/>
    <w:rsid w:val="00347EA4"/>
    <w:rsid w:val="0035073E"/>
    <w:rsid w:val="00350A74"/>
    <w:rsid w:val="0035100E"/>
    <w:rsid w:val="00351011"/>
    <w:rsid w:val="00351018"/>
    <w:rsid w:val="00351195"/>
    <w:rsid w:val="00351546"/>
    <w:rsid w:val="00351574"/>
    <w:rsid w:val="003515F4"/>
    <w:rsid w:val="00351618"/>
    <w:rsid w:val="00351646"/>
    <w:rsid w:val="003516CC"/>
    <w:rsid w:val="003518E4"/>
    <w:rsid w:val="00351AFB"/>
    <w:rsid w:val="00351CBC"/>
    <w:rsid w:val="00351E73"/>
    <w:rsid w:val="00351E8D"/>
    <w:rsid w:val="00351E92"/>
    <w:rsid w:val="00351F72"/>
    <w:rsid w:val="00352035"/>
    <w:rsid w:val="00352082"/>
    <w:rsid w:val="00352692"/>
    <w:rsid w:val="00352722"/>
    <w:rsid w:val="003528A1"/>
    <w:rsid w:val="0035290B"/>
    <w:rsid w:val="003529C1"/>
    <w:rsid w:val="00352A29"/>
    <w:rsid w:val="00352BAE"/>
    <w:rsid w:val="00352C75"/>
    <w:rsid w:val="00352EFC"/>
    <w:rsid w:val="00352F16"/>
    <w:rsid w:val="003533C2"/>
    <w:rsid w:val="003534AE"/>
    <w:rsid w:val="003534FE"/>
    <w:rsid w:val="003537DF"/>
    <w:rsid w:val="003538C4"/>
    <w:rsid w:val="00353D35"/>
    <w:rsid w:val="00353D58"/>
    <w:rsid w:val="00353F6A"/>
    <w:rsid w:val="003540A1"/>
    <w:rsid w:val="003542AC"/>
    <w:rsid w:val="00354667"/>
    <w:rsid w:val="003546C5"/>
    <w:rsid w:val="00354B8C"/>
    <w:rsid w:val="00354BE1"/>
    <w:rsid w:val="00354E1F"/>
    <w:rsid w:val="00354ED2"/>
    <w:rsid w:val="00355651"/>
    <w:rsid w:val="0035571C"/>
    <w:rsid w:val="003558E4"/>
    <w:rsid w:val="00355981"/>
    <w:rsid w:val="00355AD8"/>
    <w:rsid w:val="00355AFD"/>
    <w:rsid w:val="00355C9A"/>
    <w:rsid w:val="00355D66"/>
    <w:rsid w:val="0035617E"/>
    <w:rsid w:val="003561D2"/>
    <w:rsid w:val="003562C7"/>
    <w:rsid w:val="00356325"/>
    <w:rsid w:val="003563DB"/>
    <w:rsid w:val="0035679A"/>
    <w:rsid w:val="003568F6"/>
    <w:rsid w:val="00356939"/>
    <w:rsid w:val="00356C37"/>
    <w:rsid w:val="00356EAA"/>
    <w:rsid w:val="00356F78"/>
    <w:rsid w:val="00357008"/>
    <w:rsid w:val="00357142"/>
    <w:rsid w:val="003571A5"/>
    <w:rsid w:val="0035738D"/>
    <w:rsid w:val="003574C9"/>
    <w:rsid w:val="003574FB"/>
    <w:rsid w:val="003575F7"/>
    <w:rsid w:val="00357633"/>
    <w:rsid w:val="00357661"/>
    <w:rsid w:val="00357A0F"/>
    <w:rsid w:val="00357C09"/>
    <w:rsid w:val="00357EB4"/>
    <w:rsid w:val="00360004"/>
    <w:rsid w:val="0036030A"/>
    <w:rsid w:val="003605DF"/>
    <w:rsid w:val="003607EF"/>
    <w:rsid w:val="00360A20"/>
    <w:rsid w:val="00360A98"/>
    <w:rsid w:val="00360E90"/>
    <w:rsid w:val="00361055"/>
    <w:rsid w:val="00361320"/>
    <w:rsid w:val="00361608"/>
    <w:rsid w:val="00361633"/>
    <w:rsid w:val="0036177D"/>
    <w:rsid w:val="00361CA0"/>
    <w:rsid w:val="00361D9C"/>
    <w:rsid w:val="0036208B"/>
    <w:rsid w:val="00362179"/>
    <w:rsid w:val="003622AF"/>
    <w:rsid w:val="0036243E"/>
    <w:rsid w:val="003628DC"/>
    <w:rsid w:val="00362940"/>
    <w:rsid w:val="00362A68"/>
    <w:rsid w:val="00362A77"/>
    <w:rsid w:val="00362E14"/>
    <w:rsid w:val="00362E99"/>
    <w:rsid w:val="00362EA7"/>
    <w:rsid w:val="00363542"/>
    <w:rsid w:val="00363ADF"/>
    <w:rsid w:val="00363B80"/>
    <w:rsid w:val="00363BB1"/>
    <w:rsid w:val="00363C44"/>
    <w:rsid w:val="00363D03"/>
    <w:rsid w:val="00363E09"/>
    <w:rsid w:val="00363E31"/>
    <w:rsid w:val="00363EC0"/>
    <w:rsid w:val="00363F16"/>
    <w:rsid w:val="0036401C"/>
    <w:rsid w:val="003640AE"/>
    <w:rsid w:val="00364232"/>
    <w:rsid w:val="00364287"/>
    <w:rsid w:val="003643CF"/>
    <w:rsid w:val="003644E1"/>
    <w:rsid w:val="0036474C"/>
    <w:rsid w:val="00364865"/>
    <w:rsid w:val="0036490E"/>
    <w:rsid w:val="00364AB2"/>
    <w:rsid w:val="00364B74"/>
    <w:rsid w:val="00364B78"/>
    <w:rsid w:val="00364CFF"/>
    <w:rsid w:val="0036517B"/>
    <w:rsid w:val="0036532A"/>
    <w:rsid w:val="0036543C"/>
    <w:rsid w:val="003655FF"/>
    <w:rsid w:val="0036563E"/>
    <w:rsid w:val="003658D7"/>
    <w:rsid w:val="003658E8"/>
    <w:rsid w:val="00365A2B"/>
    <w:rsid w:val="00365A89"/>
    <w:rsid w:val="00365B6C"/>
    <w:rsid w:val="00365D5C"/>
    <w:rsid w:val="003660F9"/>
    <w:rsid w:val="00366125"/>
    <w:rsid w:val="0036637B"/>
    <w:rsid w:val="0036659C"/>
    <w:rsid w:val="003666DD"/>
    <w:rsid w:val="00366A83"/>
    <w:rsid w:val="00366BA5"/>
    <w:rsid w:val="00366DF0"/>
    <w:rsid w:val="00366FE1"/>
    <w:rsid w:val="0036700D"/>
    <w:rsid w:val="0036737F"/>
    <w:rsid w:val="003673E8"/>
    <w:rsid w:val="003677DE"/>
    <w:rsid w:val="0036784E"/>
    <w:rsid w:val="003679AF"/>
    <w:rsid w:val="003679F2"/>
    <w:rsid w:val="00367C5F"/>
    <w:rsid w:val="00367E3B"/>
    <w:rsid w:val="00367F24"/>
    <w:rsid w:val="00367F73"/>
    <w:rsid w:val="003700F6"/>
    <w:rsid w:val="00370284"/>
    <w:rsid w:val="00370464"/>
    <w:rsid w:val="00370717"/>
    <w:rsid w:val="003707D6"/>
    <w:rsid w:val="00370B91"/>
    <w:rsid w:val="00370C79"/>
    <w:rsid w:val="00370F17"/>
    <w:rsid w:val="0037110C"/>
    <w:rsid w:val="00371282"/>
    <w:rsid w:val="003713D5"/>
    <w:rsid w:val="0037150A"/>
    <w:rsid w:val="0037163A"/>
    <w:rsid w:val="003716C3"/>
    <w:rsid w:val="003716F8"/>
    <w:rsid w:val="0037173E"/>
    <w:rsid w:val="0037176E"/>
    <w:rsid w:val="00371A00"/>
    <w:rsid w:val="00371A6C"/>
    <w:rsid w:val="00371BC2"/>
    <w:rsid w:val="00372007"/>
    <w:rsid w:val="003721BA"/>
    <w:rsid w:val="0037221A"/>
    <w:rsid w:val="00372392"/>
    <w:rsid w:val="0037297E"/>
    <w:rsid w:val="003729FA"/>
    <w:rsid w:val="00372A7D"/>
    <w:rsid w:val="00372F52"/>
    <w:rsid w:val="003737C4"/>
    <w:rsid w:val="0037397E"/>
    <w:rsid w:val="003739C0"/>
    <w:rsid w:val="00373A53"/>
    <w:rsid w:val="00373A93"/>
    <w:rsid w:val="00373D0D"/>
    <w:rsid w:val="00373F2D"/>
    <w:rsid w:val="003741EF"/>
    <w:rsid w:val="0037484C"/>
    <w:rsid w:val="00374ABB"/>
    <w:rsid w:val="00374BAF"/>
    <w:rsid w:val="00374D31"/>
    <w:rsid w:val="00374DE2"/>
    <w:rsid w:val="00374F88"/>
    <w:rsid w:val="00375175"/>
    <w:rsid w:val="00375217"/>
    <w:rsid w:val="0037550B"/>
    <w:rsid w:val="003757AC"/>
    <w:rsid w:val="00375B5A"/>
    <w:rsid w:val="00375B71"/>
    <w:rsid w:val="00375BD2"/>
    <w:rsid w:val="00375C08"/>
    <w:rsid w:val="0037615C"/>
    <w:rsid w:val="0037637F"/>
    <w:rsid w:val="003763FA"/>
    <w:rsid w:val="00376520"/>
    <w:rsid w:val="0037654A"/>
    <w:rsid w:val="00376703"/>
    <w:rsid w:val="003767A0"/>
    <w:rsid w:val="003769FC"/>
    <w:rsid w:val="00376AD4"/>
    <w:rsid w:val="00376FD7"/>
    <w:rsid w:val="003770CE"/>
    <w:rsid w:val="00377318"/>
    <w:rsid w:val="0037745E"/>
    <w:rsid w:val="00377511"/>
    <w:rsid w:val="003777CF"/>
    <w:rsid w:val="00377A20"/>
    <w:rsid w:val="00377A91"/>
    <w:rsid w:val="00377ACF"/>
    <w:rsid w:val="00377DBC"/>
    <w:rsid w:val="00380038"/>
    <w:rsid w:val="00380D69"/>
    <w:rsid w:val="00380FF3"/>
    <w:rsid w:val="003810B9"/>
    <w:rsid w:val="00381240"/>
    <w:rsid w:val="003813E3"/>
    <w:rsid w:val="0038143F"/>
    <w:rsid w:val="003815C7"/>
    <w:rsid w:val="00381639"/>
    <w:rsid w:val="003816A3"/>
    <w:rsid w:val="003819F6"/>
    <w:rsid w:val="00381DE4"/>
    <w:rsid w:val="003820A4"/>
    <w:rsid w:val="003820D6"/>
    <w:rsid w:val="0038218D"/>
    <w:rsid w:val="003822EB"/>
    <w:rsid w:val="00382380"/>
    <w:rsid w:val="00382537"/>
    <w:rsid w:val="0038278C"/>
    <w:rsid w:val="0038289C"/>
    <w:rsid w:val="003829C5"/>
    <w:rsid w:val="00382AF6"/>
    <w:rsid w:val="00382BEF"/>
    <w:rsid w:val="00382D78"/>
    <w:rsid w:val="00383077"/>
    <w:rsid w:val="003831B3"/>
    <w:rsid w:val="003831ED"/>
    <w:rsid w:val="003833E1"/>
    <w:rsid w:val="0038343F"/>
    <w:rsid w:val="00383B0C"/>
    <w:rsid w:val="00383D1C"/>
    <w:rsid w:val="0038439C"/>
    <w:rsid w:val="00384615"/>
    <w:rsid w:val="00384655"/>
    <w:rsid w:val="0038468B"/>
    <w:rsid w:val="00384F6C"/>
    <w:rsid w:val="003850AA"/>
    <w:rsid w:val="00385180"/>
    <w:rsid w:val="00385264"/>
    <w:rsid w:val="00385498"/>
    <w:rsid w:val="00385845"/>
    <w:rsid w:val="003858CE"/>
    <w:rsid w:val="00385B82"/>
    <w:rsid w:val="00385E9F"/>
    <w:rsid w:val="00385F34"/>
    <w:rsid w:val="0038615F"/>
    <w:rsid w:val="003861D1"/>
    <w:rsid w:val="00386334"/>
    <w:rsid w:val="00386A71"/>
    <w:rsid w:val="00386AC1"/>
    <w:rsid w:val="00386B0A"/>
    <w:rsid w:val="00386B6F"/>
    <w:rsid w:val="00386BCD"/>
    <w:rsid w:val="00386D3E"/>
    <w:rsid w:val="00386EDF"/>
    <w:rsid w:val="00386F8E"/>
    <w:rsid w:val="003872B3"/>
    <w:rsid w:val="003875D5"/>
    <w:rsid w:val="0038776D"/>
    <w:rsid w:val="003879EF"/>
    <w:rsid w:val="00387B03"/>
    <w:rsid w:val="00387C49"/>
    <w:rsid w:val="00390590"/>
    <w:rsid w:val="003905E2"/>
    <w:rsid w:val="00390716"/>
    <w:rsid w:val="00390A02"/>
    <w:rsid w:val="00390A2F"/>
    <w:rsid w:val="00390BF9"/>
    <w:rsid w:val="00390D12"/>
    <w:rsid w:val="00390F73"/>
    <w:rsid w:val="00390FD3"/>
    <w:rsid w:val="00391509"/>
    <w:rsid w:val="003915C5"/>
    <w:rsid w:val="003916CF"/>
    <w:rsid w:val="0039190F"/>
    <w:rsid w:val="00391B4E"/>
    <w:rsid w:val="00391B9F"/>
    <w:rsid w:val="00391FCD"/>
    <w:rsid w:val="00391FD2"/>
    <w:rsid w:val="0039257A"/>
    <w:rsid w:val="003925A2"/>
    <w:rsid w:val="003925F2"/>
    <w:rsid w:val="00392620"/>
    <w:rsid w:val="00392E35"/>
    <w:rsid w:val="00393002"/>
    <w:rsid w:val="00393027"/>
    <w:rsid w:val="0039305F"/>
    <w:rsid w:val="00393154"/>
    <w:rsid w:val="003932A2"/>
    <w:rsid w:val="003935A9"/>
    <w:rsid w:val="00393905"/>
    <w:rsid w:val="00393ADE"/>
    <w:rsid w:val="00393B7C"/>
    <w:rsid w:val="003940A5"/>
    <w:rsid w:val="003940AA"/>
    <w:rsid w:val="00394343"/>
    <w:rsid w:val="0039438B"/>
    <w:rsid w:val="003944D6"/>
    <w:rsid w:val="003944E4"/>
    <w:rsid w:val="0039452A"/>
    <w:rsid w:val="003945EA"/>
    <w:rsid w:val="00394776"/>
    <w:rsid w:val="00394A9F"/>
    <w:rsid w:val="00394B0A"/>
    <w:rsid w:val="00394F39"/>
    <w:rsid w:val="00394F6E"/>
    <w:rsid w:val="00394FBC"/>
    <w:rsid w:val="003950C3"/>
    <w:rsid w:val="00395151"/>
    <w:rsid w:val="0039515B"/>
    <w:rsid w:val="003954C8"/>
    <w:rsid w:val="0039555B"/>
    <w:rsid w:val="0039563F"/>
    <w:rsid w:val="0039566F"/>
    <w:rsid w:val="00395A10"/>
    <w:rsid w:val="00395CF2"/>
    <w:rsid w:val="00395EA2"/>
    <w:rsid w:val="00396092"/>
    <w:rsid w:val="003961EA"/>
    <w:rsid w:val="003961EC"/>
    <w:rsid w:val="00396329"/>
    <w:rsid w:val="00396575"/>
    <w:rsid w:val="0039661A"/>
    <w:rsid w:val="003967E0"/>
    <w:rsid w:val="003968F5"/>
    <w:rsid w:val="00396942"/>
    <w:rsid w:val="00396C41"/>
    <w:rsid w:val="00397170"/>
    <w:rsid w:val="003971C8"/>
    <w:rsid w:val="003978AB"/>
    <w:rsid w:val="00397C8F"/>
    <w:rsid w:val="00397D5A"/>
    <w:rsid w:val="00397DA1"/>
    <w:rsid w:val="00397DDF"/>
    <w:rsid w:val="00397E60"/>
    <w:rsid w:val="00397F8C"/>
    <w:rsid w:val="003A0111"/>
    <w:rsid w:val="003A016E"/>
    <w:rsid w:val="003A0202"/>
    <w:rsid w:val="003A0218"/>
    <w:rsid w:val="003A05A5"/>
    <w:rsid w:val="003A0647"/>
    <w:rsid w:val="003A077C"/>
    <w:rsid w:val="003A0892"/>
    <w:rsid w:val="003A0A44"/>
    <w:rsid w:val="003A0B5B"/>
    <w:rsid w:val="003A0F6B"/>
    <w:rsid w:val="003A114F"/>
    <w:rsid w:val="003A1474"/>
    <w:rsid w:val="003A15C1"/>
    <w:rsid w:val="003A1A92"/>
    <w:rsid w:val="003A1BE5"/>
    <w:rsid w:val="003A1C52"/>
    <w:rsid w:val="003A1D02"/>
    <w:rsid w:val="003A2304"/>
    <w:rsid w:val="003A25CF"/>
    <w:rsid w:val="003A263B"/>
    <w:rsid w:val="003A278E"/>
    <w:rsid w:val="003A29CC"/>
    <w:rsid w:val="003A2B07"/>
    <w:rsid w:val="003A2CBD"/>
    <w:rsid w:val="003A2E24"/>
    <w:rsid w:val="003A2E3C"/>
    <w:rsid w:val="003A3399"/>
    <w:rsid w:val="003A3489"/>
    <w:rsid w:val="003A380A"/>
    <w:rsid w:val="003A388B"/>
    <w:rsid w:val="003A38A9"/>
    <w:rsid w:val="003A38F9"/>
    <w:rsid w:val="003A39D8"/>
    <w:rsid w:val="003A39F0"/>
    <w:rsid w:val="003A3C40"/>
    <w:rsid w:val="003A3DE5"/>
    <w:rsid w:val="003A3E3E"/>
    <w:rsid w:val="003A4111"/>
    <w:rsid w:val="003A4117"/>
    <w:rsid w:val="003A4180"/>
    <w:rsid w:val="003A41B1"/>
    <w:rsid w:val="003A42B3"/>
    <w:rsid w:val="003A4388"/>
    <w:rsid w:val="003A45F2"/>
    <w:rsid w:val="003A464D"/>
    <w:rsid w:val="003A46B0"/>
    <w:rsid w:val="003A48E2"/>
    <w:rsid w:val="003A4AF0"/>
    <w:rsid w:val="003A4B89"/>
    <w:rsid w:val="003A4E0C"/>
    <w:rsid w:val="003A4ED6"/>
    <w:rsid w:val="003A4F06"/>
    <w:rsid w:val="003A5058"/>
    <w:rsid w:val="003A540D"/>
    <w:rsid w:val="003A5937"/>
    <w:rsid w:val="003A5943"/>
    <w:rsid w:val="003A5ABB"/>
    <w:rsid w:val="003A5B13"/>
    <w:rsid w:val="003A5B5F"/>
    <w:rsid w:val="003A5CD5"/>
    <w:rsid w:val="003A5E1B"/>
    <w:rsid w:val="003A5F28"/>
    <w:rsid w:val="003A621D"/>
    <w:rsid w:val="003A650D"/>
    <w:rsid w:val="003A652B"/>
    <w:rsid w:val="003A6538"/>
    <w:rsid w:val="003A6675"/>
    <w:rsid w:val="003A67DF"/>
    <w:rsid w:val="003A68F3"/>
    <w:rsid w:val="003A68F4"/>
    <w:rsid w:val="003A6C11"/>
    <w:rsid w:val="003A6C53"/>
    <w:rsid w:val="003A6C73"/>
    <w:rsid w:val="003A6D09"/>
    <w:rsid w:val="003A7248"/>
    <w:rsid w:val="003A7336"/>
    <w:rsid w:val="003A748E"/>
    <w:rsid w:val="003A749D"/>
    <w:rsid w:val="003A7584"/>
    <w:rsid w:val="003A76E0"/>
    <w:rsid w:val="003A7764"/>
    <w:rsid w:val="003A7815"/>
    <w:rsid w:val="003A7844"/>
    <w:rsid w:val="003A7B60"/>
    <w:rsid w:val="003A7B70"/>
    <w:rsid w:val="003A7D4A"/>
    <w:rsid w:val="003A7DEC"/>
    <w:rsid w:val="003A7FA9"/>
    <w:rsid w:val="003B0050"/>
    <w:rsid w:val="003B071D"/>
    <w:rsid w:val="003B072B"/>
    <w:rsid w:val="003B0922"/>
    <w:rsid w:val="003B0953"/>
    <w:rsid w:val="003B0ABE"/>
    <w:rsid w:val="003B0B92"/>
    <w:rsid w:val="003B0EE4"/>
    <w:rsid w:val="003B16E7"/>
    <w:rsid w:val="003B1A42"/>
    <w:rsid w:val="003B1AD8"/>
    <w:rsid w:val="003B1EC8"/>
    <w:rsid w:val="003B1F6D"/>
    <w:rsid w:val="003B23E9"/>
    <w:rsid w:val="003B2415"/>
    <w:rsid w:val="003B2559"/>
    <w:rsid w:val="003B262A"/>
    <w:rsid w:val="003B29E5"/>
    <w:rsid w:val="003B302C"/>
    <w:rsid w:val="003B3108"/>
    <w:rsid w:val="003B3145"/>
    <w:rsid w:val="003B32A9"/>
    <w:rsid w:val="003B3627"/>
    <w:rsid w:val="003B3693"/>
    <w:rsid w:val="003B3706"/>
    <w:rsid w:val="003B3A11"/>
    <w:rsid w:val="003B3D3F"/>
    <w:rsid w:val="003B3DDD"/>
    <w:rsid w:val="003B3E03"/>
    <w:rsid w:val="003B3F72"/>
    <w:rsid w:val="003B44A9"/>
    <w:rsid w:val="003B49D6"/>
    <w:rsid w:val="003B4A11"/>
    <w:rsid w:val="003B5365"/>
    <w:rsid w:val="003B5379"/>
    <w:rsid w:val="003B54CA"/>
    <w:rsid w:val="003B56FF"/>
    <w:rsid w:val="003B581C"/>
    <w:rsid w:val="003B5942"/>
    <w:rsid w:val="003B5955"/>
    <w:rsid w:val="003B5D88"/>
    <w:rsid w:val="003B5FDD"/>
    <w:rsid w:val="003B60CD"/>
    <w:rsid w:val="003B62C4"/>
    <w:rsid w:val="003B640D"/>
    <w:rsid w:val="003B644C"/>
    <w:rsid w:val="003B64CE"/>
    <w:rsid w:val="003B6503"/>
    <w:rsid w:val="003B6526"/>
    <w:rsid w:val="003B6574"/>
    <w:rsid w:val="003B662E"/>
    <w:rsid w:val="003B6700"/>
    <w:rsid w:val="003B68CF"/>
    <w:rsid w:val="003B6A08"/>
    <w:rsid w:val="003B6E56"/>
    <w:rsid w:val="003B7180"/>
    <w:rsid w:val="003B7499"/>
    <w:rsid w:val="003B76BB"/>
    <w:rsid w:val="003B77BF"/>
    <w:rsid w:val="003B7921"/>
    <w:rsid w:val="003B7B4A"/>
    <w:rsid w:val="003B7D69"/>
    <w:rsid w:val="003B7E37"/>
    <w:rsid w:val="003B7E53"/>
    <w:rsid w:val="003B7E7C"/>
    <w:rsid w:val="003C029F"/>
    <w:rsid w:val="003C0394"/>
    <w:rsid w:val="003C0437"/>
    <w:rsid w:val="003C05EE"/>
    <w:rsid w:val="003C077A"/>
    <w:rsid w:val="003C079B"/>
    <w:rsid w:val="003C0A4A"/>
    <w:rsid w:val="003C0A63"/>
    <w:rsid w:val="003C0DA2"/>
    <w:rsid w:val="003C0FC6"/>
    <w:rsid w:val="003C1098"/>
    <w:rsid w:val="003C1119"/>
    <w:rsid w:val="003C1124"/>
    <w:rsid w:val="003C123A"/>
    <w:rsid w:val="003C184A"/>
    <w:rsid w:val="003C1C5B"/>
    <w:rsid w:val="003C1DC6"/>
    <w:rsid w:val="003C1DE0"/>
    <w:rsid w:val="003C1ED2"/>
    <w:rsid w:val="003C2039"/>
    <w:rsid w:val="003C2132"/>
    <w:rsid w:val="003C2613"/>
    <w:rsid w:val="003C274A"/>
    <w:rsid w:val="003C2884"/>
    <w:rsid w:val="003C28BB"/>
    <w:rsid w:val="003C29F9"/>
    <w:rsid w:val="003C2B23"/>
    <w:rsid w:val="003C3049"/>
    <w:rsid w:val="003C30F3"/>
    <w:rsid w:val="003C338A"/>
    <w:rsid w:val="003C3853"/>
    <w:rsid w:val="003C38EE"/>
    <w:rsid w:val="003C39C5"/>
    <w:rsid w:val="003C3A19"/>
    <w:rsid w:val="003C3D01"/>
    <w:rsid w:val="003C3EAD"/>
    <w:rsid w:val="003C3FA3"/>
    <w:rsid w:val="003C41BB"/>
    <w:rsid w:val="003C43F2"/>
    <w:rsid w:val="003C4434"/>
    <w:rsid w:val="003C455C"/>
    <w:rsid w:val="003C45F4"/>
    <w:rsid w:val="003C47AD"/>
    <w:rsid w:val="003C4929"/>
    <w:rsid w:val="003C4DA9"/>
    <w:rsid w:val="003C51A1"/>
    <w:rsid w:val="003C574D"/>
    <w:rsid w:val="003C5868"/>
    <w:rsid w:val="003C59D3"/>
    <w:rsid w:val="003C5A15"/>
    <w:rsid w:val="003C5A8F"/>
    <w:rsid w:val="003C5BED"/>
    <w:rsid w:val="003C5C4E"/>
    <w:rsid w:val="003C5CDD"/>
    <w:rsid w:val="003C5CEC"/>
    <w:rsid w:val="003C5DA7"/>
    <w:rsid w:val="003C6230"/>
    <w:rsid w:val="003C6236"/>
    <w:rsid w:val="003C63F9"/>
    <w:rsid w:val="003C6478"/>
    <w:rsid w:val="003C658C"/>
    <w:rsid w:val="003C6B89"/>
    <w:rsid w:val="003C6BFC"/>
    <w:rsid w:val="003C6D6D"/>
    <w:rsid w:val="003C710E"/>
    <w:rsid w:val="003C751D"/>
    <w:rsid w:val="003C75C0"/>
    <w:rsid w:val="003C7761"/>
    <w:rsid w:val="003C7768"/>
    <w:rsid w:val="003C7819"/>
    <w:rsid w:val="003C794E"/>
    <w:rsid w:val="003C7A3E"/>
    <w:rsid w:val="003C7A90"/>
    <w:rsid w:val="003C7B3B"/>
    <w:rsid w:val="003C7C35"/>
    <w:rsid w:val="003C7C47"/>
    <w:rsid w:val="003D03DD"/>
    <w:rsid w:val="003D0501"/>
    <w:rsid w:val="003D0668"/>
    <w:rsid w:val="003D0BF9"/>
    <w:rsid w:val="003D0C1F"/>
    <w:rsid w:val="003D0C35"/>
    <w:rsid w:val="003D0D02"/>
    <w:rsid w:val="003D0D3E"/>
    <w:rsid w:val="003D0F7D"/>
    <w:rsid w:val="003D0FCE"/>
    <w:rsid w:val="003D1344"/>
    <w:rsid w:val="003D15F1"/>
    <w:rsid w:val="003D16A7"/>
    <w:rsid w:val="003D170A"/>
    <w:rsid w:val="003D1740"/>
    <w:rsid w:val="003D18CD"/>
    <w:rsid w:val="003D1966"/>
    <w:rsid w:val="003D1B58"/>
    <w:rsid w:val="003D1E0B"/>
    <w:rsid w:val="003D1E41"/>
    <w:rsid w:val="003D208C"/>
    <w:rsid w:val="003D2136"/>
    <w:rsid w:val="003D231E"/>
    <w:rsid w:val="003D24FD"/>
    <w:rsid w:val="003D252B"/>
    <w:rsid w:val="003D25E8"/>
    <w:rsid w:val="003D26BE"/>
    <w:rsid w:val="003D2716"/>
    <w:rsid w:val="003D2A47"/>
    <w:rsid w:val="003D2C0B"/>
    <w:rsid w:val="003D2EC6"/>
    <w:rsid w:val="003D2F06"/>
    <w:rsid w:val="003D2FF4"/>
    <w:rsid w:val="003D322B"/>
    <w:rsid w:val="003D3268"/>
    <w:rsid w:val="003D32BF"/>
    <w:rsid w:val="003D33A0"/>
    <w:rsid w:val="003D3473"/>
    <w:rsid w:val="003D348B"/>
    <w:rsid w:val="003D36FD"/>
    <w:rsid w:val="003D3710"/>
    <w:rsid w:val="003D389A"/>
    <w:rsid w:val="003D394C"/>
    <w:rsid w:val="003D3A73"/>
    <w:rsid w:val="003D3B75"/>
    <w:rsid w:val="003D3D8C"/>
    <w:rsid w:val="003D3DD3"/>
    <w:rsid w:val="003D3F4B"/>
    <w:rsid w:val="003D4111"/>
    <w:rsid w:val="003D4180"/>
    <w:rsid w:val="003D419B"/>
    <w:rsid w:val="003D436C"/>
    <w:rsid w:val="003D4740"/>
    <w:rsid w:val="003D47DE"/>
    <w:rsid w:val="003D483B"/>
    <w:rsid w:val="003D4AAC"/>
    <w:rsid w:val="003D4B91"/>
    <w:rsid w:val="003D4EB8"/>
    <w:rsid w:val="003D5312"/>
    <w:rsid w:val="003D54E4"/>
    <w:rsid w:val="003D5C33"/>
    <w:rsid w:val="003D5DA0"/>
    <w:rsid w:val="003D5FC1"/>
    <w:rsid w:val="003D620D"/>
    <w:rsid w:val="003D6679"/>
    <w:rsid w:val="003D6948"/>
    <w:rsid w:val="003D6A0B"/>
    <w:rsid w:val="003D6B2D"/>
    <w:rsid w:val="003D6D08"/>
    <w:rsid w:val="003D6D2F"/>
    <w:rsid w:val="003D6FF8"/>
    <w:rsid w:val="003D7170"/>
    <w:rsid w:val="003D7332"/>
    <w:rsid w:val="003D7426"/>
    <w:rsid w:val="003D745C"/>
    <w:rsid w:val="003D7469"/>
    <w:rsid w:val="003D7877"/>
    <w:rsid w:val="003D787E"/>
    <w:rsid w:val="003D7BD0"/>
    <w:rsid w:val="003D7C05"/>
    <w:rsid w:val="003D7DCC"/>
    <w:rsid w:val="003D7DD5"/>
    <w:rsid w:val="003E0705"/>
    <w:rsid w:val="003E0766"/>
    <w:rsid w:val="003E0780"/>
    <w:rsid w:val="003E141D"/>
    <w:rsid w:val="003E155F"/>
    <w:rsid w:val="003E1918"/>
    <w:rsid w:val="003E1C84"/>
    <w:rsid w:val="003E217C"/>
    <w:rsid w:val="003E2310"/>
    <w:rsid w:val="003E2393"/>
    <w:rsid w:val="003E25AD"/>
    <w:rsid w:val="003E260A"/>
    <w:rsid w:val="003E26DD"/>
    <w:rsid w:val="003E2710"/>
    <w:rsid w:val="003E285D"/>
    <w:rsid w:val="003E28A7"/>
    <w:rsid w:val="003E28BC"/>
    <w:rsid w:val="003E29CB"/>
    <w:rsid w:val="003E2A33"/>
    <w:rsid w:val="003E30CB"/>
    <w:rsid w:val="003E327F"/>
    <w:rsid w:val="003E3564"/>
    <w:rsid w:val="003E3627"/>
    <w:rsid w:val="003E37FF"/>
    <w:rsid w:val="003E3925"/>
    <w:rsid w:val="003E395D"/>
    <w:rsid w:val="003E399D"/>
    <w:rsid w:val="003E3AD4"/>
    <w:rsid w:val="003E3C02"/>
    <w:rsid w:val="003E3DBA"/>
    <w:rsid w:val="003E3F8A"/>
    <w:rsid w:val="003E3FD0"/>
    <w:rsid w:val="003E43A4"/>
    <w:rsid w:val="003E4493"/>
    <w:rsid w:val="003E4706"/>
    <w:rsid w:val="003E4720"/>
    <w:rsid w:val="003E4874"/>
    <w:rsid w:val="003E4A98"/>
    <w:rsid w:val="003E4BA2"/>
    <w:rsid w:val="003E4D60"/>
    <w:rsid w:val="003E4E5F"/>
    <w:rsid w:val="003E5135"/>
    <w:rsid w:val="003E5256"/>
    <w:rsid w:val="003E5336"/>
    <w:rsid w:val="003E55C4"/>
    <w:rsid w:val="003E5733"/>
    <w:rsid w:val="003E590F"/>
    <w:rsid w:val="003E5961"/>
    <w:rsid w:val="003E5B1F"/>
    <w:rsid w:val="003E600F"/>
    <w:rsid w:val="003E6040"/>
    <w:rsid w:val="003E6B20"/>
    <w:rsid w:val="003E6BAF"/>
    <w:rsid w:val="003E6E86"/>
    <w:rsid w:val="003E6EC4"/>
    <w:rsid w:val="003E6F5D"/>
    <w:rsid w:val="003E71E8"/>
    <w:rsid w:val="003E72D1"/>
    <w:rsid w:val="003E741A"/>
    <w:rsid w:val="003E74F2"/>
    <w:rsid w:val="003E7599"/>
    <w:rsid w:val="003E75A4"/>
    <w:rsid w:val="003E7739"/>
    <w:rsid w:val="003E773F"/>
    <w:rsid w:val="003E778C"/>
    <w:rsid w:val="003E7820"/>
    <w:rsid w:val="003E7BAF"/>
    <w:rsid w:val="003E7BEE"/>
    <w:rsid w:val="003E7C01"/>
    <w:rsid w:val="003E7EB7"/>
    <w:rsid w:val="003F0362"/>
    <w:rsid w:val="003F0502"/>
    <w:rsid w:val="003F09E5"/>
    <w:rsid w:val="003F0A2C"/>
    <w:rsid w:val="003F0A65"/>
    <w:rsid w:val="003F0F64"/>
    <w:rsid w:val="003F10A9"/>
    <w:rsid w:val="003F13AD"/>
    <w:rsid w:val="003F151A"/>
    <w:rsid w:val="003F153F"/>
    <w:rsid w:val="003F16A0"/>
    <w:rsid w:val="003F17C3"/>
    <w:rsid w:val="003F1BB4"/>
    <w:rsid w:val="003F1C76"/>
    <w:rsid w:val="003F1F34"/>
    <w:rsid w:val="003F22E0"/>
    <w:rsid w:val="003F23F6"/>
    <w:rsid w:val="003F28CD"/>
    <w:rsid w:val="003F291F"/>
    <w:rsid w:val="003F29D1"/>
    <w:rsid w:val="003F2CBD"/>
    <w:rsid w:val="003F31DE"/>
    <w:rsid w:val="003F320B"/>
    <w:rsid w:val="003F364B"/>
    <w:rsid w:val="003F365D"/>
    <w:rsid w:val="003F38C8"/>
    <w:rsid w:val="003F38D4"/>
    <w:rsid w:val="003F3C9E"/>
    <w:rsid w:val="003F3CEE"/>
    <w:rsid w:val="003F3D07"/>
    <w:rsid w:val="003F3D38"/>
    <w:rsid w:val="003F3F56"/>
    <w:rsid w:val="003F4270"/>
    <w:rsid w:val="003F44C5"/>
    <w:rsid w:val="003F457B"/>
    <w:rsid w:val="003F475D"/>
    <w:rsid w:val="003F493D"/>
    <w:rsid w:val="003F4AB4"/>
    <w:rsid w:val="003F4B45"/>
    <w:rsid w:val="003F4BB2"/>
    <w:rsid w:val="003F4CDB"/>
    <w:rsid w:val="003F4D50"/>
    <w:rsid w:val="003F4E36"/>
    <w:rsid w:val="003F5048"/>
    <w:rsid w:val="003F5155"/>
    <w:rsid w:val="003F518B"/>
    <w:rsid w:val="003F55E5"/>
    <w:rsid w:val="003F5691"/>
    <w:rsid w:val="003F585B"/>
    <w:rsid w:val="003F58A0"/>
    <w:rsid w:val="003F58F8"/>
    <w:rsid w:val="003F596A"/>
    <w:rsid w:val="003F599B"/>
    <w:rsid w:val="003F5AF6"/>
    <w:rsid w:val="003F5CB0"/>
    <w:rsid w:val="003F5CB5"/>
    <w:rsid w:val="003F5D00"/>
    <w:rsid w:val="003F620B"/>
    <w:rsid w:val="003F624B"/>
    <w:rsid w:val="003F6587"/>
    <w:rsid w:val="003F68F0"/>
    <w:rsid w:val="003F6945"/>
    <w:rsid w:val="003F6980"/>
    <w:rsid w:val="003F69C7"/>
    <w:rsid w:val="003F6EBD"/>
    <w:rsid w:val="003F706B"/>
    <w:rsid w:val="003F7096"/>
    <w:rsid w:val="003F7200"/>
    <w:rsid w:val="003F7284"/>
    <w:rsid w:val="003F72F8"/>
    <w:rsid w:val="003F73BB"/>
    <w:rsid w:val="003F7499"/>
    <w:rsid w:val="003F753E"/>
    <w:rsid w:val="003F7A68"/>
    <w:rsid w:val="003F7A72"/>
    <w:rsid w:val="003F7B1B"/>
    <w:rsid w:val="003F7E56"/>
    <w:rsid w:val="00400472"/>
    <w:rsid w:val="004004AB"/>
    <w:rsid w:val="004004DF"/>
    <w:rsid w:val="00400535"/>
    <w:rsid w:val="00400A2A"/>
    <w:rsid w:val="00400A2D"/>
    <w:rsid w:val="00400B09"/>
    <w:rsid w:val="004011FC"/>
    <w:rsid w:val="004012ED"/>
    <w:rsid w:val="00401400"/>
    <w:rsid w:val="0040154F"/>
    <w:rsid w:val="00401769"/>
    <w:rsid w:val="004018C0"/>
    <w:rsid w:val="00402284"/>
    <w:rsid w:val="004023DC"/>
    <w:rsid w:val="0040246A"/>
    <w:rsid w:val="004024BE"/>
    <w:rsid w:val="004024CE"/>
    <w:rsid w:val="0040283A"/>
    <w:rsid w:val="00402977"/>
    <w:rsid w:val="00402D5B"/>
    <w:rsid w:val="004030ED"/>
    <w:rsid w:val="0040329B"/>
    <w:rsid w:val="00403374"/>
    <w:rsid w:val="004034D2"/>
    <w:rsid w:val="00403703"/>
    <w:rsid w:val="00403706"/>
    <w:rsid w:val="004037C7"/>
    <w:rsid w:val="004038FA"/>
    <w:rsid w:val="0040399D"/>
    <w:rsid w:val="00403BD1"/>
    <w:rsid w:val="00403D81"/>
    <w:rsid w:val="00403EF0"/>
    <w:rsid w:val="00404185"/>
    <w:rsid w:val="00404191"/>
    <w:rsid w:val="004042B6"/>
    <w:rsid w:val="00404566"/>
    <w:rsid w:val="004048B4"/>
    <w:rsid w:val="00404977"/>
    <w:rsid w:val="00404AB4"/>
    <w:rsid w:val="00404B5B"/>
    <w:rsid w:val="00404B86"/>
    <w:rsid w:val="00405129"/>
    <w:rsid w:val="00405431"/>
    <w:rsid w:val="00405473"/>
    <w:rsid w:val="00405501"/>
    <w:rsid w:val="0040554B"/>
    <w:rsid w:val="00405579"/>
    <w:rsid w:val="00405599"/>
    <w:rsid w:val="00405836"/>
    <w:rsid w:val="0040584A"/>
    <w:rsid w:val="00405991"/>
    <w:rsid w:val="00405B4B"/>
    <w:rsid w:val="00405C81"/>
    <w:rsid w:val="00405CB9"/>
    <w:rsid w:val="00405DD3"/>
    <w:rsid w:val="00405E37"/>
    <w:rsid w:val="00405E38"/>
    <w:rsid w:val="00405E88"/>
    <w:rsid w:val="00406370"/>
    <w:rsid w:val="0040680A"/>
    <w:rsid w:val="00406A83"/>
    <w:rsid w:val="00406B2C"/>
    <w:rsid w:val="00406C5B"/>
    <w:rsid w:val="00406CA7"/>
    <w:rsid w:val="004071EF"/>
    <w:rsid w:val="004072B3"/>
    <w:rsid w:val="004073A1"/>
    <w:rsid w:val="004073BD"/>
    <w:rsid w:val="0040748A"/>
    <w:rsid w:val="00407660"/>
    <w:rsid w:val="00407726"/>
    <w:rsid w:val="00407BCC"/>
    <w:rsid w:val="00407F80"/>
    <w:rsid w:val="004100B8"/>
    <w:rsid w:val="00410596"/>
    <w:rsid w:val="004108ED"/>
    <w:rsid w:val="00410BBA"/>
    <w:rsid w:val="00410C7D"/>
    <w:rsid w:val="00411108"/>
    <w:rsid w:val="00411364"/>
    <w:rsid w:val="0041164F"/>
    <w:rsid w:val="00411700"/>
    <w:rsid w:val="0041177A"/>
    <w:rsid w:val="00411808"/>
    <w:rsid w:val="00411DEF"/>
    <w:rsid w:val="00411F11"/>
    <w:rsid w:val="00411FC4"/>
    <w:rsid w:val="00412386"/>
    <w:rsid w:val="004125F1"/>
    <w:rsid w:val="00412677"/>
    <w:rsid w:val="00412A70"/>
    <w:rsid w:val="00412DDE"/>
    <w:rsid w:val="00412EB2"/>
    <w:rsid w:val="00412FB3"/>
    <w:rsid w:val="004133CC"/>
    <w:rsid w:val="00413505"/>
    <w:rsid w:val="00413689"/>
    <w:rsid w:val="0041393F"/>
    <w:rsid w:val="00413C02"/>
    <w:rsid w:val="00414038"/>
    <w:rsid w:val="00414556"/>
    <w:rsid w:val="00414577"/>
    <w:rsid w:val="004145F7"/>
    <w:rsid w:val="0041483C"/>
    <w:rsid w:val="00414872"/>
    <w:rsid w:val="0041490B"/>
    <w:rsid w:val="0041494D"/>
    <w:rsid w:val="00414A1C"/>
    <w:rsid w:val="00414E41"/>
    <w:rsid w:val="0041518F"/>
    <w:rsid w:val="00415369"/>
    <w:rsid w:val="004154FD"/>
    <w:rsid w:val="004155AF"/>
    <w:rsid w:val="0041564B"/>
    <w:rsid w:val="00415699"/>
    <w:rsid w:val="004156FB"/>
    <w:rsid w:val="00415767"/>
    <w:rsid w:val="00415994"/>
    <w:rsid w:val="00415EDE"/>
    <w:rsid w:val="00415F1F"/>
    <w:rsid w:val="00416269"/>
    <w:rsid w:val="004162F9"/>
    <w:rsid w:val="004163F9"/>
    <w:rsid w:val="004164EA"/>
    <w:rsid w:val="00416511"/>
    <w:rsid w:val="004166A7"/>
    <w:rsid w:val="00416846"/>
    <w:rsid w:val="00416C53"/>
    <w:rsid w:val="00416D91"/>
    <w:rsid w:val="00416DA4"/>
    <w:rsid w:val="00416E32"/>
    <w:rsid w:val="00416F4E"/>
    <w:rsid w:val="00417092"/>
    <w:rsid w:val="00417346"/>
    <w:rsid w:val="0041747C"/>
    <w:rsid w:val="0041759E"/>
    <w:rsid w:val="0041761D"/>
    <w:rsid w:val="0041766E"/>
    <w:rsid w:val="00417673"/>
    <w:rsid w:val="00417738"/>
    <w:rsid w:val="00417806"/>
    <w:rsid w:val="00417867"/>
    <w:rsid w:val="00417B7F"/>
    <w:rsid w:val="00417F91"/>
    <w:rsid w:val="004200EE"/>
    <w:rsid w:val="00420249"/>
    <w:rsid w:val="0042034B"/>
    <w:rsid w:val="004203A7"/>
    <w:rsid w:val="0042051B"/>
    <w:rsid w:val="0042062F"/>
    <w:rsid w:val="004209A8"/>
    <w:rsid w:val="00420BF5"/>
    <w:rsid w:val="00420CFB"/>
    <w:rsid w:val="00420DB9"/>
    <w:rsid w:val="00420DEA"/>
    <w:rsid w:val="00420F14"/>
    <w:rsid w:val="004213D4"/>
    <w:rsid w:val="00421400"/>
    <w:rsid w:val="0042145A"/>
    <w:rsid w:val="0042150A"/>
    <w:rsid w:val="00421612"/>
    <w:rsid w:val="004218B1"/>
    <w:rsid w:val="00421A19"/>
    <w:rsid w:val="00421B7D"/>
    <w:rsid w:val="00421CB3"/>
    <w:rsid w:val="00421D2C"/>
    <w:rsid w:val="00422025"/>
    <w:rsid w:val="0042210A"/>
    <w:rsid w:val="00422871"/>
    <w:rsid w:val="00422BE8"/>
    <w:rsid w:val="00422C22"/>
    <w:rsid w:val="00422C4C"/>
    <w:rsid w:val="00422FA2"/>
    <w:rsid w:val="00422FEB"/>
    <w:rsid w:val="004231AD"/>
    <w:rsid w:val="00423241"/>
    <w:rsid w:val="004232C2"/>
    <w:rsid w:val="00423AF5"/>
    <w:rsid w:val="00423CE5"/>
    <w:rsid w:val="00423D51"/>
    <w:rsid w:val="00423D66"/>
    <w:rsid w:val="00423F74"/>
    <w:rsid w:val="0042407E"/>
    <w:rsid w:val="00424168"/>
    <w:rsid w:val="00424414"/>
    <w:rsid w:val="004245B8"/>
    <w:rsid w:val="00424B9F"/>
    <w:rsid w:val="00424D47"/>
    <w:rsid w:val="004251B0"/>
    <w:rsid w:val="00425721"/>
    <w:rsid w:val="0042575F"/>
    <w:rsid w:val="00425809"/>
    <w:rsid w:val="004259AF"/>
    <w:rsid w:val="00425BD8"/>
    <w:rsid w:val="00425D28"/>
    <w:rsid w:val="00426559"/>
    <w:rsid w:val="004266A1"/>
    <w:rsid w:val="00426815"/>
    <w:rsid w:val="00426C99"/>
    <w:rsid w:val="00426D0D"/>
    <w:rsid w:val="00426FE2"/>
    <w:rsid w:val="004271CD"/>
    <w:rsid w:val="004271E8"/>
    <w:rsid w:val="0042721A"/>
    <w:rsid w:val="004272A1"/>
    <w:rsid w:val="0042755F"/>
    <w:rsid w:val="004276E0"/>
    <w:rsid w:val="00427808"/>
    <w:rsid w:val="00427960"/>
    <w:rsid w:val="00427AFD"/>
    <w:rsid w:val="00427BA6"/>
    <w:rsid w:val="00427E6B"/>
    <w:rsid w:val="00427E9F"/>
    <w:rsid w:val="00427EA3"/>
    <w:rsid w:val="00427EE8"/>
    <w:rsid w:val="00427F4C"/>
    <w:rsid w:val="004302A3"/>
    <w:rsid w:val="004302AB"/>
    <w:rsid w:val="004302AC"/>
    <w:rsid w:val="0043058B"/>
    <w:rsid w:val="0043076E"/>
    <w:rsid w:val="0043099A"/>
    <w:rsid w:val="00430C1C"/>
    <w:rsid w:val="00430C52"/>
    <w:rsid w:val="00430C66"/>
    <w:rsid w:val="00430D03"/>
    <w:rsid w:val="0043103D"/>
    <w:rsid w:val="00431146"/>
    <w:rsid w:val="00431191"/>
    <w:rsid w:val="00431372"/>
    <w:rsid w:val="004313BF"/>
    <w:rsid w:val="0043158A"/>
    <w:rsid w:val="00431595"/>
    <w:rsid w:val="00431990"/>
    <w:rsid w:val="004319AA"/>
    <w:rsid w:val="004319DA"/>
    <w:rsid w:val="00431A41"/>
    <w:rsid w:val="00431DF8"/>
    <w:rsid w:val="00431EEC"/>
    <w:rsid w:val="0043231B"/>
    <w:rsid w:val="00432513"/>
    <w:rsid w:val="00432532"/>
    <w:rsid w:val="004325DE"/>
    <w:rsid w:val="004325F9"/>
    <w:rsid w:val="00432665"/>
    <w:rsid w:val="004328C7"/>
    <w:rsid w:val="004329D9"/>
    <w:rsid w:val="004329DA"/>
    <w:rsid w:val="00432B10"/>
    <w:rsid w:val="00432BC2"/>
    <w:rsid w:val="00432D2B"/>
    <w:rsid w:val="00433019"/>
    <w:rsid w:val="00433063"/>
    <w:rsid w:val="00433066"/>
    <w:rsid w:val="0043309C"/>
    <w:rsid w:val="004331CD"/>
    <w:rsid w:val="00433219"/>
    <w:rsid w:val="004333AF"/>
    <w:rsid w:val="004335CE"/>
    <w:rsid w:val="004337A8"/>
    <w:rsid w:val="00433A88"/>
    <w:rsid w:val="00433AC8"/>
    <w:rsid w:val="00433B5D"/>
    <w:rsid w:val="00433CAE"/>
    <w:rsid w:val="00433D35"/>
    <w:rsid w:val="00434007"/>
    <w:rsid w:val="00434057"/>
    <w:rsid w:val="00434143"/>
    <w:rsid w:val="0043423E"/>
    <w:rsid w:val="004342ED"/>
    <w:rsid w:val="00434311"/>
    <w:rsid w:val="00434404"/>
    <w:rsid w:val="00434472"/>
    <w:rsid w:val="004344CE"/>
    <w:rsid w:val="004346C3"/>
    <w:rsid w:val="004348DC"/>
    <w:rsid w:val="004349A3"/>
    <w:rsid w:val="00434F06"/>
    <w:rsid w:val="004350F2"/>
    <w:rsid w:val="00435110"/>
    <w:rsid w:val="00435153"/>
    <w:rsid w:val="0043519E"/>
    <w:rsid w:val="0043564C"/>
    <w:rsid w:val="00435664"/>
    <w:rsid w:val="004357A8"/>
    <w:rsid w:val="0043597C"/>
    <w:rsid w:val="00435B01"/>
    <w:rsid w:val="00435B08"/>
    <w:rsid w:val="00435C56"/>
    <w:rsid w:val="00435C8D"/>
    <w:rsid w:val="00435E58"/>
    <w:rsid w:val="00436096"/>
    <w:rsid w:val="004360A4"/>
    <w:rsid w:val="00436322"/>
    <w:rsid w:val="00436390"/>
    <w:rsid w:val="004364E1"/>
    <w:rsid w:val="004365F5"/>
    <w:rsid w:val="004366A8"/>
    <w:rsid w:val="004366EC"/>
    <w:rsid w:val="0043673A"/>
    <w:rsid w:val="0043677E"/>
    <w:rsid w:val="0043686A"/>
    <w:rsid w:val="0043693A"/>
    <w:rsid w:val="00436990"/>
    <w:rsid w:val="00436A19"/>
    <w:rsid w:val="00436A77"/>
    <w:rsid w:val="00436A7B"/>
    <w:rsid w:val="00436D6A"/>
    <w:rsid w:val="0043709B"/>
    <w:rsid w:val="004370E8"/>
    <w:rsid w:val="00437117"/>
    <w:rsid w:val="004372E2"/>
    <w:rsid w:val="0043758F"/>
    <w:rsid w:val="004376C3"/>
    <w:rsid w:val="00437715"/>
    <w:rsid w:val="0043775F"/>
    <w:rsid w:val="00437761"/>
    <w:rsid w:val="00437A2A"/>
    <w:rsid w:val="00437BA5"/>
    <w:rsid w:val="00437E03"/>
    <w:rsid w:val="00437E16"/>
    <w:rsid w:val="00437E6A"/>
    <w:rsid w:val="00437F27"/>
    <w:rsid w:val="00437FBA"/>
    <w:rsid w:val="004400EB"/>
    <w:rsid w:val="0044020B"/>
    <w:rsid w:val="00440524"/>
    <w:rsid w:val="00440B11"/>
    <w:rsid w:val="00440CED"/>
    <w:rsid w:val="00440DC9"/>
    <w:rsid w:val="00440F6A"/>
    <w:rsid w:val="004413FA"/>
    <w:rsid w:val="004414A5"/>
    <w:rsid w:val="0044178D"/>
    <w:rsid w:val="004417EA"/>
    <w:rsid w:val="00441910"/>
    <w:rsid w:val="00441E33"/>
    <w:rsid w:val="004424AB"/>
    <w:rsid w:val="00442875"/>
    <w:rsid w:val="00442AE0"/>
    <w:rsid w:val="00442CB5"/>
    <w:rsid w:val="00442D85"/>
    <w:rsid w:val="004431F5"/>
    <w:rsid w:val="00443235"/>
    <w:rsid w:val="00443302"/>
    <w:rsid w:val="0044375B"/>
    <w:rsid w:val="004439DF"/>
    <w:rsid w:val="00443A64"/>
    <w:rsid w:val="00443AF9"/>
    <w:rsid w:val="00443E66"/>
    <w:rsid w:val="00443F9B"/>
    <w:rsid w:val="00443FF4"/>
    <w:rsid w:val="00444026"/>
    <w:rsid w:val="00444056"/>
    <w:rsid w:val="004441C1"/>
    <w:rsid w:val="0044422D"/>
    <w:rsid w:val="004442F7"/>
    <w:rsid w:val="00444844"/>
    <w:rsid w:val="00444CE2"/>
    <w:rsid w:val="00444D2A"/>
    <w:rsid w:val="00445618"/>
    <w:rsid w:val="0044574F"/>
    <w:rsid w:val="0044585C"/>
    <w:rsid w:val="00445AFF"/>
    <w:rsid w:val="00445CF1"/>
    <w:rsid w:val="00445E12"/>
    <w:rsid w:val="00445EBD"/>
    <w:rsid w:val="0044620D"/>
    <w:rsid w:val="00446222"/>
    <w:rsid w:val="00446640"/>
    <w:rsid w:val="0044671B"/>
    <w:rsid w:val="0044676C"/>
    <w:rsid w:val="004468BC"/>
    <w:rsid w:val="00446911"/>
    <w:rsid w:val="00446C50"/>
    <w:rsid w:val="00446CDA"/>
    <w:rsid w:val="00446DBF"/>
    <w:rsid w:val="00446F52"/>
    <w:rsid w:val="0044712C"/>
    <w:rsid w:val="004472A5"/>
    <w:rsid w:val="00447460"/>
    <w:rsid w:val="004475F2"/>
    <w:rsid w:val="004476DE"/>
    <w:rsid w:val="00447B40"/>
    <w:rsid w:val="00447D82"/>
    <w:rsid w:val="00447E76"/>
    <w:rsid w:val="00447F85"/>
    <w:rsid w:val="00450290"/>
    <w:rsid w:val="0045048C"/>
    <w:rsid w:val="00450704"/>
    <w:rsid w:val="0045071D"/>
    <w:rsid w:val="00450793"/>
    <w:rsid w:val="00450842"/>
    <w:rsid w:val="0045090B"/>
    <w:rsid w:val="00450A8D"/>
    <w:rsid w:val="00450C04"/>
    <w:rsid w:val="00450E7A"/>
    <w:rsid w:val="00450FB8"/>
    <w:rsid w:val="00450FC9"/>
    <w:rsid w:val="00451489"/>
    <w:rsid w:val="004514CD"/>
    <w:rsid w:val="004517F1"/>
    <w:rsid w:val="004518BC"/>
    <w:rsid w:val="004519AF"/>
    <w:rsid w:val="00451B02"/>
    <w:rsid w:val="00451B9F"/>
    <w:rsid w:val="00451DD2"/>
    <w:rsid w:val="0045253F"/>
    <w:rsid w:val="00452744"/>
    <w:rsid w:val="00452A80"/>
    <w:rsid w:val="00453023"/>
    <w:rsid w:val="00453071"/>
    <w:rsid w:val="004531B8"/>
    <w:rsid w:val="004533C1"/>
    <w:rsid w:val="004533E9"/>
    <w:rsid w:val="004535DC"/>
    <w:rsid w:val="004537BB"/>
    <w:rsid w:val="00453C5F"/>
    <w:rsid w:val="004540BF"/>
    <w:rsid w:val="004540E0"/>
    <w:rsid w:val="004541F5"/>
    <w:rsid w:val="00454237"/>
    <w:rsid w:val="004543B3"/>
    <w:rsid w:val="0045462E"/>
    <w:rsid w:val="004546AC"/>
    <w:rsid w:val="00454727"/>
    <w:rsid w:val="00454A71"/>
    <w:rsid w:val="00454A7A"/>
    <w:rsid w:val="00454B12"/>
    <w:rsid w:val="00454CA9"/>
    <w:rsid w:val="00454F44"/>
    <w:rsid w:val="00454FB3"/>
    <w:rsid w:val="00455178"/>
    <w:rsid w:val="004552B2"/>
    <w:rsid w:val="004553BC"/>
    <w:rsid w:val="004553BE"/>
    <w:rsid w:val="00455607"/>
    <w:rsid w:val="0045562D"/>
    <w:rsid w:val="004556ED"/>
    <w:rsid w:val="00455742"/>
    <w:rsid w:val="00455877"/>
    <w:rsid w:val="0045591D"/>
    <w:rsid w:val="00455942"/>
    <w:rsid w:val="00455957"/>
    <w:rsid w:val="00455BD4"/>
    <w:rsid w:val="004565C8"/>
    <w:rsid w:val="004565D7"/>
    <w:rsid w:val="00456620"/>
    <w:rsid w:val="004568B6"/>
    <w:rsid w:val="00456966"/>
    <w:rsid w:val="00456A6E"/>
    <w:rsid w:val="00456C43"/>
    <w:rsid w:val="00456E72"/>
    <w:rsid w:val="00457056"/>
    <w:rsid w:val="0045717C"/>
    <w:rsid w:val="004571EF"/>
    <w:rsid w:val="00457636"/>
    <w:rsid w:val="00457641"/>
    <w:rsid w:val="0045764C"/>
    <w:rsid w:val="0045777A"/>
    <w:rsid w:val="004577D9"/>
    <w:rsid w:val="00457A35"/>
    <w:rsid w:val="00457A3C"/>
    <w:rsid w:val="00457BA6"/>
    <w:rsid w:val="00457C01"/>
    <w:rsid w:val="0046013C"/>
    <w:rsid w:val="00460184"/>
    <w:rsid w:val="00460189"/>
    <w:rsid w:val="0046026A"/>
    <w:rsid w:val="00460349"/>
    <w:rsid w:val="00460448"/>
    <w:rsid w:val="004604B9"/>
    <w:rsid w:val="004609EB"/>
    <w:rsid w:val="00460AB4"/>
    <w:rsid w:val="00460F91"/>
    <w:rsid w:val="004610E5"/>
    <w:rsid w:val="0046156C"/>
    <w:rsid w:val="004616C1"/>
    <w:rsid w:val="00462066"/>
    <w:rsid w:val="00462288"/>
    <w:rsid w:val="00462290"/>
    <w:rsid w:val="0046247A"/>
    <w:rsid w:val="0046270F"/>
    <w:rsid w:val="00462781"/>
    <w:rsid w:val="0046299D"/>
    <w:rsid w:val="004629C5"/>
    <w:rsid w:val="00462AC3"/>
    <w:rsid w:val="00462C94"/>
    <w:rsid w:val="004631A7"/>
    <w:rsid w:val="0046376F"/>
    <w:rsid w:val="00463B53"/>
    <w:rsid w:val="00463E10"/>
    <w:rsid w:val="004640F5"/>
    <w:rsid w:val="00464491"/>
    <w:rsid w:val="004644CF"/>
    <w:rsid w:val="00464723"/>
    <w:rsid w:val="004647B2"/>
    <w:rsid w:val="004647D9"/>
    <w:rsid w:val="00464A33"/>
    <w:rsid w:val="00464A3B"/>
    <w:rsid w:val="00464C8F"/>
    <w:rsid w:val="00464EA8"/>
    <w:rsid w:val="00465101"/>
    <w:rsid w:val="004652C0"/>
    <w:rsid w:val="00465327"/>
    <w:rsid w:val="0046538C"/>
    <w:rsid w:val="0046584A"/>
    <w:rsid w:val="00465C1F"/>
    <w:rsid w:val="00465F97"/>
    <w:rsid w:val="00466087"/>
    <w:rsid w:val="00466227"/>
    <w:rsid w:val="0046663E"/>
    <w:rsid w:val="00466984"/>
    <w:rsid w:val="00466E82"/>
    <w:rsid w:val="00467023"/>
    <w:rsid w:val="004671D3"/>
    <w:rsid w:val="004674EF"/>
    <w:rsid w:val="00467713"/>
    <w:rsid w:val="00467936"/>
    <w:rsid w:val="00467B37"/>
    <w:rsid w:val="00467B42"/>
    <w:rsid w:val="00467C36"/>
    <w:rsid w:val="00467C93"/>
    <w:rsid w:val="00467D72"/>
    <w:rsid w:val="00467D7C"/>
    <w:rsid w:val="00470298"/>
    <w:rsid w:val="004702AD"/>
    <w:rsid w:val="0047043E"/>
    <w:rsid w:val="00470468"/>
    <w:rsid w:val="00470569"/>
    <w:rsid w:val="00470597"/>
    <w:rsid w:val="00470A28"/>
    <w:rsid w:val="00470A4B"/>
    <w:rsid w:val="00470EC5"/>
    <w:rsid w:val="00470FE9"/>
    <w:rsid w:val="0047100F"/>
    <w:rsid w:val="004711AD"/>
    <w:rsid w:val="00471359"/>
    <w:rsid w:val="0047187E"/>
    <w:rsid w:val="004718FD"/>
    <w:rsid w:val="0047192C"/>
    <w:rsid w:val="00471B50"/>
    <w:rsid w:val="00471CC1"/>
    <w:rsid w:val="00471F94"/>
    <w:rsid w:val="00472602"/>
    <w:rsid w:val="0047271A"/>
    <w:rsid w:val="004727B5"/>
    <w:rsid w:val="004728C2"/>
    <w:rsid w:val="004728E9"/>
    <w:rsid w:val="004728F7"/>
    <w:rsid w:val="00472A35"/>
    <w:rsid w:val="00472CF6"/>
    <w:rsid w:val="00472DAC"/>
    <w:rsid w:val="004732D6"/>
    <w:rsid w:val="0047333C"/>
    <w:rsid w:val="0047387E"/>
    <w:rsid w:val="00473B20"/>
    <w:rsid w:val="00473C8F"/>
    <w:rsid w:val="00473D45"/>
    <w:rsid w:val="00473DA0"/>
    <w:rsid w:val="00473DE0"/>
    <w:rsid w:val="00473F13"/>
    <w:rsid w:val="00473F2B"/>
    <w:rsid w:val="00473FA1"/>
    <w:rsid w:val="00474053"/>
    <w:rsid w:val="0047424D"/>
    <w:rsid w:val="00474423"/>
    <w:rsid w:val="00474448"/>
    <w:rsid w:val="00474787"/>
    <w:rsid w:val="00474B38"/>
    <w:rsid w:val="00474B5F"/>
    <w:rsid w:val="00474BC7"/>
    <w:rsid w:val="00474D45"/>
    <w:rsid w:val="00475168"/>
    <w:rsid w:val="00475495"/>
    <w:rsid w:val="004754D5"/>
    <w:rsid w:val="0047576C"/>
    <w:rsid w:val="00475799"/>
    <w:rsid w:val="004757A5"/>
    <w:rsid w:val="00475925"/>
    <w:rsid w:val="004759B9"/>
    <w:rsid w:val="00475A57"/>
    <w:rsid w:val="00475AE7"/>
    <w:rsid w:val="00475BCF"/>
    <w:rsid w:val="00475BD6"/>
    <w:rsid w:val="00475C58"/>
    <w:rsid w:val="00475C5A"/>
    <w:rsid w:val="00475EBF"/>
    <w:rsid w:val="00475F4E"/>
    <w:rsid w:val="00475FFA"/>
    <w:rsid w:val="0047610E"/>
    <w:rsid w:val="004761B0"/>
    <w:rsid w:val="004764D3"/>
    <w:rsid w:val="00476567"/>
    <w:rsid w:val="00476A50"/>
    <w:rsid w:val="00476B6C"/>
    <w:rsid w:val="00476C15"/>
    <w:rsid w:val="00476DCE"/>
    <w:rsid w:val="004770E1"/>
    <w:rsid w:val="004770FA"/>
    <w:rsid w:val="0047739F"/>
    <w:rsid w:val="004773AD"/>
    <w:rsid w:val="0047743C"/>
    <w:rsid w:val="00477486"/>
    <w:rsid w:val="004774B7"/>
    <w:rsid w:val="0047770F"/>
    <w:rsid w:val="00477B13"/>
    <w:rsid w:val="00480082"/>
    <w:rsid w:val="004800D0"/>
    <w:rsid w:val="00480668"/>
    <w:rsid w:val="00480690"/>
    <w:rsid w:val="0048080C"/>
    <w:rsid w:val="0048083A"/>
    <w:rsid w:val="00480B3F"/>
    <w:rsid w:val="00480B78"/>
    <w:rsid w:val="00481020"/>
    <w:rsid w:val="004810AC"/>
    <w:rsid w:val="004810EC"/>
    <w:rsid w:val="004811BF"/>
    <w:rsid w:val="004812BA"/>
    <w:rsid w:val="004814C2"/>
    <w:rsid w:val="00481876"/>
    <w:rsid w:val="00481931"/>
    <w:rsid w:val="00481A47"/>
    <w:rsid w:val="00481D7A"/>
    <w:rsid w:val="00481FA2"/>
    <w:rsid w:val="00481FA4"/>
    <w:rsid w:val="0048201F"/>
    <w:rsid w:val="004820C5"/>
    <w:rsid w:val="004821A5"/>
    <w:rsid w:val="00482396"/>
    <w:rsid w:val="00482446"/>
    <w:rsid w:val="00482481"/>
    <w:rsid w:val="00482502"/>
    <w:rsid w:val="0048257E"/>
    <w:rsid w:val="004826E6"/>
    <w:rsid w:val="0048283F"/>
    <w:rsid w:val="004829E9"/>
    <w:rsid w:val="00482B89"/>
    <w:rsid w:val="00482BB8"/>
    <w:rsid w:val="00482BF3"/>
    <w:rsid w:val="00482C69"/>
    <w:rsid w:val="00482D3D"/>
    <w:rsid w:val="00482EA9"/>
    <w:rsid w:val="0048330B"/>
    <w:rsid w:val="004833C5"/>
    <w:rsid w:val="004833F2"/>
    <w:rsid w:val="00483437"/>
    <w:rsid w:val="004836AD"/>
    <w:rsid w:val="00483841"/>
    <w:rsid w:val="00483BE5"/>
    <w:rsid w:val="00483D74"/>
    <w:rsid w:val="00483EAC"/>
    <w:rsid w:val="00483FD2"/>
    <w:rsid w:val="00484108"/>
    <w:rsid w:val="00484229"/>
    <w:rsid w:val="00484370"/>
    <w:rsid w:val="0048464A"/>
    <w:rsid w:val="004846E1"/>
    <w:rsid w:val="004846F5"/>
    <w:rsid w:val="0048477D"/>
    <w:rsid w:val="004847A4"/>
    <w:rsid w:val="00484825"/>
    <w:rsid w:val="004848F7"/>
    <w:rsid w:val="00484CCD"/>
    <w:rsid w:val="00484DC3"/>
    <w:rsid w:val="0048542F"/>
    <w:rsid w:val="00485568"/>
    <w:rsid w:val="004856D3"/>
    <w:rsid w:val="00485AA6"/>
    <w:rsid w:val="00485CEC"/>
    <w:rsid w:val="00485D94"/>
    <w:rsid w:val="00485E1F"/>
    <w:rsid w:val="00485FF0"/>
    <w:rsid w:val="00486349"/>
    <w:rsid w:val="004865CB"/>
    <w:rsid w:val="004865D7"/>
    <w:rsid w:val="0048683D"/>
    <w:rsid w:val="00486CFD"/>
    <w:rsid w:val="00486EBF"/>
    <w:rsid w:val="00486F5E"/>
    <w:rsid w:val="0048766A"/>
    <w:rsid w:val="0048771F"/>
    <w:rsid w:val="0048788D"/>
    <w:rsid w:val="00487A11"/>
    <w:rsid w:val="00487D32"/>
    <w:rsid w:val="00487DA2"/>
    <w:rsid w:val="00487DFD"/>
    <w:rsid w:val="00487E31"/>
    <w:rsid w:val="0049001F"/>
    <w:rsid w:val="00490136"/>
    <w:rsid w:val="004902CF"/>
    <w:rsid w:val="004903A9"/>
    <w:rsid w:val="004905BD"/>
    <w:rsid w:val="00490609"/>
    <w:rsid w:val="00490908"/>
    <w:rsid w:val="00490D4A"/>
    <w:rsid w:val="00490DF7"/>
    <w:rsid w:val="00490E9E"/>
    <w:rsid w:val="004911F3"/>
    <w:rsid w:val="004915DB"/>
    <w:rsid w:val="00491642"/>
    <w:rsid w:val="004916DA"/>
    <w:rsid w:val="004917B9"/>
    <w:rsid w:val="00491A20"/>
    <w:rsid w:val="00491A7A"/>
    <w:rsid w:val="00491C12"/>
    <w:rsid w:val="00491C81"/>
    <w:rsid w:val="00491C87"/>
    <w:rsid w:val="00491DB9"/>
    <w:rsid w:val="00491DEA"/>
    <w:rsid w:val="00491E5D"/>
    <w:rsid w:val="00491EA7"/>
    <w:rsid w:val="004920CE"/>
    <w:rsid w:val="004921A7"/>
    <w:rsid w:val="004922D9"/>
    <w:rsid w:val="00492353"/>
    <w:rsid w:val="00492384"/>
    <w:rsid w:val="0049243C"/>
    <w:rsid w:val="00492805"/>
    <w:rsid w:val="0049288D"/>
    <w:rsid w:val="00492C10"/>
    <w:rsid w:val="00492C46"/>
    <w:rsid w:val="00492D0B"/>
    <w:rsid w:val="00492D4C"/>
    <w:rsid w:val="00492F7A"/>
    <w:rsid w:val="00493033"/>
    <w:rsid w:val="00493146"/>
    <w:rsid w:val="00493298"/>
    <w:rsid w:val="00493829"/>
    <w:rsid w:val="00493A08"/>
    <w:rsid w:val="00493AB1"/>
    <w:rsid w:val="00493ACE"/>
    <w:rsid w:val="0049430C"/>
    <w:rsid w:val="0049438C"/>
    <w:rsid w:val="00494395"/>
    <w:rsid w:val="004943C4"/>
    <w:rsid w:val="0049443F"/>
    <w:rsid w:val="00494504"/>
    <w:rsid w:val="0049459A"/>
    <w:rsid w:val="004945FC"/>
    <w:rsid w:val="004947F1"/>
    <w:rsid w:val="00494A97"/>
    <w:rsid w:val="00494BCC"/>
    <w:rsid w:val="00494C31"/>
    <w:rsid w:val="004950B1"/>
    <w:rsid w:val="00495500"/>
    <w:rsid w:val="00495734"/>
    <w:rsid w:val="00495CF6"/>
    <w:rsid w:val="00495FEA"/>
    <w:rsid w:val="004960C0"/>
    <w:rsid w:val="00496991"/>
    <w:rsid w:val="00496A94"/>
    <w:rsid w:val="00496D16"/>
    <w:rsid w:val="00496E26"/>
    <w:rsid w:val="00496FB4"/>
    <w:rsid w:val="00497083"/>
    <w:rsid w:val="004970B7"/>
    <w:rsid w:val="0049750A"/>
    <w:rsid w:val="0049753D"/>
    <w:rsid w:val="00497624"/>
    <w:rsid w:val="004976F2"/>
    <w:rsid w:val="004977B4"/>
    <w:rsid w:val="004977BA"/>
    <w:rsid w:val="004977EE"/>
    <w:rsid w:val="004978D8"/>
    <w:rsid w:val="004978DC"/>
    <w:rsid w:val="00497C2A"/>
    <w:rsid w:val="00497CF9"/>
    <w:rsid w:val="00497DB6"/>
    <w:rsid w:val="004A00C0"/>
    <w:rsid w:val="004A00D5"/>
    <w:rsid w:val="004A04FE"/>
    <w:rsid w:val="004A053B"/>
    <w:rsid w:val="004A0DB7"/>
    <w:rsid w:val="004A0E64"/>
    <w:rsid w:val="004A103A"/>
    <w:rsid w:val="004A103F"/>
    <w:rsid w:val="004A1395"/>
    <w:rsid w:val="004A13BE"/>
    <w:rsid w:val="004A1550"/>
    <w:rsid w:val="004A192C"/>
    <w:rsid w:val="004A19CB"/>
    <w:rsid w:val="004A1D72"/>
    <w:rsid w:val="004A1D98"/>
    <w:rsid w:val="004A2042"/>
    <w:rsid w:val="004A20AD"/>
    <w:rsid w:val="004A213A"/>
    <w:rsid w:val="004A21A9"/>
    <w:rsid w:val="004A2348"/>
    <w:rsid w:val="004A23DF"/>
    <w:rsid w:val="004A25CD"/>
    <w:rsid w:val="004A2ACF"/>
    <w:rsid w:val="004A2B94"/>
    <w:rsid w:val="004A2C53"/>
    <w:rsid w:val="004A2EAB"/>
    <w:rsid w:val="004A3075"/>
    <w:rsid w:val="004A33F0"/>
    <w:rsid w:val="004A3572"/>
    <w:rsid w:val="004A367A"/>
    <w:rsid w:val="004A38E2"/>
    <w:rsid w:val="004A3B13"/>
    <w:rsid w:val="004A3F6C"/>
    <w:rsid w:val="004A403E"/>
    <w:rsid w:val="004A42FE"/>
    <w:rsid w:val="004A4325"/>
    <w:rsid w:val="004A444E"/>
    <w:rsid w:val="004A44EE"/>
    <w:rsid w:val="004A458B"/>
    <w:rsid w:val="004A4733"/>
    <w:rsid w:val="004A47A5"/>
    <w:rsid w:val="004A48F1"/>
    <w:rsid w:val="004A4A29"/>
    <w:rsid w:val="004A4CEE"/>
    <w:rsid w:val="004A4D10"/>
    <w:rsid w:val="004A5118"/>
    <w:rsid w:val="004A54E0"/>
    <w:rsid w:val="004A59E4"/>
    <w:rsid w:val="004A5BA0"/>
    <w:rsid w:val="004A5CC6"/>
    <w:rsid w:val="004A60F6"/>
    <w:rsid w:val="004A613C"/>
    <w:rsid w:val="004A617B"/>
    <w:rsid w:val="004A6326"/>
    <w:rsid w:val="004A6487"/>
    <w:rsid w:val="004A654C"/>
    <w:rsid w:val="004A6670"/>
    <w:rsid w:val="004A6BDD"/>
    <w:rsid w:val="004A6BFE"/>
    <w:rsid w:val="004A6D72"/>
    <w:rsid w:val="004A6D8C"/>
    <w:rsid w:val="004A6FB4"/>
    <w:rsid w:val="004A70A6"/>
    <w:rsid w:val="004A70B2"/>
    <w:rsid w:val="004A72A6"/>
    <w:rsid w:val="004A72A9"/>
    <w:rsid w:val="004A78A0"/>
    <w:rsid w:val="004A7E4F"/>
    <w:rsid w:val="004B00B8"/>
    <w:rsid w:val="004B039C"/>
    <w:rsid w:val="004B0901"/>
    <w:rsid w:val="004B096A"/>
    <w:rsid w:val="004B09A6"/>
    <w:rsid w:val="004B0B8F"/>
    <w:rsid w:val="004B0FF3"/>
    <w:rsid w:val="004B10BE"/>
    <w:rsid w:val="004B12C6"/>
    <w:rsid w:val="004B159D"/>
    <w:rsid w:val="004B16B6"/>
    <w:rsid w:val="004B17DC"/>
    <w:rsid w:val="004B1AA6"/>
    <w:rsid w:val="004B1B43"/>
    <w:rsid w:val="004B1BF3"/>
    <w:rsid w:val="004B21BC"/>
    <w:rsid w:val="004B224F"/>
    <w:rsid w:val="004B2263"/>
    <w:rsid w:val="004B22CA"/>
    <w:rsid w:val="004B2538"/>
    <w:rsid w:val="004B2603"/>
    <w:rsid w:val="004B2790"/>
    <w:rsid w:val="004B2B0F"/>
    <w:rsid w:val="004B2B49"/>
    <w:rsid w:val="004B2D99"/>
    <w:rsid w:val="004B3035"/>
    <w:rsid w:val="004B3066"/>
    <w:rsid w:val="004B3387"/>
    <w:rsid w:val="004B33DB"/>
    <w:rsid w:val="004B3746"/>
    <w:rsid w:val="004B3A94"/>
    <w:rsid w:val="004B3A96"/>
    <w:rsid w:val="004B3CAB"/>
    <w:rsid w:val="004B3FDF"/>
    <w:rsid w:val="004B4180"/>
    <w:rsid w:val="004B4547"/>
    <w:rsid w:val="004B45A6"/>
    <w:rsid w:val="004B45AE"/>
    <w:rsid w:val="004B4724"/>
    <w:rsid w:val="004B4A0A"/>
    <w:rsid w:val="004B4E13"/>
    <w:rsid w:val="004B4FB1"/>
    <w:rsid w:val="004B5035"/>
    <w:rsid w:val="004B5037"/>
    <w:rsid w:val="004B5517"/>
    <w:rsid w:val="004B572B"/>
    <w:rsid w:val="004B5736"/>
    <w:rsid w:val="004B5A2A"/>
    <w:rsid w:val="004B5D0B"/>
    <w:rsid w:val="004B5DB9"/>
    <w:rsid w:val="004B5FF2"/>
    <w:rsid w:val="004B66B3"/>
    <w:rsid w:val="004B67A5"/>
    <w:rsid w:val="004B694A"/>
    <w:rsid w:val="004B69CA"/>
    <w:rsid w:val="004B69E3"/>
    <w:rsid w:val="004B6BA3"/>
    <w:rsid w:val="004B6C96"/>
    <w:rsid w:val="004B6E4D"/>
    <w:rsid w:val="004B7077"/>
    <w:rsid w:val="004B7099"/>
    <w:rsid w:val="004B712F"/>
    <w:rsid w:val="004B724E"/>
    <w:rsid w:val="004B72ED"/>
    <w:rsid w:val="004B75D5"/>
    <w:rsid w:val="004B77D7"/>
    <w:rsid w:val="004B79F6"/>
    <w:rsid w:val="004B7C15"/>
    <w:rsid w:val="004B7C2A"/>
    <w:rsid w:val="004B7CBF"/>
    <w:rsid w:val="004B7E9D"/>
    <w:rsid w:val="004B7EC3"/>
    <w:rsid w:val="004B7F3C"/>
    <w:rsid w:val="004B7FB1"/>
    <w:rsid w:val="004C0129"/>
    <w:rsid w:val="004C068B"/>
    <w:rsid w:val="004C0700"/>
    <w:rsid w:val="004C0814"/>
    <w:rsid w:val="004C09E2"/>
    <w:rsid w:val="004C0A64"/>
    <w:rsid w:val="004C0E8D"/>
    <w:rsid w:val="004C0ED5"/>
    <w:rsid w:val="004C111C"/>
    <w:rsid w:val="004C1151"/>
    <w:rsid w:val="004C116D"/>
    <w:rsid w:val="004C1241"/>
    <w:rsid w:val="004C1330"/>
    <w:rsid w:val="004C144C"/>
    <w:rsid w:val="004C1674"/>
    <w:rsid w:val="004C1AC3"/>
    <w:rsid w:val="004C1C5E"/>
    <w:rsid w:val="004C1D1C"/>
    <w:rsid w:val="004C1D96"/>
    <w:rsid w:val="004C1E32"/>
    <w:rsid w:val="004C201B"/>
    <w:rsid w:val="004C2075"/>
    <w:rsid w:val="004C25A5"/>
    <w:rsid w:val="004C2D8C"/>
    <w:rsid w:val="004C2FDE"/>
    <w:rsid w:val="004C3123"/>
    <w:rsid w:val="004C3144"/>
    <w:rsid w:val="004C31DB"/>
    <w:rsid w:val="004C31ED"/>
    <w:rsid w:val="004C3217"/>
    <w:rsid w:val="004C331B"/>
    <w:rsid w:val="004C33B2"/>
    <w:rsid w:val="004C3489"/>
    <w:rsid w:val="004C3891"/>
    <w:rsid w:val="004C3902"/>
    <w:rsid w:val="004C3986"/>
    <w:rsid w:val="004C39ED"/>
    <w:rsid w:val="004C3A14"/>
    <w:rsid w:val="004C3A1B"/>
    <w:rsid w:val="004C3AD0"/>
    <w:rsid w:val="004C4113"/>
    <w:rsid w:val="004C461E"/>
    <w:rsid w:val="004C4FD9"/>
    <w:rsid w:val="004C514C"/>
    <w:rsid w:val="004C55F5"/>
    <w:rsid w:val="004C5619"/>
    <w:rsid w:val="004C580E"/>
    <w:rsid w:val="004C596F"/>
    <w:rsid w:val="004C59A0"/>
    <w:rsid w:val="004C5C7E"/>
    <w:rsid w:val="004C5CE7"/>
    <w:rsid w:val="004C602E"/>
    <w:rsid w:val="004C61A4"/>
    <w:rsid w:val="004C65B5"/>
    <w:rsid w:val="004C6899"/>
    <w:rsid w:val="004C68E9"/>
    <w:rsid w:val="004C6B66"/>
    <w:rsid w:val="004C6BEC"/>
    <w:rsid w:val="004C6C97"/>
    <w:rsid w:val="004C712C"/>
    <w:rsid w:val="004C725A"/>
    <w:rsid w:val="004C75AF"/>
    <w:rsid w:val="004C773A"/>
    <w:rsid w:val="004C784B"/>
    <w:rsid w:val="004C7992"/>
    <w:rsid w:val="004C7C65"/>
    <w:rsid w:val="004C7CB9"/>
    <w:rsid w:val="004C7E84"/>
    <w:rsid w:val="004D032B"/>
    <w:rsid w:val="004D03C1"/>
    <w:rsid w:val="004D053E"/>
    <w:rsid w:val="004D0829"/>
    <w:rsid w:val="004D0906"/>
    <w:rsid w:val="004D0ADC"/>
    <w:rsid w:val="004D0F74"/>
    <w:rsid w:val="004D108B"/>
    <w:rsid w:val="004D1125"/>
    <w:rsid w:val="004D1142"/>
    <w:rsid w:val="004D146B"/>
    <w:rsid w:val="004D1637"/>
    <w:rsid w:val="004D170E"/>
    <w:rsid w:val="004D18A1"/>
    <w:rsid w:val="004D19A7"/>
    <w:rsid w:val="004D1A95"/>
    <w:rsid w:val="004D1AAF"/>
    <w:rsid w:val="004D2057"/>
    <w:rsid w:val="004D232A"/>
    <w:rsid w:val="004D2354"/>
    <w:rsid w:val="004D2428"/>
    <w:rsid w:val="004D2498"/>
    <w:rsid w:val="004D2699"/>
    <w:rsid w:val="004D27CC"/>
    <w:rsid w:val="004D28FA"/>
    <w:rsid w:val="004D29B3"/>
    <w:rsid w:val="004D2A8A"/>
    <w:rsid w:val="004D2BB6"/>
    <w:rsid w:val="004D2BD0"/>
    <w:rsid w:val="004D2D7A"/>
    <w:rsid w:val="004D2F6B"/>
    <w:rsid w:val="004D2FDF"/>
    <w:rsid w:val="004D31DA"/>
    <w:rsid w:val="004D3413"/>
    <w:rsid w:val="004D38F4"/>
    <w:rsid w:val="004D3B3D"/>
    <w:rsid w:val="004D3BF6"/>
    <w:rsid w:val="004D3F78"/>
    <w:rsid w:val="004D4061"/>
    <w:rsid w:val="004D411A"/>
    <w:rsid w:val="004D4569"/>
    <w:rsid w:val="004D458B"/>
    <w:rsid w:val="004D475B"/>
    <w:rsid w:val="004D49C9"/>
    <w:rsid w:val="004D4D72"/>
    <w:rsid w:val="004D5147"/>
    <w:rsid w:val="004D52C8"/>
    <w:rsid w:val="004D52E6"/>
    <w:rsid w:val="004D56B3"/>
    <w:rsid w:val="004D58C3"/>
    <w:rsid w:val="004D5F50"/>
    <w:rsid w:val="004D611B"/>
    <w:rsid w:val="004D6135"/>
    <w:rsid w:val="004D6275"/>
    <w:rsid w:val="004D633C"/>
    <w:rsid w:val="004D645A"/>
    <w:rsid w:val="004D66CB"/>
    <w:rsid w:val="004D6702"/>
    <w:rsid w:val="004D7089"/>
    <w:rsid w:val="004D72F2"/>
    <w:rsid w:val="004D761B"/>
    <w:rsid w:val="004D775E"/>
    <w:rsid w:val="004D7787"/>
    <w:rsid w:val="004D79CA"/>
    <w:rsid w:val="004D7B3D"/>
    <w:rsid w:val="004D7B95"/>
    <w:rsid w:val="004D7E76"/>
    <w:rsid w:val="004D7FB0"/>
    <w:rsid w:val="004E00B7"/>
    <w:rsid w:val="004E0184"/>
    <w:rsid w:val="004E045A"/>
    <w:rsid w:val="004E0835"/>
    <w:rsid w:val="004E0AE1"/>
    <w:rsid w:val="004E0F46"/>
    <w:rsid w:val="004E10E6"/>
    <w:rsid w:val="004E123D"/>
    <w:rsid w:val="004E1244"/>
    <w:rsid w:val="004E1427"/>
    <w:rsid w:val="004E14AB"/>
    <w:rsid w:val="004E14CF"/>
    <w:rsid w:val="004E150E"/>
    <w:rsid w:val="004E16A4"/>
    <w:rsid w:val="004E184E"/>
    <w:rsid w:val="004E1870"/>
    <w:rsid w:val="004E1924"/>
    <w:rsid w:val="004E1BF0"/>
    <w:rsid w:val="004E1C0A"/>
    <w:rsid w:val="004E1C41"/>
    <w:rsid w:val="004E1F11"/>
    <w:rsid w:val="004E1FFF"/>
    <w:rsid w:val="004E2130"/>
    <w:rsid w:val="004E231B"/>
    <w:rsid w:val="004E23F1"/>
    <w:rsid w:val="004E2500"/>
    <w:rsid w:val="004E2577"/>
    <w:rsid w:val="004E2990"/>
    <w:rsid w:val="004E2BD0"/>
    <w:rsid w:val="004E2C54"/>
    <w:rsid w:val="004E2E90"/>
    <w:rsid w:val="004E2FC9"/>
    <w:rsid w:val="004E2FDF"/>
    <w:rsid w:val="004E3275"/>
    <w:rsid w:val="004E3395"/>
    <w:rsid w:val="004E342F"/>
    <w:rsid w:val="004E3490"/>
    <w:rsid w:val="004E3832"/>
    <w:rsid w:val="004E3A0D"/>
    <w:rsid w:val="004E426F"/>
    <w:rsid w:val="004E42C5"/>
    <w:rsid w:val="004E4370"/>
    <w:rsid w:val="004E4380"/>
    <w:rsid w:val="004E4391"/>
    <w:rsid w:val="004E46F9"/>
    <w:rsid w:val="004E489F"/>
    <w:rsid w:val="004E4906"/>
    <w:rsid w:val="004E4B77"/>
    <w:rsid w:val="004E4C07"/>
    <w:rsid w:val="004E4C59"/>
    <w:rsid w:val="004E4D29"/>
    <w:rsid w:val="004E513F"/>
    <w:rsid w:val="004E519A"/>
    <w:rsid w:val="004E5388"/>
    <w:rsid w:val="004E5414"/>
    <w:rsid w:val="004E5502"/>
    <w:rsid w:val="004E5700"/>
    <w:rsid w:val="004E5969"/>
    <w:rsid w:val="004E5B85"/>
    <w:rsid w:val="004E5BAF"/>
    <w:rsid w:val="004E5FA8"/>
    <w:rsid w:val="004E6161"/>
    <w:rsid w:val="004E617F"/>
    <w:rsid w:val="004E62BB"/>
    <w:rsid w:val="004E6333"/>
    <w:rsid w:val="004E68A4"/>
    <w:rsid w:val="004E68B4"/>
    <w:rsid w:val="004E6A52"/>
    <w:rsid w:val="004E71D5"/>
    <w:rsid w:val="004E7200"/>
    <w:rsid w:val="004E7421"/>
    <w:rsid w:val="004E7516"/>
    <w:rsid w:val="004E7A56"/>
    <w:rsid w:val="004E7ABC"/>
    <w:rsid w:val="004E7D7A"/>
    <w:rsid w:val="004E7E40"/>
    <w:rsid w:val="004F0019"/>
    <w:rsid w:val="004F0070"/>
    <w:rsid w:val="004F0165"/>
    <w:rsid w:val="004F056B"/>
    <w:rsid w:val="004F0624"/>
    <w:rsid w:val="004F0687"/>
    <w:rsid w:val="004F0799"/>
    <w:rsid w:val="004F086F"/>
    <w:rsid w:val="004F08EC"/>
    <w:rsid w:val="004F0B7D"/>
    <w:rsid w:val="004F0BF0"/>
    <w:rsid w:val="004F1516"/>
    <w:rsid w:val="004F151F"/>
    <w:rsid w:val="004F1571"/>
    <w:rsid w:val="004F175A"/>
    <w:rsid w:val="004F1AFA"/>
    <w:rsid w:val="004F1C4A"/>
    <w:rsid w:val="004F1CD5"/>
    <w:rsid w:val="004F1D13"/>
    <w:rsid w:val="004F1E4C"/>
    <w:rsid w:val="004F1E79"/>
    <w:rsid w:val="004F2050"/>
    <w:rsid w:val="004F213D"/>
    <w:rsid w:val="004F21CF"/>
    <w:rsid w:val="004F22EE"/>
    <w:rsid w:val="004F2525"/>
    <w:rsid w:val="004F2AF6"/>
    <w:rsid w:val="004F2B0B"/>
    <w:rsid w:val="004F2D76"/>
    <w:rsid w:val="004F317A"/>
    <w:rsid w:val="004F374A"/>
    <w:rsid w:val="004F389C"/>
    <w:rsid w:val="004F3A22"/>
    <w:rsid w:val="004F3AA0"/>
    <w:rsid w:val="004F3C2B"/>
    <w:rsid w:val="004F3C79"/>
    <w:rsid w:val="004F3CF6"/>
    <w:rsid w:val="004F4038"/>
    <w:rsid w:val="004F408A"/>
    <w:rsid w:val="004F4108"/>
    <w:rsid w:val="004F4153"/>
    <w:rsid w:val="004F41C0"/>
    <w:rsid w:val="004F4603"/>
    <w:rsid w:val="004F4621"/>
    <w:rsid w:val="004F4638"/>
    <w:rsid w:val="004F47A3"/>
    <w:rsid w:val="004F4818"/>
    <w:rsid w:val="004F48A0"/>
    <w:rsid w:val="004F496B"/>
    <w:rsid w:val="004F4A52"/>
    <w:rsid w:val="004F4B02"/>
    <w:rsid w:val="004F4C61"/>
    <w:rsid w:val="004F4C93"/>
    <w:rsid w:val="004F4D85"/>
    <w:rsid w:val="004F4DFA"/>
    <w:rsid w:val="004F4EB1"/>
    <w:rsid w:val="004F4F87"/>
    <w:rsid w:val="004F51C3"/>
    <w:rsid w:val="004F549C"/>
    <w:rsid w:val="004F5699"/>
    <w:rsid w:val="004F582B"/>
    <w:rsid w:val="004F5984"/>
    <w:rsid w:val="004F5AB0"/>
    <w:rsid w:val="004F5C69"/>
    <w:rsid w:val="004F5F1A"/>
    <w:rsid w:val="004F5F3A"/>
    <w:rsid w:val="004F6092"/>
    <w:rsid w:val="004F60C1"/>
    <w:rsid w:val="004F623E"/>
    <w:rsid w:val="004F6272"/>
    <w:rsid w:val="004F6C14"/>
    <w:rsid w:val="004F6CCE"/>
    <w:rsid w:val="004F6E68"/>
    <w:rsid w:val="004F6E7F"/>
    <w:rsid w:val="004F7482"/>
    <w:rsid w:val="004F74E1"/>
    <w:rsid w:val="004F7527"/>
    <w:rsid w:val="004F7685"/>
    <w:rsid w:val="004F76B0"/>
    <w:rsid w:val="004F7963"/>
    <w:rsid w:val="004F7AAF"/>
    <w:rsid w:val="004F7BAB"/>
    <w:rsid w:val="004F7CED"/>
    <w:rsid w:val="004F7EE4"/>
    <w:rsid w:val="005000B9"/>
    <w:rsid w:val="005000BC"/>
    <w:rsid w:val="005002E8"/>
    <w:rsid w:val="00500439"/>
    <w:rsid w:val="005007BC"/>
    <w:rsid w:val="00500AE8"/>
    <w:rsid w:val="00501220"/>
    <w:rsid w:val="005014D1"/>
    <w:rsid w:val="005015D8"/>
    <w:rsid w:val="005016DF"/>
    <w:rsid w:val="00501AAB"/>
    <w:rsid w:val="00501EAA"/>
    <w:rsid w:val="005020EF"/>
    <w:rsid w:val="00502192"/>
    <w:rsid w:val="00502281"/>
    <w:rsid w:val="005028E9"/>
    <w:rsid w:val="00502FAA"/>
    <w:rsid w:val="005030BC"/>
    <w:rsid w:val="00503120"/>
    <w:rsid w:val="005033A1"/>
    <w:rsid w:val="005033B1"/>
    <w:rsid w:val="00503478"/>
    <w:rsid w:val="0050383E"/>
    <w:rsid w:val="005039C7"/>
    <w:rsid w:val="00503B2F"/>
    <w:rsid w:val="00503C6F"/>
    <w:rsid w:val="00503F15"/>
    <w:rsid w:val="00503FD1"/>
    <w:rsid w:val="005043D3"/>
    <w:rsid w:val="0050448B"/>
    <w:rsid w:val="0050451C"/>
    <w:rsid w:val="00504676"/>
    <w:rsid w:val="005048BE"/>
    <w:rsid w:val="0050498C"/>
    <w:rsid w:val="005049E5"/>
    <w:rsid w:val="00504E22"/>
    <w:rsid w:val="005054FC"/>
    <w:rsid w:val="005058B4"/>
    <w:rsid w:val="00505934"/>
    <w:rsid w:val="00505BBD"/>
    <w:rsid w:val="00505BDC"/>
    <w:rsid w:val="0050604E"/>
    <w:rsid w:val="005060CD"/>
    <w:rsid w:val="005067C6"/>
    <w:rsid w:val="005069A2"/>
    <w:rsid w:val="00506A11"/>
    <w:rsid w:val="00506BD1"/>
    <w:rsid w:val="00506C92"/>
    <w:rsid w:val="00506FEB"/>
    <w:rsid w:val="005070D1"/>
    <w:rsid w:val="005070E3"/>
    <w:rsid w:val="005070E5"/>
    <w:rsid w:val="0050711E"/>
    <w:rsid w:val="005071EA"/>
    <w:rsid w:val="00507236"/>
    <w:rsid w:val="0050752B"/>
    <w:rsid w:val="005077C4"/>
    <w:rsid w:val="0050790B"/>
    <w:rsid w:val="00507D31"/>
    <w:rsid w:val="00507F0D"/>
    <w:rsid w:val="0051027D"/>
    <w:rsid w:val="00510568"/>
    <w:rsid w:val="005106D4"/>
    <w:rsid w:val="00510816"/>
    <w:rsid w:val="0051087E"/>
    <w:rsid w:val="0051092B"/>
    <w:rsid w:val="00510C42"/>
    <w:rsid w:val="00510CA3"/>
    <w:rsid w:val="00510CFD"/>
    <w:rsid w:val="00510D2F"/>
    <w:rsid w:val="00510E1B"/>
    <w:rsid w:val="00510F5E"/>
    <w:rsid w:val="00510FA6"/>
    <w:rsid w:val="005112CD"/>
    <w:rsid w:val="00511422"/>
    <w:rsid w:val="00511917"/>
    <w:rsid w:val="00511AAC"/>
    <w:rsid w:val="00511B5C"/>
    <w:rsid w:val="00511DDA"/>
    <w:rsid w:val="00511F1A"/>
    <w:rsid w:val="00511F71"/>
    <w:rsid w:val="0051209A"/>
    <w:rsid w:val="005120D7"/>
    <w:rsid w:val="005122A4"/>
    <w:rsid w:val="00512591"/>
    <w:rsid w:val="00512786"/>
    <w:rsid w:val="005128AE"/>
    <w:rsid w:val="00512AB2"/>
    <w:rsid w:val="00512CCF"/>
    <w:rsid w:val="00512CE8"/>
    <w:rsid w:val="00512FD2"/>
    <w:rsid w:val="005132C0"/>
    <w:rsid w:val="005132F2"/>
    <w:rsid w:val="00513555"/>
    <w:rsid w:val="0051358D"/>
    <w:rsid w:val="00513648"/>
    <w:rsid w:val="00513844"/>
    <w:rsid w:val="005138BC"/>
    <w:rsid w:val="005138E6"/>
    <w:rsid w:val="00513A41"/>
    <w:rsid w:val="00513A75"/>
    <w:rsid w:val="00513B11"/>
    <w:rsid w:val="00513BA0"/>
    <w:rsid w:val="00513CF8"/>
    <w:rsid w:val="00513DBF"/>
    <w:rsid w:val="00513EBC"/>
    <w:rsid w:val="00513EC2"/>
    <w:rsid w:val="005140A8"/>
    <w:rsid w:val="0051415F"/>
    <w:rsid w:val="00514197"/>
    <w:rsid w:val="005144C2"/>
    <w:rsid w:val="005144EF"/>
    <w:rsid w:val="005145B8"/>
    <w:rsid w:val="00514701"/>
    <w:rsid w:val="005147B6"/>
    <w:rsid w:val="005148B0"/>
    <w:rsid w:val="00514C0B"/>
    <w:rsid w:val="00514C9E"/>
    <w:rsid w:val="005152B9"/>
    <w:rsid w:val="00515494"/>
    <w:rsid w:val="0051554C"/>
    <w:rsid w:val="00515585"/>
    <w:rsid w:val="00515633"/>
    <w:rsid w:val="005158CB"/>
    <w:rsid w:val="00515A2D"/>
    <w:rsid w:val="00515B0D"/>
    <w:rsid w:val="00515C6E"/>
    <w:rsid w:val="0051642F"/>
    <w:rsid w:val="005165F9"/>
    <w:rsid w:val="00516612"/>
    <w:rsid w:val="00516A69"/>
    <w:rsid w:val="00516D72"/>
    <w:rsid w:val="0051711B"/>
    <w:rsid w:val="00517495"/>
    <w:rsid w:val="00517543"/>
    <w:rsid w:val="005175A5"/>
    <w:rsid w:val="00517656"/>
    <w:rsid w:val="00517677"/>
    <w:rsid w:val="005178F0"/>
    <w:rsid w:val="00517A45"/>
    <w:rsid w:val="00517B92"/>
    <w:rsid w:val="005200CD"/>
    <w:rsid w:val="005200F5"/>
    <w:rsid w:val="005200FD"/>
    <w:rsid w:val="0052040B"/>
    <w:rsid w:val="0052064E"/>
    <w:rsid w:val="00520679"/>
    <w:rsid w:val="00520890"/>
    <w:rsid w:val="00520A69"/>
    <w:rsid w:val="00520AE0"/>
    <w:rsid w:val="00520D80"/>
    <w:rsid w:val="0052114A"/>
    <w:rsid w:val="005211D1"/>
    <w:rsid w:val="0052129B"/>
    <w:rsid w:val="00521405"/>
    <w:rsid w:val="005214DB"/>
    <w:rsid w:val="005215F7"/>
    <w:rsid w:val="00521903"/>
    <w:rsid w:val="00521ABB"/>
    <w:rsid w:val="00521D09"/>
    <w:rsid w:val="00521DAB"/>
    <w:rsid w:val="0052232C"/>
    <w:rsid w:val="005228B1"/>
    <w:rsid w:val="00522A19"/>
    <w:rsid w:val="00522B26"/>
    <w:rsid w:val="00522BCB"/>
    <w:rsid w:val="00523263"/>
    <w:rsid w:val="0052336E"/>
    <w:rsid w:val="0052343B"/>
    <w:rsid w:val="00523443"/>
    <w:rsid w:val="0052362E"/>
    <w:rsid w:val="00523887"/>
    <w:rsid w:val="00523935"/>
    <w:rsid w:val="005239E6"/>
    <w:rsid w:val="005239F6"/>
    <w:rsid w:val="00523A15"/>
    <w:rsid w:val="00523AB2"/>
    <w:rsid w:val="00523AEF"/>
    <w:rsid w:val="00523BF2"/>
    <w:rsid w:val="00523CBE"/>
    <w:rsid w:val="00523E08"/>
    <w:rsid w:val="00523FBD"/>
    <w:rsid w:val="00524178"/>
    <w:rsid w:val="00524336"/>
    <w:rsid w:val="00524406"/>
    <w:rsid w:val="00524478"/>
    <w:rsid w:val="00524497"/>
    <w:rsid w:val="005245B6"/>
    <w:rsid w:val="00524601"/>
    <w:rsid w:val="00524A05"/>
    <w:rsid w:val="00524D9F"/>
    <w:rsid w:val="00524F05"/>
    <w:rsid w:val="0052501D"/>
    <w:rsid w:val="00525026"/>
    <w:rsid w:val="00525045"/>
    <w:rsid w:val="00525254"/>
    <w:rsid w:val="0052557E"/>
    <w:rsid w:val="005255FC"/>
    <w:rsid w:val="00525643"/>
    <w:rsid w:val="00525699"/>
    <w:rsid w:val="00525760"/>
    <w:rsid w:val="005257B7"/>
    <w:rsid w:val="00525917"/>
    <w:rsid w:val="00526095"/>
    <w:rsid w:val="00526213"/>
    <w:rsid w:val="005262CF"/>
    <w:rsid w:val="005263C2"/>
    <w:rsid w:val="005264B1"/>
    <w:rsid w:val="005264F9"/>
    <w:rsid w:val="005266FA"/>
    <w:rsid w:val="00526AB4"/>
    <w:rsid w:val="00526AC5"/>
    <w:rsid w:val="00526C30"/>
    <w:rsid w:val="00526DA3"/>
    <w:rsid w:val="00526EA9"/>
    <w:rsid w:val="0052710B"/>
    <w:rsid w:val="00527A37"/>
    <w:rsid w:val="00527C87"/>
    <w:rsid w:val="00527EEA"/>
    <w:rsid w:val="005301A6"/>
    <w:rsid w:val="00530210"/>
    <w:rsid w:val="005302BF"/>
    <w:rsid w:val="0053040F"/>
    <w:rsid w:val="005306F7"/>
    <w:rsid w:val="00530A0F"/>
    <w:rsid w:val="00530B2D"/>
    <w:rsid w:val="00530CE9"/>
    <w:rsid w:val="00530DDC"/>
    <w:rsid w:val="00530E23"/>
    <w:rsid w:val="00530F78"/>
    <w:rsid w:val="005311BD"/>
    <w:rsid w:val="00531298"/>
    <w:rsid w:val="005312AA"/>
    <w:rsid w:val="005312D2"/>
    <w:rsid w:val="005314D6"/>
    <w:rsid w:val="005315BB"/>
    <w:rsid w:val="00531CB1"/>
    <w:rsid w:val="00531E8C"/>
    <w:rsid w:val="00531ED3"/>
    <w:rsid w:val="00531FAF"/>
    <w:rsid w:val="00532080"/>
    <w:rsid w:val="0053224A"/>
    <w:rsid w:val="005324E8"/>
    <w:rsid w:val="00532726"/>
    <w:rsid w:val="0053279A"/>
    <w:rsid w:val="00532844"/>
    <w:rsid w:val="00532AF1"/>
    <w:rsid w:val="00532CCF"/>
    <w:rsid w:val="00532DA3"/>
    <w:rsid w:val="00532E5F"/>
    <w:rsid w:val="00533320"/>
    <w:rsid w:val="00533376"/>
    <w:rsid w:val="00533568"/>
    <w:rsid w:val="005335BC"/>
    <w:rsid w:val="00533686"/>
    <w:rsid w:val="0053395C"/>
    <w:rsid w:val="00533A36"/>
    <w:rsid w:val="00533C0F"/>
    <w:rsid w:val="00533C5B"/>
    <w:rsid w:val="00533D53"/>
    <w:rsid w:val="00533F80"/>
    <w:rsid w:val="005340A6"/>
    <w:rsid w:val="00534635"/>
    <w:rsid w:val="00534819"/>
    <w:rsid w:val="00534DD8"/>
    <w:rsid w:val="0053512E"/>
    <w:rsid w:val="00535198"/>
    <w:rsid w:val="00535218"/>
    <w:rsid w:val="00535253"/>
    <w:rsid w:val="00535318"/>
    <w:rsid w:val="005353C7"/>
    <w:rsid w:val="00535603"/>
    <w:rsid w:val="00535803"/>
    <w:rsid w:val="00535C63"/>
    <w:rsid w:val="00535E5D"/>
    <w:rsid w:val="00535FCF"/>
    <w:rsid w:val="0053607A"/>
    <w:rsid w:val="0053610B"/>
    <w:rsid w:val="0053621C"/>
    <w:rsid w:val="0053629B"/>
    <w:rsid w:val="00536482"/>
    <w:rsid w:val="00536824"/>
    <w:rsid w:val="00536A5D"/>
    <w:rsid w:val="00536AAF"/>
    <w:rsid w:val="00536F00"/>
    <w:rsid w:val="00537087"/>
    <w:rsid w:val="0053761A"/>
    <w:rsid w:val="00537702"/>
    <w:rsid w:val="0053779C"/>
    <w:rsid w:val="00537809"/>
    <w:rsid w:val="00537947"/>
    <w:rsid w:val="005379B2"/>
    <w:rsid w:val="00537D70"/>
    <w:rsid w:val="00537DAF"/>
    <w:rsid w:val="005400FB"/>
    <w:rsid w:val="00540167"/>
    <w:rsid w:val="005401BF"/>
    <w:rsid w:val="00540493"/>
    <w:rsid w:val="005405DA"/>
    <w:rsid w:val="005406D3"/>
    <w:rsid w:val="00540744"/>
    <w:rsid w:val="0054096B"/>
    <w:rsid w:val="00540B1E"/>
    <w:rsid w:val="00540B61"/>
    <w:rsid w:val="00540CEC"/>
    <w:rsid w:val="00540DDE"/>
    <w:rsid w:val="00540E31"/>
    <w:rsid w:val="00540F7B"/>
    <w:rsid w:val="005410F1"/>
    <w:rsid w:val="0054146C"/>
    <w:rsid w:val="005415AD"/>
    <w:rsid w:val="0054173B"/>
    <w:rsid w:val="005417B4"/>
    <w:rsid w:val="00541A20"/>
    <w:rsid w:val="00541D94"/>
    <w:rsid w:val="00541EF7"/>
    <w:rsid w:val="005421EE"/>
    <w:rsid w:val="00542290"/>
    <w:rsid w:val="005422C0"/>
    <w:rsid w:val="005424D8"/>
    <w:rsid w:val="0054274E"/>
    <w:rsid w:val="005427F9"/>
    <w:rsid w:val="00542921"/>
    <w:rsid w:val="00542A3F"/>
    <w:rsid w:val="00542DCC"/>
    <w:rsid w:val="00542E20"/>
    <w:rsid w:val="0054307B"/>
    <w:rsid w:val="005434D2"/>
    <w:rsid w:val="0054364D"/>
    <w:rsid w:val="00543724"/>
    <w:rsid w:val="0054381D"/>
    <w:rsid w:val="0054386F"/>
    <w:rsid w:val="00543881"/>
    <w:rsid w:val="00543885"/>
    <w:rsid w:val="00543963"/>
    <w:rsid w:val="005439C4"/>
    <w:rsid w:val="005439E5"/>
    <w:rsid w:val="00543A5C"/>
    <w:rsid w:val="00543A67"/>
    <w:rsid w:val="00543AF5"/>
    <w:rsid w:val="00543CB1"/>
    <w:rsid w:val="00543D2D"/>
    <w:rsid w:val="00544081"/>
    <w:rsid w:val="0054422D"/>
    <w:rsid w:val="005442F7"/>
    <w:rsid w:val="00544875"/>
    <w:rsid w:val="005449D3"/>
    <w:rsid w:val="00544A12"/>
    <w:rsid w:val="00544AEF"/>
    <w:rsid w:val="00544AF8"/>
    <w:rsid w:val="00544BEC"/>
    <w:rsid w:val="00544F3C"/>
    <w:rsid w:val="005452B3"/>
    <w:rsid w:val="00545375"/>
    <w:rsid w:val="0054550A"/>
    <w:rsid w:val="0054575C"/>
    <w:rsid w:val="005458AF"/>
    <w:rsid w:val="00545912"/>
    <w:rsid w:val="0054591A"/>
    <w:rsid w:val="00545AD7"/>
    <w:rsid w:val="00545BAA"/>
    <w:rsid w:val="00545C6A"/>
    <w:rsid w:val="00545CF3"/>
    <w:rsid w:val="00545E48"/>
    <w:rsid w:val="005460D9"/>
    <w:rsid w:val="0054612E"/>
    <w:rsid w:val="005461D3"/>
    <w:rsid w:val="0054625A"/>
    <w:rsid w:val="005463AE"/>
    <w:rsid w:val="00546796"/>
    <w:rsid w:val="005467DA"/>
    <w:rsid w:val="005469CB"/>
    <w:rsid w:val="00546A39"/>
    <w:rsid w:val="00546BD2"/>
    <w:rsid w:val="00546C1D"/>
    <w:rsid w:val="00546C2B"/>
    <w:rsid w:val="00546E0C"/>
    <w:rsid w:val="00547264"/>
    <w:rsid w:val="0054739A"/>
    <w:rsid w:val="005473CE"/>
    <w:rsid w:val="0054746D"/>
    <w:rsid w:val="0054762E"/>
    <w:rsid w:val="00547B11"/>
    <w:rsid w:val="00547E82"/>
    <w:rsid w:val="00550220"/>
    <w:rsid w:val="005507C8"/>
    <w:rsid w:val="0055082D"/>
    <w:rsid w:val="005508A0"/>
    <w:rsid w:val="005509FA"/>
    <w:rsid w:val="00550A48"/>
    <w:rsid w:val="00550A5F"/>
    <w:rsid w:val="00550AAA"/>
    <w:rsid w:val="00550AB6"/>
    <w:rsid w:val="00550AE3"/>
    <w:rsid w:val="0055105B"/>
    <w:rsid w:val="005511B9"/>
    <w:rsid w:val="00551591"/>
    <w:rsid w:val="00551869"/>
    <w:rsid w:val="005519BB"/>
    <w:rsid w:val="00551B1E"/>
    <w:rsid w:val="00551C5D"/>
    <w:rsid w:val="00551F29"/>
    <w:rsid w:val="00551F52"/>
    <w:rsid w:val="0055214F"/>
    <w:rsid w:val="00552307"/>
    <w:rsid w:val="00552743"/>
    <w:rsid w:val="00552E06"/>
    <w:rsid w:val="00552F54"/>
    <w:rsid w:val="0055304A"/>
    <w:rsid w:val="005531B5"/>
    <w:rsid w:val="00553242"/>
    <w:rsid w:val="005532F3"/>
    <w:rsid w:val="00553330"/>
    <w:rsid w:val="00553367"/>
    <w:rsid w:val="0055372E"/>
    <w:rsid w:val="0055379A"/>
    <w:rsid w:val="005539CC"/>
    <w:rsid w:val="00553A7C"/>
    <w:rsid w:val="00553A96"/>
    <w:rsid w:val="00553AFA"/>
    <w:rsid w:val="00553C2E"/>
    <w:rsid w:val="00553CD8"/>
    <w:rsid w:val="00553D16"/>
    <w:rsid w:val="00554003"/>
    <w:rsid w:val="005541BE"/>
    <w:rsid w:val="005542B4"/>
    <w:rsid w:val="0055455A"/>
    <w:rsid w:val="005548B4"/>
    <w:rsid w:val="005549B3"/>
    <w:rsid w:val="005549B9"/>
    <w:rsid w:val="00554E6C"/>
    <w:rsid w:val="00555202"/>
    <w:rsid w:val="005553DD"/>
    <w:rsid w:val="00555732"/>
    <w:rsid w:val="00555750"/>
    <w:rsid w:val="005558F7"/>
    <w:rsid w:val="00555A60"/>
    <w:rsid w:val="00555B3C"/>
    <w:rsid w:val="00555DD0"/>
    <w:rsid w:val="0055605B"/>
    <w:rsid w:val="00556102"/>
    <w:rsid w:val="005561A8"/>
    <w:rsid w:val="005562E5"/>
    <w:rsid w:val="0055630B"/>
    <w:rsid w:val="00556402"/>
    <w:rsid w:val="00556460"/>
    <w:rsid w:val="00556471"/>
    <w:rsid w:val="0055662D"/>
    <w:rsid w:val="0055674D"/>
    <w:rsid w:val="00556755"/>
    <w:rsid w:val="00556AA8"/>
    <w:rsid w:val="00556AFA"/>
    <w:rsid w:val="00556B06"/>
    <w:rsid w:val="00556B5A"/>
    <w:rsid w:val="00556C8C"/>
    <w:rsid w:val="00556CAA"/>
    <w:rsid w:val="00556CF0"/>
    <w:rsid w:val="00556D9D"/>
    <w:rsid w:val="00556E27"/>
    <w:rsid w:val="00557015"/>
    <w:rsid w:val="0055702D"/>
    <w:rsid w:val="005571AE"/>
    <w:rsid w:val="005571FA"/>
    <w:rsid w:val="005572F5"/>
    <w:rsid w:val="00557617"/>
    <w:rsid w:val="005577C7"/>
    <w:rsid w:val="00557838"/>
    <w:rsid w:val="00557888"/>
    <w:rsid w:val="00557961"/>
    <w:rsid w:val="00557BC9"/>
    <w:rsid w:val="00557BD4"/>
    <w:rsid w:val="00557CC4"/>
    <w:rsid w:val="00557F43"/>
    <w:rsid w:val="00557FD5"/>
    <w:rsid w:val="0056036D"/>
    <w:rsid w:val="0056068C"/>
    <w:rsid w:val="005607BF"/>
    <w:rsid w:val="00560E48"/>
    <w:rsid w:val="00560F50"/>
    <w:rsid w:val="00560FFE"/>
    <w:rsid w:val="005611B7"/>
    <w:rsid w:val="005613C9"/>
    <w:rsid w:val="005614A2"/>
    <w:rsid w:val="0056157D"/>
    <w:rsid w:val="005615BD"/>
    <w:rsid w:val="005617E8"/>
    <w:rsid w:val="005618A9"/>
    <w:rsid w:val="00561AAF"/>
    <w:rsid w:val="00561B33"/>
    <w:rsid w:val="00561B3D"/>
    <w:rsid w:val="00561C22"/>
    <w:rsid w:val="005622E8"/>
    <w:rsid w:val="005625FC"/>
    <w:rsid w:val="005626C5"/>
    <w:rsid w:val="00562794"/>
    <w:rsid w:val="00562A5B"/>
    <w:rsid w:val="00562D57"/>
    <w:rsid w:val="00562DC4"/>
    <w:rsid w:val="00562F3E"/>
    <w:rsid w:val="00562FE4"/>
    <w:rsid w:val="0056303F"/>
    <w:rsid w:val="00563047"/>
    <w:rsid w:val="00563088"/>
    <w:rsid w:val="0056313D"/>
    <w:rsid w:val="005638FF"/>
    <w:rsid w:val="00563940"/>
    <w:rsid w:val="0056398F"/>
    <w:rsid w:val="00563A21"/>
    <w:rsid w:val="00563A52"/>
    <w:rsid w:val="00563BD1"/>
    <w:rsid w:val="00563E97"/>
    <w:rsid w:val="005642E3"/>
    <w:rsid w:val="00564406"/>
    <w:rsid w:val="00564515"/>
    <w:rsid w:val="0056456D"/>
    <w:rsid w:val="005645F0"/>
    <w:rsid w:val="00564658"/>
    <w:rsid w:val="00564663"/>
    <w:rsid w:val="00564820"/>
    <w:rsid w:val="00564837"/>
    <w:rsid w:val="00564AD7"/>
    <w:rsid w:val="00564D93"/>
    <w:rsid w:val="00564E7C"/>
    <w:rsid w:val="00565329"/>
    <w:rsid w:val="005655EA"/>
    <w:rsid w:val="0056566F"/>
    <w:rsid w:val="0056579D"/>
    <w:rsid w:val="00565A37"/>
    <w:rsid w:val="00565C80"/>
    <w:rsid w:val="00565C92"/>
    <w:rsid w:val="00565EF2"/>
    <w:rsid w:val="00565F5A"/>
    <w:rsid w:val="0056674C"/>
    <w:rsid w:val="00566AB4"/>
    <w:rsid w:val="00566DB7"/>
    <w:rsid w:val="00567059"/>
    <w:rsid w:val="00567195"/>
    <w:rsid w:val="005671AB"/>
    <w:rsid w:val="005671FF"/>
    <w:rsid w:val="00567271"/>
    <w:rsid w:val="005673E9"/>
    <w:rsid w:val="00567886"/>
    <w:rsid w:val="005679D8"/>
    <w:rsid w:val="00567A55"/>
    <w:rsid w:val="00567E7D"/>
    <w:rsid w:val="00567F99"/>
    <w:rsid w:val="00570151"/>
    <w:rsid w:val="0057016E"/>
    <w:rsid w:val="00570666"/>
    <w:rsid w:val="005707A5"/>
    <w:rsid w:val="00570808"/>
    <w:rsid w:val="005709F8"/>
    <w:rsid w:val="00570B53"/>
    <w:rsid w:val="00570BA8"/>
    <w:rsid w:val="00570C98"/>
    <w:rsid w:val="00570DB0"/>
    <w:rsid w:val="005711FA"/>
    <w:rsid w:val="00571496"/>
    <w:rsid w:val="00571643"/>
    <w:rsid w:val="00571763"/>
    <w:rsid w:val="005717D7"/>
    <w:rsid w:val="0057195F"/>
    <w:rsid w:val="00571F37"/>
    <w:rsid w:val="005720AE"/>
    <w:rsid w:val="005721B6"/>
    <w:rsid w:val="005726D3"/>
    <w:rsid w:val="00572719"/>
    <w:rsid w:val="005729AB"/>
    <w:rsid w:val="005729CA"/>
    <w:rsid w:val="00572A84"/>
    <w:rsid w:val="00572C7F"/>
    <w:rsid w:val="00572D54"/>
    <w:rsid w:val="00572E27"/>
    <w:rsid w:val="00573000"/>
    <w:rsid w:val="005732DE"/>
    <w:rsid w:val="0057346F"/>
    <w:rsid w:val="005734DE"/>
    <w:rsid w:val="005735A6"/>
    <w:rsid w:val="0057366A"/>
    <w:rsid w:val="00573731"/>
    <w:rsid w:val="005737E9"/>
    <w:rsid w:val="00573807"/>
    <w:rsid w:val="00573872"/>
    <w:rsid w:val="005738DB"/>
    <w:rsid w:val="00573AED"/>
    <w:rsid w:val="00573B07"/>
    <w:rsid w:val="00573BA4"/>
    <w:rsid w:val="00573C39"/>
    <w:rsid w:val="00573D5B"/>
    <w:rsid w:val="00573F79"/>
    <w:rsid w:val="00574114"/>
    <w:rsid w:val="0057414E"/>
    <w:rsid w:val="00574B03"/>
    <w:rsid w:val="00574B33"/>
    <w:rsid w:val="00575219"/>
    <w:rsid w:val="005755AD"/>
    <w:rsid w:val="00575640"/>
    <w:rsid w:val="0057569D"/>
    <w:rsid w:val="005756AE"/>
    <w:rsid w:val="005758B2"/>
    <w:rsid w:val="0057595E"/>
    <w:rsid w:val="00575C2D"/>
    <w:rsid w:val="00575C40"/>
    <w:rsid w:val="00575C76"/>
    <w:rsid w:val="005760EE"/>
    <w:rsid w:val="00576555"/>
    <w:rsid w:val="0057681C"/>
    <w:rsid w:val="00576899"/>
    <w:rsid w:val="005769C0"/>
    <w:rsid w:val="00576BBD"/>
    <w:rsid w:val="00576CF8"/>
    <w:rsid w:val="00576D4E"/>
    <w:rsid w:val="00576D94"/>
    <w:rsid w:val="00577737"/>
    <w:rsid w:val="0057787A"/>
    <w:rsid w:val="00577CFD"/>
    <w:rsid w:val="00577D69"/>
    <w:rsid w:val="00577FBF"/>
    <w:rsid w:val="005802BF"/>
    <w:rsid w:val="005802D4"/>
    <w:rsid w:val="00580320"/>
    <w:rsid w:val="005803A8"/>
    <w:rsid w:val="00580744"/>
    <w:rsid w:val="00580803"/>
    <w:rsid w:val="00580874"/>
    <w:rsid w:val="00580B8D"/>
    <w:rsid w:val="00580D30"/>
    <w:rsid w:val="00580F77"/>
    <w:rsid w:val="00580FEB"/>
    <w:rsid w:val="0058125D"/>
    <w:rsid w:val="005812C1"/>
    <w:rsid w:val="00581329"/>
    <w:rsid w:val="005813D5"/>
    <w:rsid w:val="005813F4"/>
    <w:rsid w:val="00581580"/>
    <w:rsid w:val="0058171F"/>
    <w:rsid w:val="00581B22"/>
    <w:rsid w:val="00581C64"/>
    <w:rsid w:val="00581EC8"/>
    <w:rsid w:val="00582115"/>
    <w:rsid w:val="00582284"/>
    <w:rsid w:val="0058245B"/>
    <w:rsid w:val="005824D5"/>
    <w:rsid w:val="00582664"/>
    <w:rsid w:val="005829BC"/>
    <w:rsid w:val="005829BF"/>
    <w:rsid w:val="00582B1F"/>
    <w:rsid w:val="00582B54"/>
    <w:rsid w:val="00582C09"/>
    <w:rsid w:val="00582DFF"/>
    <w:rsid w:val="00582E71"/>
    <w:rsid w:val="0058302E"/>
    <w:rsid w:val="00583157"/>
    <w:rsid w:val="00583482"/>
    <w:rsid w:val="005835CF"/>
    <w:rsid w:val="00583641"/>
    <w:rsid w:val="005836E5"/>
    <w:rsid w:val="0058370E"/>
    <w:rsid w:val="00583FC3"/>
    <w:rsid w:val="00583FDC"/>
    <w:rsid w:val="0058418C"/>
    <w:rsid w:val="005841D3"/>
    <w:rsid w:val="005843DB"/>
    <w:rsid w:val="0058463A"/>
    <w:rsid w:val="005846F1"/>
    <w:rsid w:val="00584828"/>
    <w:rsid w:val="005848A3"/>
    <w:rsid w:val="00584972"/>
    <w:rsid w:val="00584BDC"/>
    <w:rsid w:val="00584F82"/>
    <w:rsid w:val="00584FBE"/>
    <w:rsid w:val="00584FF8"/>
    <w:rsid w:val="0058525A"/>
    <w:rsid w:val="005853D9"/>
    <w:rsid w:val="00585420"/>
    <w:rsid w:val="005854C4"/>
    <w:rsid w:val="005855E2"/>
    <w:rsid w:val="00585A9C"/>
    <w:rsid w:val="00585B07"/>
    <w:rsid w:val="00585C01"/>
    <w:rsid w:val="00585D21"/>
    <w:rsid w:val="00585D85"/>
    <w:rsid w:val="00585EEA"/>
    <w:rsid w:val="00585F32"/>
    <w:rsid w:val="00585FD3"/>
    <w:rsid w:val="0058604C"/>
    <w:rsid w:val="0058647D"/>
    <w:rsid w:val="005864C1"/>
    <w:rsid w:val="00586521"/>
    <w:rsid w:val="00586547"/>
    <w:rsid w:val="00586652"/>
    <w:rsid w:val="005866C7"/>
    <w:rsid w:val="005869D6"/>
    <w:rsid w:val="00586BEA"/>
    <w:rsid w:val="0058728C"/>
    <w:rsid w:val="005875AE"/>
    <w:rsid w:val="005876F5"/>
    <w:rsid w:val="0058783E"/>
    <w:rsid w:val="00587870"/>
    <w:rsid w:val="005878F7"/>
    <w:rsid w:val="0058793B"/>
    <w:rsid w:val="00587DE7"/>
    <w:rsid w:val="00587EBC"/>
    <w:rsid w:val="0059006F"/>
    <w:rsid w:val="005901D9"/>
    <w:rsid w:val="005903A3"/>
    <w:rsid w:val="005904E2"/>
    <w:rsid w:val="0059059B"/>
    <w:rsid w:val="005906C9"/>
    <w:rsid w:val="00590739"/>
    <w:rsid w:val="005907BF"/>
    <w:rsid w:val="00590802"/>
    <w:rsid w:val="00590A1F"/>
    <w:rsid w:val="00590A8E"/>
    <w:rsid w:val="00590BEB"/>
    <w:rsid w:val="00590C37"/>
    <w:rsid w:val="00590D69"/>
    <w:rsid w:val="00590DF7"/>
    <w:rsid w:val="00590E36"/>
    <w:rsid w:val="005910CF"/>
    <w:rsid w:val="00591652"/>
    <w:rsid w:val="00591878"/>
    <w:rsid w:val="005919D3"/>
    <w:rsid w:val="00591B75"/>
    <w:rsid w:val="00591BFE"/>
    <w:rsid w:val="00591D1A"/>
    <w:rsid w:val="00592144"/>
    <w:rsid w:val="00592162"/>
    <w:rsid w:val="00592635"/>
    <w:rsid w:val="005927F0"/>
    <w:rsid w:val="00592A2F"/>
    <w:rsid w:val="00592AAC"/>
    <w:rsid w:val="00592B1B"/>
    <w:rsid w:val="00592C7F"/>
    <w:rsid w:val="00592DC1"/>
    <w:rsid w:val="00593009"/>
    <w:rsid w:val="00593315"/>
    <w:rsid w:val="005935EC"/>
    <w:rsid w:val="0059368B"/>
    <w:rsid w:val="00593815"/>
    <w:rsid w:val="00593B52"/>
    <w:rsid w:val="00593C20"/>
    <w:rsid w:val="00593DD9"/>
    <w:rsid w:val="00593EF5"/>
    <w:rsid w:val="00593F4E"/>
    <w:rsid w:val="00593F93"/>
    <w:rsid w:val="00594117"/>
    <w:rsid w:val="0059491A"/>
    <w:rsid w:val="00594967"/>
    <w:rsid w:val="00594A88"/>
    <w:rsid w:val="00594B0B"/>
    <w:rsid w:val="00595223"/>
    <w:rsid w:val="00595264"/>
    <w:rsid w:val="005954A4"/>
    <w:rsid w:val="0059556A"/>
    <w:rsid w:val="00595675"/>
    <w:rsid w:val="00595774"/>
    <w:rsid w:val="00595B21"/>
    <w:rsid w:val="00595CE1"/>
    <w:rsid w:val="005960C1"/>
    <w:rsid w:val="0059621B"/>
    <w:rsid w:val="005968DC"/>
    <w:rsid w:val="00596E10"/>
    <w:rsid w:val="00596F11"/>
    <w:rsid w:val="00596F37"/>
    <w:rsid w:val="00596F8D"/>
    <w:rsid w:val="0059716A"/>
    <w:rsid w:val="005972D0"/>
    <w:rsid w:val="00597691"/>
    <w:rsid w:val="005976D9"/>
    <w:rsid w:val="00597965"/>
    <w:rsid w:val="00597AF3"/>
    <w:rsid w:val="00597BD4"/>
    <w:rsid w:val="00597C41"/>
    <w:rsid w:val="00597C54"/>
    <w:rsid w:val="005A01F4"/>
    <w:rsid w:val="005A0DF0"/>
    <w:rsid w:val="005A15BC"/>
    <w:rsid w:val="005A16BC"/>
    <w:rsid w:val="005A18A5"/>
    <w:rsid w:val="005A1A64"/>
    <w:rsid w:val="005A1ADC"/>
    <w:rsid w:val="005A1DAB"/>
    <w:rsid w:val="005A1F37"/>
    <w:rsid w:val="005A2013"/>
    <w:rsid w:val="005A259A"/>
    <w:rsid w:val="005A2695"/>
    <w:rsid w:val="005A26F9"/>
    <w:rsid w:val="005A283E"/>
    <w:rsid w:val="005A2962"/>
    <w:rsid w:val="005A29D9"/>
    <w:rsid w:val="005A2C9A"/>
    <w:rsid w:val="005A2D87"/>
    <w:rsid w:val="005A2FA7"/>
    <w:rsid w:val="005A348D"/>
    <w:rsid w:val="005A360C"/>
    <w:rsid w:val="005A3852"/>
    <w:rsid w:val="005A3A25"/>
    <w:rsid w:val="005A3B47"/>
    <w:rsid w:val="005A3D02"/>
    <w:rsid w:val="005A48C5"/>
    <w:rsid w:val="005A4988"/>
    <w:rsid w:val="005A49FA"/>
    <w:rsid w:val="005A4B2F"/>
    <w:rsid w:val="005A4C07"/>
    <w:rsid w:val="005A5486"/>
    <w:rsid w:val="005A55F0"/>
    <w:rsid w:val="005A5808"/>
    <w:rsid w:val="005A5827"/>
    <w:rsid w:val="005A5BC4"/>
    <w:rsid w:val="005A5BE4"/>
    <w:rsid w:val="005A5C5C"/>
    <w:rsid w:val="005A61AD"/>
    <w:rsid w:val="005A6361"/>
    <w:rsid w:val="005A67EF"/>
    <w:rsid w:val="005A6A21"/>
    <w:rsid w:val="005A6AAC"/>
    <w:rsid w:val="005A6B33"/>
    <w:rsid w:val="005A6D34"/>
    <w:rsid w:val="005A6F55"/>
    <w:rsid w:val="005A6FFE"/>
    <w:rsid w:val="005A7052"/>
    <w:rsid w:val="005A71EB"/>
    <w:rsid w:val="005A7311"/>
    <w:rsid w:val="005A7624"/>
    <w:rsid w:val="005A7683"/>
    <w:rsid w:val="005A7825"/>
    <w:rsid w:val="005A783B"/>
    <w:rsid w:val="005A786F"/>
    <w:rsid w:val="005A78E2"/>
    <w:rsid w:val="005A78E4"/>
    <w:rsid w:val="005A7A2C"/>
    <w:rsid w:val="005A7ACE"/>
    <w:rsid w:val="005A7B5C"/>
    <w:rsid w:val="005A7D57"/>
    <w:rsid w:val="005A7D74"/>
    <w:rsid w:val="005B03F4"/>
    <w:rsid w:val="005B054E"/>
    <w:rsid w:val="005B0747"/>
    <w:rsid w:val="005B08A4"/>
    <w:rsid w:val="005B094A"/>
    <w:rsid w:val="005B09DB"/>
    <w:rsid w:val="005B0A1C"/>
    <w:rsid w:val="005B0B90"/>
    <w:rsid w:val="005B0E8B"/>
    <w:rsid w:val="005B0FC7"/>
    <w:rsid w:val="005B17FE"/>
    <w:rsid w:val="005B1814"/>
    <w:rsid w:val="005B18D7"/>
    <w:rsid w:val="005B1AB6"/>
    <w:rsid w:val="005B1C73"/>
    <w:rsid w:val="005B1C77"/>
    <w:rsid w:val="005B210D"/>
    <w:rsid w:val="005B215A"/>
    <w:rsid w:val="005B2250"/>
    <w:rsid w:val="005B2484"/>
    <w:rsid w:val="005B256A"/>
    <w:rsid w:val="005B2587"/>
    <w:rsid w:val="005B26BC"/>
    <w:rsid w:val="005B274D"/>
    <w:rsid w:val="005B2839"/>
    <w:rsid w:val="005B29D3"/>
    <w:rsid w:val="005B2A17"/>
    <w:rsid w:val="005B2AB9"/>
    <w:rsid w:val="005B2ACC"/>
    <w:rsid w:val="005B2ADC"/>
    <w:rsid w:val="005B2D89"/>
    <w:rsid w:val="005B3043"/>
    <w:rsid w:val="005B3048"/>
    <w:rsid w:val="005B3168"/>
    <w:rsid w:val="005B35A9"/>
    <w:rsid w:val="005B36C5"/>
    <w:rsid w:val="005B38AC"/>
    <w:rsid w:val="005B3913"/>
    <w:rsid w:val="005B3A89"/>
    <w:rsid w:val="005B3B04"/>
    <w:rsid w:val="005B3C6C"/>
    <w:rsid w:val="005B3D1E"/>
    <w:rsid w:val="005B3DB3"/>
    <w:rsid w:val="005B4287"/>
    <w:rsid w:val="005B42ED"/>
    <w:rsid w:val="005B4359"/>
    <w:rsid w:val="005B46CC"/>
    <w:rsid w:val="005B4B61"/>
    <w:rsid w:val="005B4B81"/>
    <w:rsid w:val="005B4D03"/>
    <w:rsid w:val="005B4E49"/>
    <w:rsid w:val="005B4E7E"/>
    <w:rsid w:val="005B545F"/>
    <w:rsid w:val="005B59FE"/>
    <w:rsid w:val="005B5DC9"/>
    <w:rsid w:val="005B6771"/>
    <w:rsid w:val="005B681C"/>
    <w:rsid w:val="005B6B0C"/>
    <w:rsid w:val="005B6E37"/>
    <w:rsid w:val="005B6FAB"/>
    <w:rsid w:val="005B771A"/>
    <w:rsid w:val="005B786E"/>
    <w:rsid w:val="005B795A"/>
    <w:rsid w:val="005B7992"/>
    <w:rsid w:val="005B79A7"/>
    <w:rsid w:val="005B7BC0"/>
    <w:rsid w:val="005B7C1B"/>
    <w:rsid w:val="005C00E2"/>
    <w:rsid w:val="005C04FB"/>
    <w:rsid w:val="005C0587"/>
    <w:rsid w:val="005C05F1"/>
    <w:rsid w:val="005C0927"/>
    <w:rsid w:val="005C0D42"/>
    <w:rsid w:val="005C11A3"/>
    <w:rsid w:val="005C1283"/>
    <w:rsid w:val="005C12E3"/>
    <w:rsid w:val="005C1791"/>
    <w:rsid w:val="005C17E7"/>
    <w:rsid w:val="005C1C3C"/>
    <w:rsid w:val="005C1D57"/>
    <w:rsid w:val="005C1F73"/>
    <w:rsid w:val="005C20AE"/>
    <w:rsid w:val="005C21CB"/>
    <w:rsid w:val="005C225A"/>
    <w:rsid w:val="005C24DA"/>
    <w:rsid w:val="005C2572"/>
    <w:rsid w:val="005C27BD"/>
    <w:rsid w:val="005C28EE"/>
    <w:rsid w:val="005C2AD9"/>
    <w:rsid w:val="005C2B3B"/>
    <w:rsid w:val="005C2DFF"/>
    <w:rsid w:val="005C2E16"/>
    <w:rsid w:val="005C2F8C"/>
    <w:rsid w:val="005C3078"/>
    <w:rsid w:val="005C3098"/>
    <w:rsid w:val="005C3239"/>
    <w:rsid w:val="005C3563"/>
    <w:rsid w:val="005C3781"/>
    <w:rsid w:val="005C3918"/>
    <w:rsid w:val="005C3F2A"/>
    <w:rsid w:val="005C4092"/>
    <w:rsid w:val="005C41FF"/>
    <w:rsid w:val="005C4492"/>
    <w:rsid w:val="005C45A3"/>
    <w:rsid w:val="005C468B"/>
    <w:rsid w:val="005C48EF"/>
    <w:rsid w:val="005C48F1"/>
    <w:rsid w:val="005C4AE9"/>
    <w:rsid w:val="005C4BB2"/>
    <w:rsid w:val="005C4D28"/>
    <w:rsid w:val="005C4D82"/>
    <w:rsid w:val="005C4E95"/>
    <w:rsid w:val="005C50F4"/>
    <w:rsid w:val="005C542B"/>
    <w:rsid w:val="005C5567"/>
    <w:rsid w:val="005C5623"/>
    <w:rsid w:val="005C576C"/>
    <w:rsid w:val="005C5A71"/>
    <w:rsid w:val="005C609C"/>
    <w:rsid w:val="005C61DF"/>
    <w:rsid w:val="005C633E"/>
    <w:rsid w:val="005C65C5"/>
    <w:rsid w:val="005C6E24"/>
    <w:rsid w:val="005C7018"/>
    <w:rsid w:val="005C71A9"/>
    <w:rsid w:val="005C7A61"/>
    <w:rsid w:val="005C7CCE"/>
    <w:rsid w:val="005D027D"/>
    <w:rsid w:val="005D0320"/>
    <w:rsid w:val="005D055B"/>
    <w:rsid w:val="005D0635"/>
    <w:rsid w:val="005D0A19"/>
    <w:rsid w:val="005D0ACC"/>
    <w:rsid w:val="005D0B88"/>
    <w:rsid w:val="005D0F21"/>
    <w:rsid w:val="005D0F43"/>
    <w:rsid w:val="005D1124"/>
    <w:rsid w:val="005D135E"/>
    <w:rsid w:val="005D17A1"/>
    <w:rsid w:val="005D17C0"/>
    <w:rsid w:val="005D1843"/>
    <w:rsid w:val="005D1B49"/>
    <w:rsid w:val="005D1C1D"/>
    <w:rsid w:val="005D1E04"/>
    <w:rsid w:val="005D1F79"/>
    <w:rsid w:val="005D21D4"/>
    <w:rsid w:val="005D233E"/>
    <w:rsid w:val="005D250A"/>
    <w:rsid w:val="005D26D4"/>
    <w:rsid w:val="005D26EB"/>
    <w:rsid w:val="005D2837"/>
    <w:rsid w:val="005D293C"/>
    <w:rsid w:val="005D2A88"/>
    <w:rsid w:val="005D2E96"/>
    <w:rsid w:val="005D3356"/>
    <w:rsid w:val="005D34BE"/>
    <w:rsid w:val="005D371D"/>
    <w:rsid w:val="005D3AC1"/>
    <w:rsid w:val="005D3B6B"/>
    <w:rsid w:val="005D3C8F"/>
    <w:rsid w:val="005D3C9E"/>
    <w:rsid w:val="005D3D03"/>
    <w:rsid w:val="005D4310"/>
    <w:rsid w:val="005D439C"/>
    <w:rsid w:val="005D43D2"/>
    <w:rsid w:val="005D4462"/>
    <w:rsid w:val="005D452B"/>
    <w:rsid w:val="005D46A9"/>
    <w:rsid w:val="005D4BBB"/>
    <w:rsid w:val="005D4C26"/>
    <w:rsid w:val="005D4C58"/>
    <w:rsid w:val="005D4D93"/>
    <w:rsid w:val="005D511E"/>
    <w:rsid w:val="005D51D0"/>
    <w:rsid w:val="005D520F"/>
    <w:rsid w:val="005D58C2"/>
    <w:rsid w:val="005D5978"/>
    <w:rsid w:val="005D5D4D"/>
    <w:rsid w:val="005D5F3E"/>
    <w:rsid w:val="005D6070"/>
    <w:rsid w:val="005D61FB"/>
    <w:rsid w:val="005D6439"/>
    <w:rsid w:val="005D64AC"/>
    <w:rsid w:val="005D656A"/>
    <w:rsid w:val="005D65EE"/>
    <w:rsid w:val="005D6635"/>
    <w:rsid w:val="005D66DF"/>
    <w:rsid w:val="005D6773"/>
    <w:rsid w:val="005D6FCA"/>
    <w:rsid w:val="005D73E4"/>
    <w:rsid w:val="005D750C"/>
    <w:rsid w:val="005D75A5"/>
    <w:rsid w:val="005D75E0"/>
    <w:rsid w:val="005D7658"/>
    <w:rsid w:val="005D7676"/>
    <w:rsid w:val="005D7746"/>
    <w:rsid w:val="005D79C4"/>
    <w:rsid w:val="005D7C1B"/>
    <w:rsid w:val="005D7E9D"/>
    <w:rsid w:val="005D7F5C"/>
    <w:rsid w:val="005D7FC1"/>
    <w:rsid w:val="005E0162"/>
    <w:rsid w:val="005E024A"/>
    <w:rsid w:val="005E02F5"/>
    <w:rsid w:val="005E06C5"/>
    <w:rsid w:val="005E081D"/>
    <w:rsid w:val="005E08BB"/>
    <w:rsid w:val="005E0B2C"/>
    <w:rsid w:val="005E0FD3"/>
    <w:rsid w:val="005E100D"/>
    <w:rsid w:val="005E10B5"/>
    <w:rsid w:val="005E10C4"/>
    <w:rsid w:val="005E130B"/>
    <w:rsid w:val="005E1754"/>
    <w:rsid w:val="005E1988"/>
    <w:rsid w:val="005E1A40"/>
    <w:rsid w:val="005E1E54"/>
    <w:rsid w:val="005E1FBB"/>
    <w:rsid w:val="005E2218"/>
    <w:rsid w:val="005E22DF"/>
    <w:rsid w:val="005E256E"/>
    <w:rsid w:val="005E2597"/>
    <w:rsid w:val="005E25E6"/>
    <w:rsid w:val="005E266F"/>
    <w:rsid w:val="005E2692"/>
    <w:rsid w:val="005E2C04"/>
    <w:rsid w:val="005E2E5C"/>
    <w:rsid w:val="005E2F72"/>
    <w:rsid w:val="005E30FA"/>
    <w:rsid w:val="005E3771"/>
    <w:rsid w:val="005E37B1"/>
    <w:rsid w:val="005E392A"/>
    <w:rsid w:val="005E3B34"/>
    <w:rsid w:val="005E3D41"/>
    <w:rsid w:val="005E3E85"/>
    <w:rsid w:val="005E3F90"/>
    <w:rsid w:val="005E4117"/>
    <w:rsid w:val="005E419D"/>
    <w:rsid w:val="005E4250"/>
    <w:rsid w:val="005E42ED"/>
    <w:rsid w:val="005E43B0"/>
    <w:rsid w:val="005E464A"/>
    <w:rsid w:val="005E4812"/>
    <w:rsid w:val="005E483D"/>
    <w:rsid w:val="005E4910"/>
    <w:rsid w:val="005E49F8"/>
    <w:rsid w:val="005E4C68"/>
    <w:rsid w:val="005E4CC5"/>
    <w:rsid w:val="005E4F97"/>
    <w:rsid w:val="005E5070"/>
    <w:rsid w:val="005E51F1"/>
    <w:rsid w:val="005E5238"/>
    <w:rsid w:val="005E52D2"/>
    <w:rsid w:val="005E54C8"/>
    <w:rsid w:val="005E56CD"/>
    <w:rsid w:val="005E5A65"/>
    <w:rsid w:val="005E5DC5"/>
    <w:rsid w:val="005E5F58"/>
    <w:rsid w:val="005E5FDD"/>
    <w:rsid w:val="005E61FD"/>
    <w:rsid w:val="005E62C5"/>
    <w:rsid w:val="005E62DC"/>
    <w:rsid w:val="005E634E"/>
    <w:rsid w:val="005E636D"/>
    <w:rsid w:val="005E6547"/>
    <w:rsid w:val="005E6617"/>
    <w:rsid w:val="005E67AB"/>
    <w:rsid w:val="005E68D8"/>
    <w:rsid w:val="005E6B37"/>
    <w:rsid w:val="005E6CC2"/>
    <w:rsid w:val="005E6DD3"/>
    <w:rsid w:val="005E7122"/>
    <w:rsid w:val="005E73C3"/>
    <w:rsid w:val="005E75C5"/>
    <w:rsid w:val="005E7A07"/>
    <w:rsid w:val="005E7AD7"/>
    <w:rsid w:val="005E7B19"/>
    <w:rsid w:val="005E7B54"/>
    <w:rsid w:val="005E7E57"/>
    <w:rsid w:val="005F0277"/>
    <w:rsid w:val="005F02FD"/>
    <w:rsid w:val="005F0359"/>
    <w:rsid w:val="005F03DB"/>
    <w:rsid w:val="005F088A"/>
    <w:rsid w:val="005F0C29"/>
    <w:rsid w:val="005F0CD5"/>
    <w:rsid w:val="005F0F3C"/>
    <w:rsid w:val="005F0FC9"/>
    <w:rsid w:val="005F1087"/>
    <w:rsid w:val="005F1343"/>
    <w:rsid w:val="005F1469"/>
    <w:rsid w:val="005F1509"/>
    <w:rsid w:val="005F15A1"/>
    <w:rsid w:val="005F177F"/>
    <w:rsid w:val="005F18A4"/>
    <w:rsid w:val="005F1B1C"/>
    <w:rsid w:val="005F1C90"/>
    <w:rsid w:val="005F1D92"/>
    <w:rsid w:val="005F1DAA"/>
    <w:rsid w:val="005F1E26"/>
    <w:rsid w:val="005F1F68"/>
    <w:rsid w:val="005F2554"/>
    <w:rsid w:val="005F256F"/>
    <w:rsid w:val="005F2726"/>
    <w:rsid w:val="005F2750"/>
    <w:rsid w:val="005F28B0"/>
    <w:rsid w:val="005F2B23"/>
    <w:rsid w:val="005F2D85"/>
    <w:rsid w:val="005F2DD1"/>
    <w:rsid w:val="005F2E45"/>
    <w:rsid w:val="005F30AF"/>
    <w:rsid w:val="005F352E"/>
    <w:rsid w:val="005F3600"/>
    <w:rsid w:val="005F3619"/>
    <w:rsid w:val="005F3771"/>
    <w:rsid w:val="005F3773"/>
    <w:rsid w:val="005F38E5"/>
    <w:rsid w:val="005F3D27"/>
    <w:rsid w:val="005F3D4A"/>
    <w:rsid w:val="005F3E20"/>
    <w:rsid w:val="005F3EB2"/>
    <w:rsid w:val="005F40CD"/>
    <w:rsid w:val="005F41FE"/>
    <w:rsid w:val="005F4317"/>
    <w:rsid w:val="005F43D4"/>
    <w:rsid w:val="005F44E9"/>
    <w:rsid w:val="005F469E"/>
    <w:rsid w:val="005F47F8"/>
    <w:rsid w:val="005F4A8B"/>
    <w:rsid w:val="005F4AD4"/>
    <w:rsid w:val="005F4C2F"/>
    <w:rsid w:val="005F501A"/>
    <w:rsid w:val="005F50C5"/>
    <w:rsid w:val="005F51F4"/>
    <w:rsid w:val="005F529E"/>
    <w:rsid w:val="005F5334"/>
    <w:rsid w:val="005F5388"/>
    <w:rsid w:val="005F5457"/>
    <w:rsid w:val="005F549B"/>
    <w:rsid w:val="005F54A9"/>
    <w:rsid w:val="005F561A"/>
    <w:rsid w:val="005F56EA"/>
    <w:rsid w:val="005F577C"/>
    <w:rsid w:val="005F58A8"/>
    <w:rsid w:val="005F5B47"/>
    <w:rsid w:val="005F5B6A"/>
    <w:rsid w:val="005F5C50"/>
    <w:rsid w:val="005F5C86"/>
    <w:rsid w:val="005F5CC4"/>
    <w:rsid w:val="005F5D86"/>
    <w:rsid w:val="005F5F83"/>
    <w:rsid w:val="005F659F"/>
    <w:rsid w:val="005F6609"/>
    <w:rsid w:val="005F660E"/>
    <w:rsid w:val="005F665C"/>
    <w:rsid w:val="005F67B5"/>
    <w:rsid w:val="005F683A"/>
    <w:rsid w:val="005F6987"/>
    <w:rsid w:val="005F6AAD"/>
    <w:rsid w:val="005F6B40"/>
    <w:rsid w:val="005F6D33"/>
    <w:rsid w:val="005F6E73"/>
    <w:rsid w:val="005F6F62"/>
    <w:rsid w:val="005F6F7C"/>
    <w:rsid w:val="005F7274"/>
    <w:rsid w:val="005F7344"/>
    <w:rsid w:val="005F74EC"/>
    <w:rsid w:val="005F7623"/>
    <w:rsid w:val="005F78B1"/>
    <w:rsid w:val="005F7907"/>
    <w:rsid w:val="005F795B"/>
    <w:rsid w:val="005F7C7A"/>
    <w:rsid w:val="005F7D54"/>
    <w:rsid w:val="005F7DAB"/>
    <w:rsid w:val="006000FB"/>
    <w:rsid w:val="006004F0"/>
    <w:rsid w:val="00600631"/>
    <w:rsid w:val="0060068D"/>
    <w:rsid w:val="00600E72"/>
    <w:rsid w:val="00600FBA"/>
    <w:rsid w:val="00601156"/>
    <w:rsid w:val="006013BA"/>
    <w:rsid w:val="0060141E"/>
    <w:rsid w:val="00601447"/>
    <w:rsid w:val="00601916"/>
    <w:rsid w:val="0060209A"/>
    <w:rsid w:val="00602216"/>
    <w:rsid w:val="0060228B"/>
    <w:rsid w:val="0060232D"/>
    <w:rsid w:val="006024B6"/>
    <w:rsid w:val="006026B4"/>
    <w:rsid w:val="0060289B"/>
    <w:rsid w:val="00602A7B"/>
    <w:rsid w:val="00602E34"/>
    <w:rsid w:val="00602E56"/>
    <w:rsid w:val="00602EEF"/>
    <w:rsid w:val="00602F0C"/>
    <w:rsid w:val="00603101"/>
    <w:rsid w:val="00603103"/>
    <w:rsid w:val="00603200"/>
    <w:rsid w:val="006035AB"/>
    <w:rsid w:val="00603834"/>
    <w:rsid w:val="0060392F"/>
    <w:rsid w:val="00603B6A"/>
    <w:rsid w:val="00603BBF"/>
    <w:rsid w:val="00603BEC"/>
    <w:rsid w:val="00603C51"/>
    <w:rsid w:val="00603EE7"/>
    <w:rsid w:val="00603F39"/>
    <w:rsid w:val="0060409F"/>
    <w:rsid w:val="00604320"/>
    <w:rsid w:val="0060446E"/>
    <w:rsid w:val="0060459B"/>
    <w:rsid w:val="00604606"/>
    <w:rsid w:val="00604643"/>
    <w:rsid w:val="00604AE1"/>
    <w:rsid w:val="00604D7F"/>
    <w:rsid w:val="00604E88"/>
    <w:rsid w:val="006051DB"/>
    <w:rsid w:val="00605288"/>
    <w:rsid w:val="0060542D"/>
    <w:rsid w:val="00605443"/>
    <w:rsid w:val="00605470"/>
    <w:rsid w:val="006057A7"/>
    <w:rsid w:val="006059D0"/>
    <w:rsid w:val="00605A0F"/>
    <w:rsid w:val="00605B74"/>
    <w:rsid w:val="00605CD3"/>
    <w:rsid w:val="00605D10"/>
    <w:rsid w:val="00605E82"/>
    <w:rsid w:val="00605EE0"/>
    <w:rsid w:val="00605EF5"/>
    <w:rsid w:val="00605F61"/>
    <w:rsid w:val="00606262"/>
    <w:rsid w:val="00606369"/>
    <w:rsid w:val="00606427"/>
    <w:rsid w:val="00606714"/>
    <w:rsid w:val="0060683A"/>
    <w:rsid w:val="006068CD"/>
    <w:rsid w:val="00606F59"/>
    <w:rsid w:val="006070A1"/>
    <w:rsid w:val="00607365"/>
    <w:rsid w:val="0060751B"/>
    <w:rsid w:val="00607722"/>
    <w:rsid w:val="00607747"/>
    <w:rsid w:val="0060797E"/>
    <w:rsid w:val="006079B3"/>
    <w:rsid w:val="00607E2E"/>
    <w:rsid w:val="00607E4A"/>
    <w:rsid w:val="00607FDA"/>
    <w:rsid w:val="00610004"/>
    <w:rsid w:val="0061013F"/>
    <w:rsid w:val="00610303"/>
    <w:rsid w:val="006103A6"/>
    <w:rsid w:val="00610516"/>
    <w:rsid w:val="0061098F"/>
    <w:rsid w:val="006109A4"/>
    <w:rsid w:val="006109FC"/>
    <w:rsid w:val="00610A04"/>
    <w:rsid w:val="00610E7E"/>
    <w:rsid w:val="00610FB3"/>
    <w:rsid w:val="006110F0"/>
    <w:rsid w:val="006113CD"/>
    <w:rsid w:val="006116D1"/>
    <w:rsid w:val="006119CE"/>
    <w:rsid w:val="00611A60"/>
    <w:rsid w:val="00611C9A"/>
    <w:rsid w:val="0061201D"/>
    <w:rsid w:val="006125B2"/>
    <w:rsid w:val="006127F1"/>
    <w:rsid w:val="00612DDD"/>
    <w:rsid w:val="00613337"/>
    <w:rsid w:val="00613349"/>
    <w:rsid w:val="0061350F"/>
    <w:rsid w:val="00613566"/>
    <w:rsid w:val="006138F1"/>
    <w:rsid w:val="00614289"/>
    <w:rsid w:val="006142DD"/>
    <w:rsid w:val="00614536"/>
    <w:rsid w:val="00614559"/>
    <w:rsid w:val="00614AC3"/>
    <w:rsid w:val="00614C16"/>
    <w:rsid w:val="00615113"/>
    <w:rsid w:val="0061524E"/>
    <w:rsid w:val="0061525C"/>
    <w:rsid w:val="00615517"/>
    <w:rsid w:val="006155F1"/>
    <w:rsid w:val="00615AC6"/>
    <w:rsid w:val="00616035"/>
    <w:rsid w:val="006161A6"/>
    <w:rsid w:val="00616432"/>
    <w:rsid w:val="006164C9"/>
    <w:rsid w:val="0061666D"/>
    <w:rsid w:val="00616C2D"/>
    <w:rsid w:val="00616D05"/>
    <w:rsid w:val="006171CA"/>
    <w:rsid w:val="006171DE"/>
    <w:rsid w:val="00617354"/>
    <w:rsid w:val="00617545"/>
    <w:rsid w:val="006176B9"/>
    <w:rsid w:val="006177D0"/>
    <w:rsid w:val="0061782A"/>
    <w:rsid w:val="00617DE8"/>
    <w:rsid w:val="00617E5D"/>
    <w:rsid w:val="00617E6A"/>
    <w:rsid w:val="00617FAE"/>
    <w:rsid w:val="006201C5"/>
    <w:rsid w:val="0062021A"/>
    <w:rsid w:val="0062027D"/>
    <w:rsid w:val="0062044A"/>
    <w:rsid w:val="0062079D"/>
    <w:rsid w:val="006207FB"/>
    <w:rsid w:val="00620851"/>
    <w:rsid w:val="00620889"/>
    <w:rsid w:val="0062096F"/>
    <w:rsid w:val="0062099F"/>
    <w:rsid w:val="00620AB8"/>
    <w:rsid w:val="00620BE7"/>
    <w:rsid w:val="00620C97"/>
    <w:rsid w:val="00620F47"/>
    <w:rsid w:val="006212CB"/>
    <w:rsid w:val="00621499"/>
    <w:rsid w:val="006215A8"/>
    <w:rsid w:val="00621B18"/>
    <w:rsid w:val="00621BF3"/>
    <w:rsid w:val="00621CAD"/>
    <w:rsid w:val="006222C8"/>
    <w:rsid w:val="00622464"/>
    <w:rsid w:val="006226BE"/>
    <w:rsid w:val="0062297F"/>
    <w:rsid w:val="00622A6D"/>
    <w:rsid w:val="00622AC3"/>
    <w:rsid w:val="00622D9B"/>
    <w:rsid w:val="006230B8"/>
    <w:rsid w:val="0062320C"/>
    <w:rsid w:val="006234BB"/>
    <w:rsid w:val="0062365E"/>
    <w:rsid w:val="00623A48"/>
    <w:rsid w:val="00623B2F"/>
    <w:rsid w:val="00623BC7"/>
    <w:rsid w:val="00623C78"/>
    <w:rsid w:val="00623D4A"/>
    <w:rsid w:val="006242F8"/>
    <w:rsid w:val="006242FE"/>
    <w:rsid w:val="0062437B"/>
    <w:rsid w:val="0062440F"/>
    <w:rsid w:val="00624968"/>
    <w:rsid w:val="0062497B"/>
    <w:rsid w:val="00624A77"/>
    <w:rsid w:val="00624D33"/>
    <w:rsid w:val="00624D7C"/>
    <w:rsid w:val="00624F1F"/>
    <w:rsid w:val="006251FD"/>
    <w:rsid w:val="00625207"/>
    <w:rsid w:val="00625345"/>
    <w:rsid w:val="00625431"/>
    <w:rsid w:val="00625471"/>
    <w:rsid w:val="006254A2"/>
    <w:rsid w:val="00625599"/>
    <w:rsid w:val="006255B1"/>
    <w:rsid w:val="00625697"/>
    <w:rsid w:val="00625717"/>
    <w:rsid w:val="0062584D"/>
    <w:rsid w:val="00625860"/>
    <w:rsid w:val="006258D7"/>
    <w:rsid w:val="006258DB"/>
    <w:rsid w:val="00625936"/>
    <w:rsid w:val="00625C3C"/>
    <w:rsid w:val="00625C3F"/>
    <w:rsid w:val="00625D07"/>
    <w:rsid w:val="00625D2D"/>
    <w:rsid w:val="006262A1"/>
    <w:rsid w:val="00626359"/>
    <w:rsid w:val="00626434"/>
    <w:rsid w:val="006264D1"/>
    <w:rsid w:val="006264DF"/>
    <w:rsid w:val="006264F4"/>
    <w:rsid w:val="00626771"/>
    <w:rsid w:val="006270BD"/>
    <w:rsid w:val="006276B7"/>
    <w:rsid w:val="00627977"/>
    <w:rsid w:val="00627B7D"/>
    <w:rsid w:val="00627D03"/>
    <w:rsid w:val="00627F5C"/>
    <w:rsid w:val="006300B8"/>
    <w:rsid w:val="00630228"/>
    <w:rsid w:val="00630278"/>
    <w:rsid w:val="00630289"/>
    <w:rsid w:val="006303A3"/>
    <w:rsid w:val="0063040C"/>
    <w:rsid w:val="006306E9"/>
    <w:rsid w:val="006307E1"/>
    <w:rsid w:val="00630B23"/>
    <w:rsid w:val="00630E32"/>
    <w:rsid w:val="00631027"/>
    <w:rsid w:val="00631373"/>
    <w:rsid w:val="00631556"/>
    <w:rsid w:val="0063156F"/>
    <w:rsid w:val="006317AB"/>
    <w:rsid w:val="00631BF2"/>
    <w:rsid w:val="00631FAB"/>
    <w:rsid w:val="006321A8"/>
    <w:rsid w:val="006321C9"/>
    <w:rsid w:val="006324E5"/>
    <w:rsid w:val="006328C5"/>
    <w:rsid w:val="00632B23"/>
    <w:rsid w:val="00632BEC"/>
    <w:rsid w:val="00632C07"/>
    <w:rsid w:val="00632C19"/>
    <w:rsid w:val="00632C92"/>
    <w:rsid w:val="00632EA6"/>
    <w:rsid w:val="00632FC8"/>
    <w:rsid w:val="0063324A"/>
    <w:rsid w:val="0063325C"/>
    <w:rsid w:val="0063339F"/>
    <w:rsid w:val="00633556"/>
    <w:rsid w:val="0063370D"/>
    <w:rsid w:val="00633A2D"/>
    <w:rsid w:val="00633AD2"/>
    <w:rsid w:val="00633B0D"/>
    <w:rsid w:val="00633C9D"/>
    <w:rsid w:val="00633CBA"/>
    <w:rsid w:val="00633E08"/>
    <w:rsid w:val="00633E1C"/>
    <w:rsid w:val="00633E4F"/>
    <w:rsid w:val="00633E6E"/>
    <w:rsid w:val="00633EC4"/>
    <w:rsid w:val="00633ED7"/>
    <w:rsid w:val="00633F9D"/>
    <w:rsid w:val="0063412F"/>
    <w:rsid w:val="00634274"/>
    <w:rsid w:val="006342F2"/>
    <w:rsid w:val="006343A6"/>
    <w:rsid w:val="006346B1"/>
    <w:rsid w:val="006347B4"/>
    <w:rsid w:val="006347DA"/>
    <w:rsid w:val="00634A49"/>
    <w:rsid w:val="00634A71"/>
    <w:rsid w:val="00634AD3"/>
    <w:rsid w:val="00634BB6"/>
    <w:rsid w:val="006353C3"/>
    <w:rsid w:val="006353DD"/>
    <w:rsid w:val="00635470"/>
    <w:rsid w:val="00635741"/>
    <w:rsid w:val="00635781"/>
    <w:rsid w:val="006357EF"/>
    <w:rsid w:val="00635A32"/>
    <w:rsid w:val="00635B48"/>
    <w:rsid w:val="00635F1F"/>
    <w:rsid w:val="0063602D"/>
    <w:rsid w:val="00636172"/>
    <w:rsid w:val="006361A7"/>
    <w:rsid w:val="006361BE"/>
    <w:rsid w:val="006361FA"/>
    <w:rsid w:val="0063622A"/>
    <w:rsid w:val="0063624E"/>
    <w:rsid w:val="00636362"/>
    <w:rsid w:val="00636485"/>
    <w:rsid w:val="006364A8"/>
    <w:rsid w:val="00636627"/>
    <w:rsid w:val="00636642"/>
    <w:rsid w:val="00636835"/>
    <w:rsid w:val="00636BF0"/>
    <w:rsid w:val="00636D22"/>
    <w:rsid w:val="00636F1B"/>
    <w:rsid w:val="00636FB6"/>
    <w:rsid w:val="00637142"/>
    <w:rsid w:val="00637158"/>
    <w:rsid w:val="006371EB"/>
    <w:rsid w:val="006373B7"/>
    <w:rsid w:val="00637440"/>
    <w:rsid w:val="006374B2"/>
    <w:rsid w:val="006374D9"/>
    <w:rsid w:val="006376EC"/>
    <w:rsid w:val="0063786E"/>
    <w:rsid w:val="0063789B"/>
    <w:rsid w:val="006378DB"/>
    <w:rsid w:val="006378FB"/>
    <w:rsid w:val="00640008"/>
    <w:rsid w:val="0064005C"/>
    <w:rsid w:val="006403C3"/>
    <w:rsid w:val="006409A5"/>
    <w:rsid w:val="006409C3"/>
    <w:rsid w:val="00640B33"/>
    <w:rsid w:val="00641260"/>
    <w:rsid w:val="006413DE"/>
    <w:rsid w:val="0064159D"/>
    <w:rsid w:val="00641921"/>
    <w:rsid w:val="00641971"/>
    <w:rsid w:val="00641A96"/>
    <w:rsid w:val="00641B73"/>
    <w:rsid w:val="00641C7E"/>
    <w:rsid w:val="00642070"/>
    <w:rsid w:val="0064209E"/>
    <w:rsid w:val="006421CC"/>
    <w:rsid w:val="006423F7"/>
    <w:rsid w:val="0064245C"/>
    <w:rsid w:val="00642723"/>
    <w:rsid w:val="0064276A"/>
    <w:rsid w:val="006427FC"/>
    <w:rsid w:val="00642C3E"/>
    <w:rsid w:val="00642D06"/>
    <w:rsid w:val="00642E1F"/>
    <w:rsid w:val="00642E37"/>
    <w:rsid w:val="00642E68"/>
    <w:rsid w:val="006431CC"/>
    <w:rsid w:val="00643529"/>
    <w:rsid w:val="006436D1"/>
    <w:rsid w:val="00643737"/>
    <w:rsid w:val="00643A1C"/>
    <w:rsid w:val="00643B33"/>
    <w:rsid w:val="00643B86"/>
    <w:rsid w:val="00643D21"/>
    <w:rsid w:val="00643DAB"/>
    <w:rsid w:val="006442E7"/>
    <w:rsid w:val="0064449A"/>
    <w:rsid w:val="006444B4"/>
    <w:rsid w:val="006449A5"/>
    <w:rsid w:val="00644A2F"/>
    <w:rsid w:val="00644C9A"/>
    <w:rsid w:val="0064524E"/>
    <w:rsid w:val="006452A2"/>
    <w:rsid w:val="00645429"/>
    <w:rsid w:val="0064548D"/>
    <w:rsid w:val="00645599"/>
    <w:rsid w:val="006458A1"/>
    <w:rsid w:val="006458AD"/>
    <w:rsid w:val="00645AB3"/>
    <w:rsid w:val="00645C4F"/>
    <w:rsid w:val="00645D28"/>
    <w:rsid w:val="00645D87"/>
    <w:rsid w:val="00645EE5"/>
    <w:rsid w:val="00645F64"/>
    <w:rsid w:val="0064616E"/>
    <w:rsid w:val="0064622F"/>
    <w:rsid w:val="00646444"/>
    <w:rsid w:val="006464EA"/>
    <w:rsid w:val="006466A2"/>
    <w:rsid w:val="00646A18"/>
    <w:rsid w:val="00646C5F"/>
    <w:rsid w:val="00646D46"/>
    <w:rsid w:val="00646F89"/>
    <w:rsid w:val="00646FE8"/>
    <w:rsid w:val="00647077"/>
    <w:rsid w:val="0064709D"/>
    <w:rsid w:val="006471ED"/>
    <w:rsid w:val="00647273"/>
    <w:rsid w:val="0064734B"/>
    <w:rsid w:val="00647374"/>
    <w:rsid w:val="006473C4"/>
    <w:rsid w:val="00647436"/>
    <w:rsid w:val="006475CF"/>
    <w:rsid w:val="00647718"/>
    <w:rsid w:val="00647742"/>
    <w:rsid w:val="0064778C"/>
    <w:rsid w:val="0064794C"/>
    <w:rsid w:val="00647D07"/>
    <w:rsid w:val="00647DDE"/>
    <w:rsid w:val="00650220"/>
    <w:rsid w:val="00650247"/>
    <w:rsid w:val="00650395"/>
    <w:rsid w:val="00650453"/>
    <w:rsid w:val="0065050F"/>
    <w:rsid w:val="00650513"/>
    <w:rsid w:val="00650535"/>
    <w:rsid w:val="006505A8"/>
    <w:rsid w:val="0065083F"/>
    <w:rsid w:val="00650957"/>
    <w:rsid w:val="00650AD0"/>
    <w:rsid w:val="00650BF4"/>
    <w:rsid w:val="00650D64"/>
    <w:rsid w:val="00650DA3"/>
    <w:rsid w:val="00650DD3"/>
    <w:rsid w:val="00650EB6"/>
    <w:rsid w:val="00650EF0"/>
    <w:rsid w:val="00650F59"/>
    <w:rsid w:val="0065151F"/>
    <w:rsid w:val="00651615"/>
    <w:rsid w:val="0065164A"/>
    <w:rsid w:val="00651714"/>
    <w:rsid w:val="006519A7"/>
    <w:rsid w:val="006519DA"/>
    <w:rsid w:val="00651C09"/>
    <w:rsid w:val="006520D2"/>
    <w:rsid w:val="00652A36"/>
    <w:rsid w:val="00652E7E"/>
    <w:rsid w:val="00653256"/>
    <w:rsid w:val="0065356C"/>
    <w:rsid w:val="006535AC"/>
    <w:rsid w:val="006536F1"/>
    <w:rsid w:val="00653A79"/>
    <w:rsid w:val="00653B13"/>
    <w:rsid w:val="00653B4A"/>
    <w:rsid w:val="00653CEF"/>
    <w:rsid w:val="00653E6D"/>
    <w:rsid w:val="00653EBC"/>
    <w:rsid w:val="00653F1F"/>
    <w:rsid w:val="00653F63"/>
    <w:rsid w:val="00654262"/>
    <w:rsid w:val="00654276"/>
    <w:rsid w:val="0065469C"/>
    <w:rsid w:val="006546D0"/>
    <w:rsid w:val="0065499B"/>
    <w:rsid w:val="00654A8D"/>
    <w:rsid w:val="00654DB9"/>
    <w:rsid w:val="00655370"/>
    <w:rsid w:val="00655A71"/>
    <w:rsid w:val="00655A8D"/>
    <w:rsid w:val="00655E8A"/>
    <w:rsid w:val="00655F77"/>
    <w:rsid w:val="00655F96"/>
    <w:rsid w:val="00655FD8"/>
    <w:rsid w:val="00656188"/>
    <w:rsid w:val="0065654A"/>
    <w:rsid w:val="006568BA"/>
    <w:rsid w:val="006568D4"/>
    <w:rsid w:val="00656935"/>
    <w:rsid w:val="00656C75"/>
    <w:rsid w:val="00656F0C"/>
    <w:rsid w:val="00656FC1"/>
    <w:rsid w:val="006571DA"/>
    <w:rsid w:val="006571E6"/>
    <w:rsid w:val="00657239"/>
    <w:rsid w:val="006572F2"/>
    <w:rsid w:val="006573D1"/>
    <w:rsid w:val="006578F9"/>
    <w:rsid w:val="00657B80"/>
    <w:rsid w:val="00657B9D"/>
    <w:rsid w:val="006603D1"/>
    <w:rsid w:val="0066060B"/>
    <w:rsid w:val="006606F5"/>
    <w:rsid w:val="00660C29"/>
    <w:rsid w:val="00660C57"/>
    <w:rsid w:val="00660D78"/>
    <w:rsid w:val="00660EE0"/>
    <w:rsid w:val="0066148B"/>
    <w:rsid w:val="00661613"/>
    <w:rsid w:val="006618D7"/>
    <w:rsid w:val="00661A90"/>
    <w:rsid w:val="00661B4D"/>
    <w:rsid w:val="00661E0E"/>
    <w:rsid w:val="00662234"/>
    <w:rsid w:val="006622D5"/>
    <w:rsid w:val="006627D0"/>
    <w:rsid w:val="00662990"/>
    <w:rsid w:val="00662A0A"/>
    <w:rsid w:val="00662C8F"/>
    <w:rsid w:val="00662CF6"/>
    <w:rsid w:val="00662D55"/>
    <w:rsid w:val="00662E07"/>
    <w:rsid w:val="00662E2A"/>
    <w:rsid w:val="00663256"/>
    <w:rsid w:val="00663516"/>
    <w:rsid w:val="0066363F"/>
    <w:rsid w:val="006638BB"/>
    <w:rsid w:val="0066399A"/>
    <w:rsid w:val="00663B85"/>
    <w:rsid w:val="00663C7B"/>
    <w:rsid w:val="00664012"/>
    <w:rsid w:val="00664290"/>
    <w:rsid w:val="006644C7"/>
    <w:rsid w:val="0066457C"/>
    <w:rsid w:val="0066471E"/>
    <w:rsid w:val="0066474B"/>
    <w:rsid w:val="00664934"/>
    <w:rsid w:val="00664E96"/>
    <w:rsid w:val="00664F61"/>
    <w:rsid w:val="00665028"/>
    <w:rsid w:val="00665138"/>
    <w:rsid w:val="00665213"/>
    <w:rsid w:val="006653F9"/>
    <w:rsid w:val="006656FB"/>
    <w:rsid w:val="0066582D"/>
    <w:rsid w:val="00665D1E"/>
    <w:rsid w:val="00665FDB"/>
    <w:rsid w:val="00665FEA"/>
    <w:rsid w:val="00666020"/>
    <w:rsid w:val="00666033"/>
    <w:rsid w:val="00666089"/>
    <w:rsid w:val="006661F8"/>
    <w:rsid w:val="00666251"/>
    <w:rsid w:val="0066640F"/>
    <w:rsid w:val="00666842"/>
    <w:rsid w:val="00666B6A"/>
    <w:rsid w:val="00666BA6"/>
    <w:rsid w:val="00666BE7"/>
    <w:rsid w:val="00666C8E"/>
    <w:rsid w:val="00666FDE"/>
    <w:rsid w:val="00667174"/>
    <w:rsid w:val="006671F9"/>
    <w:rsid w:val="006672F9"/>
    <w:rsid w:val="006674B5"/>
    <w:rsid w:val="006676A6"/>
    <w:rsid w:val="006677D3"/>
    <w:rsid w:val="00667804"/>
    <w:rsid w:val="00667876"/>
    <w:rsid w:val="00667A5D"/>
    <w:rsid w:val="00667B47"/>
    <w:rsid w:val="00667E62"/>
    <w:rsid w:val="00670039"/>
    <w:rsid w:val="0067014F"/>
    <w:rsid w:val="006702E4"/>
    <w:rsid w:val="00670358"/>
    <w:rsid w:val="00670871"/>
    <w:rsid w:val="00670A64"/>
    <w:rsid w:val="00670CD3"/>
    <w:rsid w:val="0067105D"/>
    <w:rsid w:val="006711DF"/>
    <w:rsid w:val="0067172C"/>
    <w:rsid w:val="00671991"/>
    <w:rsid w:val="00671E70"/>
    <w:rsid w:val="0067204F"/>
    <w:rsid w:val="0067262F"/>
    <w:rsid w:val="00672631"/>
    <w:rsid w:val="0067271B"/>
    <w:rsid w:val="00672824"/>
    <w:rsid w:val="00672869"/>
    <w:rsid w:val="00672902"/>
    <w:rsid w:val="00672B28"/>
    <w:rsid w:val="00672C0A"/>
    <w:rsid w:val="00672E76"/>
    <w:rsid w:val="006730D1"/>
    <w:rsid w:val="00673128"/>
    <w:rsid w:val="00673270"/>
    <w:rsid w:val="006732D3"/>
    <w:rsid w:val="0067340B"/>
    <w:rsid w:val="00673729"/>
    <w:rsid w:val="00673811"/>
    <w:rsid w:val="006738F5"/>
    <w:rsid w:val="00673BEC"/>
    <w:rsid w:val="006741B6"/>
    <w:rsid w:val="0067438F"/>
    <w:rsid w:val="00674412"/>
    <w:rsid w:val="006744CC"/>
    <w:rsid w:val="006745BB"/>
    <w:rsid w:val="00674707"/>
    <w:rsid w:val="0067509B"/>
    <w:rsid w:val="00675563"/>
    <w:rsid w:val="0067556E"/>
    <w:rsid w:val="006755CD"/>
    <w:rsid w:val="00675651"/>
    <w:rsid w:val="0067581C"/>
    <w:rsid w:val="006758E7"/>
    <w:rsid w:val="0067593D"/>
    <w:rsid w:val="00675B9F"/>
    <w:rsid w:val="00675BEB"/>
    <w:rsid w:val="00675CBC"/>
    <w:rsid w:val="00675CFD"/>
    <w:rsid w:val="00676262"/>
    <w:rsid w:val="006766F5"/>
    <w:rsid w:val="0067674E"/>
    <w:rsid w:val="00676955"/>
    <w:rsid w:val="00676DFC"/>
    <w:rsid w:val="00676FA0"/>
    <w:rsid w:val="0067705A"/>
    <w:rsid w:val="006770D1"/>
    <w:rsid w:val="00677293"/>
    <w:rsid w:val="0067732B"/>
    <w:rsid w:val="00677370"/>
    <w:rsid w:val="006773A9"/>
    <w:rsid w:val="00677436"/>
    <w:rsid w:val="006774DF"/>
    <w:rsid w:val="0067759F"/>
    <w:rsid w:val="006775E0"/>
    <w:rsid w:val="006775E8"/>
    <w:rsid w:val="006776DB"/>
    <w:rsid w:val="00677810"/>
    <w:rsid w:val="0067787F"/>
    <w:rsid w:val="006778C7"/>
    <w:rsid w:val="00677D4F"/>
    <w:rsid w:val="00677D67"/>
    <w:rsid w:val="00677DCA"/>
    <w:rsid w:val="00677F46"/>
    <w:rsid w:val="00680063"/>
    <w:rsid w:val="00680E44"/>
    <w:rsid w:val="00680EB6"/>
    <w:rsid w:val="00680EF1"/>
    <w:rsid w:val="00681149"/>
    <w:rsid w:val="0068133E"/>
    <w:rsid w:val="00681595"/>
    <w:rsid w:val="00681663"/>
    <w:rsid w:val="006817BE"/>
    <w:rsid w:val="00681866"/>
    <w:rsid w:val="00681C9D"/>
    <w:rsid w:val="00681F35"/>
    <w:rsid w:val="00682269"/>
    <w:rsid w:val="006825AE"/>
    <w:rsid w:val="006827AA"/>
    <w:rsid w:val="00682828"/>
    <w:rsid w:val="0068288E"/>
    <w:rsid w:val="0068297B"/>
    <w:rsid w:val="00682B09"/>
    <w:rsid w:val="00682E07"/>
    <w:rsid w:val="00682E31"/>
    <w:rsid w:val="00683054"/>
    <w:rsid w:val="00683398"/>
    <w:rsid w:val="00683495"/>
    <w:rsid w:val="00683563"/>
    <w:rsid w:val="006836BD"/>
    <w:rsid w:val="00683936"/>
    <w:rsid w:val="00683D52"/>
    <w:rsid w:val="00683D97"/>
    <w:rsid w:val="00684024"/>
    <w:rsid w:val="006840C8"/>
    <w:rsid w:val="00684226"/>
    <w:rsid w:val="00684271"/>
    <w:rsid w:val="00684428"/>
    <w:rsid w:val="0068492C"/>
    <w:rsid w:val="00684A1A"/>
    <w:rsid w:val="006851D7"/>
    <w:rsid w:val="006852D1"/>
    <w:rsid w:val="0068559E"/>
    <w:rsid w:val="006855C3"/>
    <w:rsid w:val="00685939"/>
    <w:rsid w:val="00685AEC"/>
    <w:rsid w:val="00685C50"/>
    <w:rsid w:val="00685E3D"/>
    <w:rsid w:val="00685E99"/>
    <w:rsid w:val="006860DD"/>
    <w:rsid w:val="00686147"/>
    <w:rsid w:val="006863C5"/>
    <w:rsid w:val="006863E2"/>
    <w:rsid w:val="0068676F"/>
    <w:rsid w:val="0068680A"/>
    <w:rsid w:val="00686F7C"/>
    <w:rsid w:val="00686FDE"/>
    <w:rsid w:val="00687104"/>
    <w:rsid w:val="006871E2"/>
    <w:rsid w:val="0068733C"/>
    <w:rsid w:val="006873ED"/>
    <w:rsid w:val="00687604"/>
    <w:rsid w:val="006877AA"/>
    <w:rsid w:val="00687820"/>
    <w:rsid w:val="00687FDF"/>
    <w:rsid w:val="006900B0"/>
    <w:rsid w:val="006906FF"/>
    <w:rsid w:val="0069099D"/>
    <w:rsid w:val="006909C0"/>
    <w:rsid w:val="006909CF"/>
    <w:rsid w:val="00690B01"/>
    <w:rsid w:val="00690CB9"/>
    <w:rsid w:val="00690DE3"/>
    <w:rsid w:val="00690F72"/>
    <w:rsid w:val="006912A2"/>
    <w:rsid w:val="00691343"/>
    <w:rsid w:val="00691368"/>
    <w:rsid w:val="00691460"/>
    <w:rsid w:val="006915B3"/>
    <w:rsid w:val="00691AF8"/>
    <w:rsid w:val="00691B4B"/>
    <w:rsid w:val="00691BB2"/>
    <w:rsid w:val="00691F2F"/>
    <w:rsid w:val="0069213F"/>
    <w:rsid w:val="00692432"/>
    <w:rsid w:val="00692592"/>
    <w:rsid w:val="0069271E"/>
    <w:rsid w:val="006927ED"/>
    <w:rsid w:val="00692900"/>
    <w:rsid w:val="006930C1"/>
    <w:rsid w:val="00693380"/>
    <w:rsid w:val="006933DE"/>
    <w:rsid w:val="00693574"/>
    <w:rsid w:val="006936DE"/>
    <w:rsid w:val="006938E3"/>
    <w:rsid w:val="00693F03"/>
    <w:rsid w:val="006940B4"/>
    <w:rsid w:val="006941C0"/>
    <w:rsid w:val="0069437A"/>
    <w:rsid w:val="0069439F"/>
    <w:rsid w:val="006943D4"/>
    <w:rsid w:val="006945F5"/>
    <w:rsid w:val="00694C8E"/>
    <w:rsid w:val="00694EE8"/>
    <w:rsid w:val="00694F1B"/>
    <w:rsid w:val="00694F92"/>
    <w:rsid w:val="0069503F"/>
    <w:rsid w:val="0069519A"/>
    <w:rsid w:val="0069534E"/>
    <w:rsid w:val="0069536F"/>
    <w:rsid w:val="0069540F"/>
    <w:rsid w:val="00695524"/>
    <w:rsid w:val="0069567C"/>
    <w:rsid w:val="006958C6"/>
    <w:rsid w:val="00695B8D"/>
    <w:rsid w:val="00695E8A"/>
    <w:rsid w:val="00695EA3"/>
    <w:rsid w:val="00695EF7"/>
    <w:rsid w:val="0069604F"/>
    <w:rsid w:val="00696072"/>
    <w:rsid w:val="00696145"/>
    <w:rsid w:val="006963BC"/>
    <w:rsid w:val="006963C5"/>
    <w:rsid w:val="00696A99"/>
    <w:rsid w:val="00696AA4"/>
    <w:rsid w:val="00696BA7"/>
    <w:rsid w:val="00696EED"/>
    <w:rsid w:val="00697077"/>
    <w:rsid w:val="00697083"/>
    <w:rsid w:val="00697154"/>
    <w:rsid w:val="006972D5"/>
    <w:rsid w:val="00697627"/>
    <w:rsid w:val="0069779B"/>
    <w:rsid w:val="0069789F"/>
    <w:rsid w:val="006979E6"/>
    <w:rsid w:val="00697AC2"/>
    <w:rsid w:val="00697B3B"/>
    <w:rsid w:val="00697BDE"/>
    <w:rsid w:val="00697DD1"/>
    <w:rsid w:val="00697E04"/>
    <w:rsid w:val="00697F59"/>
    <w:rsid w:val="006A0024"/>
    <w:rsid w:val="006A0448"/>
    <w:rsid w:val="006A0646"/>
    <w:rsid w:val="006A0AD6"/>
    <w:rsid w:val="006A0C84"/>
    <w:rsid w:val="006A0DB8"/>
    <w:rsid w:val="006A10F0"/>
    <w:rsid w:val="006A1190"/>
    <w:rsid w:val="006A140F"/>
    <w:rsid w:val="006A1733"/>
    <w:rsid w:val="006A195C"/>
    <w:rsid w:val="006A1B53"/>
    <w:rsid w:val="006A1FA4"/>
    <w:rsid w:val="006A20B0"/>
    <w:rsid w:val="006A2349"/>
    <w:rsid w:val="006A2460"/>
    <w:rsid w:val="006A26E0"/>
    <w:rsid w:val="006A274E"/>
    <w:rsid w:val="006A2774"/>
    <w:rsid w:val="006A27DE"/>
    <w:rsid w:val="006A2AD5"/>
    <w:rsid w:val="006A2B05"/>
    <w:rsid w:val="006A2B6A"/>
    <w:rsid w:val="006A2C14"/>
    <w:rsid w:val="006A2E0A"/>
    <w:rsid w:val="006A2FFB"/>
    <w:rsid w:val="006A306F"/>
    <w:rsid w:val="006A319E"/>
    <w:rsid w:val="006A3467"/>
    <w:rsid w:val="006A3484"/>
    <w:rsid w:val="006A3507"/>
    <w:rsid w:val="006A38BD"/>
    <w:rsid w:val="006A38E0"/>
    <w:rsid w:val="006A39E4"/>
    <w:rsid w:val="006A3B25"/>
    <w:rsid w:val="006A3BE8"/>
    <w:rsid w:val="006A3D7E"/>
    <w:rsid w:val="006A3FC9"/>
    <w:rsid w:val="006A4030"/>
    <w:rsid w:val="006A4045"/>
    <w:rsid w:val="006A40B8"/>
    <w:rsid w:val="006A4357"/>
    <w:rsid w:val="006A46E2"/>
    <w:rsid w:val="006A46F4"/>
    <w:rsid w:val="006A4715"/>
    <w:rsid w:val="006A4762"/>
    <w:rsid w:val="006A4783"/>
    <w:rsid w:val="006A4A22"/>
    <w:rsid w:val="006A4CB7"/>
    <w:rsid w:val="006A4E93"/>
    <w:rsid w:val="006A4E9B"/>
    <w:rsid w:val="006A4F15"/>
    <w:rsid w:val="006A4FA6"/>
    <w:rsid w:val="006A5324"/>
    <w:rsid w:val="006A5723"/>
    <w:rsid w:val="006A59AA"/>
    <w:rsid w:val="006A5B05"/>
    <w:rsid w:val="006A5CCB"/>
    <w:rsid w:val="006A5D34"/>
    <w:rsid w:val="006A5DF8"/>
    <w:rsid w:val="006A6190"/>
    <w:rsid w:val="006A6235"/>
    <w:rsid w:val="006A6295"/>
    <w:rsid w:val="006A62B7"/>
    <w:rsid w:val="006A64D4"/>
    <w:rsid w:val="006A6580"/>
    <w:rsid w:val="006A659D"/>
    <w:rsid w:val="006A68C2"/>
    <w:rsid w:val="006A6A97"/>
    <w:rsid w:val="006A6BA9"/>
    <w:rsid w:val="006A6CC0"/>
    <w:rsid w:val="006A6E2B"/>
    <w:rsid w:val="006A6FFD"/>
    <w:rsid w:val="006A7805"/>
    <w:rsid w:val="006A785A"/>
    <w:rsid w:val="006A7A65"/>
    <w:rsid w:val="006A7ABC"/>
    <w:rsid w:val="006B01E9"/>
    <w:rsid w:val="006B021E"/>
    <w:rsid w:val="006B02EA"/>
    <w:rsid w:val="006B0333"/>
    <w:rsid w:val="006B0567"/>
    <w:rsid w:val="006B094B"/>
    <w:rsid w:val="006B0983"/>
    <w:rsid w:val="006B0B91"/>
    <w:rsid w:val="006B0C61"/>
    <w:rsid w:val="006B0E6C"/>
    <w:rsid w:val="006B0F47"/>
    <w:rsid w:val="006B102A"/>
    <w:rsid w:val="006B12E9"/>
    <w:rsid w:val="006B12F4"/>
    <w:rsid w:val="006B150A"/>
    <w:rsid w:val="006B194E"/>
    <w:rsid w:val="006B23E6"/>
    <w:rsid w:val="006B2444"/>
    <w:rsid w:val="006B25B0"/>
    <w:rsid w:val="006B2986"/>
    <w:rsid w:val="006B2A45"/>
    <w:rsid w:val="006B2D40"/>
    <w:rsid w:val="006B2FDE"/>
    <w:rsid w:val="006B31BB"/>
    <w:rsid w:val="006B31EF"/>
    <w:rsid w:val="006B3219"/>
    <w:rsid w:val="006B34B6"/>
    <w:rsid w:val="006B37C8"/>
    <w:rsid w:val="006B3F01"/>
    <w:rsid w:val="006B4132"/>
    <w:rsid w:val="006B4177"/>
    <w:rsid w:val="006B43CE"/>
    <w:rsid w:val="006B4515"/>
    <w:rsid w:val="006B45B8"/>
    <w:rsid w:val="006B4708"/>
    <w:rsid w:val="006B4A80"/>
    <w:rsid w:val="006B4ACC"/>
    <w:rsid w:val="006B4B56"/>
    <w:rsid w:val="006B4B6B"/>
    <w:rsid w:val="006B4B8A"/>
    <w:rsid w:val="006B4E0E"/>
    <w:rsid w:val="006B4EBF"/>
    <w:rsid w:val="006B4F88"/>
    <w:rsid w:val="006B5942"/>
    <w:rsid w:val="006B5A03"/>
    <w:rsid w:val="006B5B7D"/>
    <w:rsid w:val="006B5BAC"/>
    <w:rsid w:val="006B5F48"/>
    <w:rsid w:val="006B5F66"/>
    <w:rsid w:val="006B6001"/>
    <w:rsid w:val="006B614B"/>
    <w:rsid w:val="006B65CE"/>
    <w:rsid w:val="006B6667"/>
    <w:rsid w:val="006B6868"/>
    <w:rsid w:val="006B6D24"/>
    <w:rsid w:val="006B703A"/>
    <w:rsid w:val="006B715E"/>
    <w:rsid w:val="006B7233"/>
    <w:rsid w:val="006B7251"/>
    <w:rsid w:val="006B7878"/>
    <w:rsid w:val="006B7967"/>
    <w:rsid w:val="006B7977"/>
    <w:rsid w:val="006B79CD"/>
    <w:rsid w:val="006B79D9"/>
    <w:rsid w:val="006B7AEF"/>
    <w:rsid w:val="006B7E74"/>
    <w:rsid w:val="006C00F3"/>
    <w:rsid w:val="006C031A"/>
    <w:rsid w:val="006C0609"/>
    <w:rsid w:val="006C0720"/>
    <w:rsid w:val="006C08E3"/>
    <w:rsid w:val="006C0A15"/>
    <w:rsid w:val="006C0A23"/>
    <w:rsid w:val="006C0C55"/>
    <w:rsid w:val="006C0EB9"/>
    <w:rsid w:val="006C0F5B"/>
    <w:rsid w:val="006C100A"/>
    <w:rsid w:val="006C1148"/>
    <w:rsid w:val="006C11CF"/>
    <w:rsid w:val="006C1227"/>
    <w:rsid w:val="006C12D3"/>
    <w:rsid w:val="006C1438"/>
    <w:rsid w:val="006C1442"/>
    <w:rsid w:val="006C199A"/>
    <w:rsid w:val="006C1C0E"/>
    <w:rsid w:val="006C1F3B"/>
    <w:rsid w:val="006C1F63"/>
    <w:rsid w:val="006C2263"/>
    <w:rsid w:val="006C2313"/>
    <w:rsid w:val="006C234D"/>
    <w:rsid w:val="006C2633"/>
    <w:rsid w:val="006C28E0"/>
    <w:rsid w:val="006C2A15"/>
    <w:rsid w:val="006C2A31"/>
    <w:rsid w:val="006C2BAC"/>
    <w:rsid w:val="006C2C4C"/>
    <w:rsid w:val="006C2DF5"/>
    <w:rsid w:val="006C2E5C"/>
    <w:rsid w:val="006C2F27"/>
    <w:rsid w:val="006C3010"/>
    <w:rsid w:val="006C3541"/>
    <w:rsid w:val="006C39E1"/>
    <w:rsid w:val="006C3CC0"/>
    <w:rsid w:val="006C3D08"/>
    <w:rsid w:val="006C3DF0"/>
    <w:rsid w:val="006C3E36"/>
    <w:rsid w:val="006C3E42"/>
    <w:rsid w:val="006C3F14"/>
    <w:rsid w:val="006C3FD9"/>
    <w:rsid w:val="006C40EF"/>
    <w:rsid w:val="006C43CA"/>
    <w:rsid w:val="006C4503"/>
    <w:rsid w:val="006C45F7"/>
    <w:rsid w:val="006C485E"/>
    <w:rsid w:val="006C4B94"/>
    <w:rsid w:val="006C4CE4"/>
    <w:rsid w:val="006C4D11"/>
    <w:rsid w:val="006C4E79"/>
    <w:rsid w:val="006C4E83"/>
    <w:rsid w:val="006C4EAA"/>
    <w:rsid w:val="006C4ECB"/>
    <w:rsid w:val="006C4F60"/>
    <w:rsid w:val="006C50D0"/>
    <w:rsid w:val="006C5177"/>
    <w:rsid w:val="006C5214"/>
    <w:rsid w:val="006C59E5"/>
    <w:rsid w:val="006C5B09"/>
    <w:rsid w:val="006C5E14"/>
    <w:rsid w:val="006C64E0"/>
    <w:rsid w:val="006C6E70"/>
    <w:rsid w:val="006C6EA9"/>
    <w:rsid w:val="006C724E"/>
    <w:rsid w:val="006C735F"/>
    <w:rsid w:val="006C748A"/>
    <w:rsid w:val="006C74C8"/>
    <w:rsid w:val="006C7D45"/>
    <w:rsid w:val="006C7D99"/>
    <w:rsid w:val="006C7E7C"/>
    <w:rsid w:val="006C7EEA"/>
    <w:rsid w:val="006D0129"/>
    <w:rsid w:val="006D01DB"/>
    <w:rsid w:val="006D0242"/>
    <w:rsid w:val="006D0277"/>
    <w:rsid w:val="006D0487"/>
    <w:rsid w:val="006D0530"/>
    <w:rsid w:val="006D074C"/>
    <w:rsid w:val="006D07B9"/>
    <w:rsid w:val="006D0A05"/>
    <w:rsid w:val="006D0A19"/>
    <w:rsid w:val="006D0B42"/>
    <w:rsid w:val="006D0C34"/>
    <w:rsid w:val="006D0C74"/>
    <w:rsid w:val="006D1021"/>
    <w:rsid w:val="006D1410"/>
    <w:rsid w:val="006D1A65"/>
    <w:rsid w:val="006D1A99"/>
    <w:rsid w:val="006D1DC7"/>
    <w:rsid w:val="006D20F8"/>
    <w:rsid w:val="006D2163"/>
    <w:rsid w:val="006D240D"/>
    <w:rsid w:val="006D257D"/>
    <w:rsid w:val="006D2F1E"/>
    <w:rsid w:val="006D31FB"/>
    <w:rsid w:val="006D3789"/>
    <w:rsid w:val="006D37B2"/>
    <w:rsid w:val="006D386A"/>
    <w:rsid w:val="006D3B40"/>
    <w:rsid w:val="006D3E49"/>
    <w:rsid w:val="006D3F6B"/>
    <w:rsid w:val="006D3FE2"/>
    <w:rsid w:val="006D414F"/>
    <w:rsid w:val="006D463A"/>
    <w:rsid w:val="006D4683"/>
    <w:rsid w:val="006D47F5"/>
    <w:rsid w:val="006D4960"/>
    <w:rsid w:val="006D49C9"/>
    <w:rsid w:val="006D4AA1"/>
    <w:rsid w:val="006D4FE2"/>
    <w:rsid w:val="006D500D"/>
    <w:rsid w:val="006D527F"/>
    <w:rsid w:val="006D5393"/>
    <w:rsid w:val="006D553C"/>
    <w:rsid w:val="006D5651"/>
    <w:rsid w:val="006D5805"/>
    <w:rsid w:val="006D59C0"/>
    <w:rsid w:val="006D5B4E"/>
    <w:rsid w:val="006D5C24"/>
    <w:rsid w:val="006D5DE3"/>
    <w:rsid w:val="006D5E84"/>
    <w:rsid w:val="006D5F80"/>
    <w:rsid w:val="006D6218"/>
    <w:rsid w:val="006D622E"/>
    <w:rsid w:val="006D6538"/>
    <w:rsid w:val="006D656D"/>
    <w:rsid w:val="006D67C7"/>
    <w:rsid w:val="006D6865"/>
    <w:rsid w:val="006D6A54"/>
    <w:rsid w:val="006D6B39"/>
    <w:rsid w:val="006D6E1A"/>
    <w:rsid w:val="006D6F03"/>
    <w:rsid w:val="006D6F13"/>
    <w:rsid w:val="006D6FE1"/>
    <w:rsid w:val="006D72CA"/>
    <w:rsid w:val="006D73D3"/>
    <w:rsid w:val="006D742B"/>
    <w:rsid w:val="006D77AB"/>
    <w:rsid w:val="006D7879"/>
    <w:rsid w:val="006D79E8"/>
    <w:rsid w:val="006D7B24"/>
    <w:rsid w:val="006D7F69"/>
    <w:rsid w:val="006E03B8"/>
    <w:rsid w:val="006E045B"/>
    <w:rsid w:val="006E04CD"/>
    <w:rsid w:val="006E0594"/>
    <w:rsid w:val="006E05AD"/>
    <w:rsid w:val="006E074B"/>
    <w:rsid w:val="006E100D"/>
    <w:rsid w:val="006E115E"/>
    <w:rsid w:val="006E1258"/>
    <w:rsid w:val="006E131B"/>
    <w:rsid w:val="006E1360"/>
    <w:rsid w:val="006E1534"/>
    <w:rsid w:val="006E160E"/>
    <w:rsid w:val="006E16B5"/>
    <w:rsid w:val="006E1730"/>
    <w:rsid w:val="006E18C9"/>
    <w:rsid w:val="006E1905"/>
    <w:rsid w:val="006E19B7"/>
    <w:rsid w:val="006E19DB"/>
    <w:rsid w:val="006E1B45"/>
    <w:rsid w:val="006E1B88"/>
    <w:rsid w:val="006E1CD9"/>
    <w:rsid w:val="006E1FB0"/>
    <w:rsid w:val="006E2566"/>
    <w:rsid w:val="006E25F5"/>
    <w:rsid w:val="006E2729"/>
    <w:rsid w:val="006E289F"/>
    <w:rsid w:val="006E28D7"/>
    <w:rsid w:val="006E2973"/>
    <w:rsid w:val="006E2A24"/>
    <w:rsid w:val="006E2D13"/>
    <w:rsid w:val="006E3276"/>
    <w:rsid w:val="006E32D8"/>
    <w:rsid w:val="006E32E9"/>
    <w:rsid w:val="006E337B"/>
    <w:rsid w:val="006E33FD"/>
    <w:rsid w:val="006E3492"/>
    <w:rsid w:val="006E3509"/>
    <w:rsid w:val="006E39CA"/>
    <w:rsid w:val="006E3B85"/>
    <w:rsid w:val="006E3C00"/>
    <w:rsid w:val="006E4366"/>
    <w:rsid w:val="006E450A"/>
    <w:rsid w:val="006E472C"/>
    <w:rsid w:val="006E4B12"/>
    <w:rsid w:val="006E4B8B"/>
    <w:rsid w:val="006E4EAC"/>
    <w:rsid w:val="006E4F4B"/>
    <w:rsid w:val="006E4F4E"/>
    <w:rsid w:val="006E4FC9"/>
    <w:rsid w:val="006E5018"/>
    <w:rsid w:val="006E50B1"/>
    <w:rsid w:val="006E520F"/>
    <w:rsid w:val="006E5405"/>
    <w:rsid w:val="006E5447"/>
    <w:rsid w:val="006E547C"/>
    <w:rsid w:val="006E57CE"/>
    <w:rsid w:val="006E5973"/>
    <w:rsid w:val="006E5D62"/>
    <w:rsid w:val="006E5F95"/>
    <w:rsid w:val="006E6025"/>
    <w:rsid w:val="006E60C3"/>
    <w:rsid w:val="006E619D"/>
    <w:rsid w:val="006E652E"/>
    <w:rsid w:val="006E6651"/>
    <w:rsid w:val="006E6A3B"/>
    <w:rsid w:val="006E6A98"/>
    <w:rsid w:val="006E6BCA"/>
    <w:rsid w:val="006E6C0B"/>
    <w:rsid w:val="006E6C5A"/>
    <w:rsid w:val="006E6C6D"/>
    <w:rsid w:val="006E6CC8"/>
    <w:rsid w:val="006E6D06"/>
    <w:rsid w:val="006E70F4"/>
    <w:rsid w:val="006E71EE"/>
    <w:rsid w:val="006E72CD"/>
    <w:rsid w:val="006E72D8"/>
    <w:rsid w:val="006E74A7"/>
    <w:rsid w:val="006E75A1"/>
    <w:rsid w:val="006E76EC"/>
    <w:rsid w:val="006E7707"/>
    <w:rsid w:val="006E774A"/>
    <w:rsid w:val="006E79D2"/>
    <w:rsid w:val="006E7CDA"/>
    <w:rsid w:val="006E7F85"/>
    <w:rsid w:val="006F01F3"/>
    <w:rsid w:val="006F0277"/>
    <w:rsid w:val="006F043F"/>
    <w:rsid w:val="006F04FD"/>
    <w:rsid w:val="006F05D0"/>
    <w:rsid w:val="006F06AD"/>
    <w:rsid w:val="006F0735"/>
    <w:rsid w:val="006F0846"/>
    <w:rsid w:val="006F0894"/>
    <w:rsid w:val="006F0B6A"/>
    <w:rsid w:val="006F0E01"/>
    <w:rsid w:val="006F0FDF"/>
    <w:rsid w:val="006F10AB"/>
    <w:rsid w:val="006F10E4"/>
    <w:rsid w:val="006F114F"/>
    <w:rsid w:val="006F146A"/>
    <w:rsid w:val="006F171D"/>
    <w:rsid w:val="006F1856"/>
    <w:rsid w:val="006F1B49"/>
    <w:rsid w:val="006F1C3A"/>
    <w:rsid w:val="006F1EDC"/>
    <w:rsid w:val="006F2128"/>
    <w:rsid w:val="006F24AD"/>
    <w:rsid w:val="006F2543"/>
    <w:rsid w:val="006F28ED"/>
    <w:rsid w:val="006F29B4"/>
    <w:rsid w:val="006F2B0E"/>
    <w:rsid w:val="006F30A5"/>
    <w:rsid w:val="006F34C7"/>
    <w:rsid w:val="006F35E9"/>
    <w:rsid w:val="006F3681"/>
    <w:rsid w:val="006F36C0"/>
    <w:rsid w:val="006F37E2"/>
    <w:rsid w:val="006F384F"/>
    <w:rsid w:val="006F38C2"/>
    <w:rsid w:val="006F3BF5"/>
    <w:rsid w:val="006F3D56"/>
    <w:rsid w:val="006F3DFC"/>
    <w:rsid w:val="006F4421"/>
    <w:rsid w:val="006F44D8"/>
    <w:rsid w:val="006F4717"/>
    <w:rsid w:val="006F474D"/>
    <w:rsid w:val="006F475B"/>
    <w:rsid w:val="006F495E"/>
    <w:rsid w:val="006F4962"/>
    <w:rsid w:val="006F4994"/>
    <w:rsid w:val="006F4A94"/>
    <w:rsid w:val="006F4B67"/>
    <w:rsid w:val="006F4BCE"/>
    <w:rsid w:val="006F4F21"/>
    <w:rsid w:val="006F52B4"/>
    <w:rsid w:val="006F53DE"/>
    <w:rsid w:val="006F5746"/>
    <w:rsid w:val="006F5797"/>
    <w:rsid w:val="006F57AA"/>
    <w:rsid w:val="006F5FC2"/>
    <w:rsid w:val="006F6009"/>
    <w:rsid w:val="006F6052"/>
    <w:rsid w:val="006F6250"/>
    <w:rsid w:val="006F646E"/>
    <w:rsid w:val="006F699D"/>
    <w:rsid w:val="006F6A1A"/>
    <w:rsid w:val="006F6A23"/>
    <w:rsid w:val="006F6DF4"/>
    <w:rsid w:val="006F710D"/>
    <w:rsid w:val="006F712B"/>
    <w:rsid w:val="006F7162"/>
    <w:rsid w:val="006F729D"/>
    <w:rsid w:val="006F7617"/>
    <w:rsid w:val="006F7618"/>
    <w:rsid w:val="006F78F2"/>
    <w:rsid w:val="006F7C0C"/>
    <w:rsid w:val="00700056"/>
    <w:rsid w:val="007000AB"/>
    <w:rsid w:val="0070010A"/>
    <w:rsid w:val="00700299"/>
    <w:rsid w:val="00700769"/>
    <w:rsid w:val="00700773"/>
    <w:rsid w:val="007007B8"/>
    <w:rsid w:val="007008BA"/>
    <w:rsid w:val="00700A3D"/>
    <w:rsid w:val="00700B58"/>
    <w:rsid w:val="00700BAB"/>
    <w:rsid w:val="00700BCB"/>
    <w:rsid w:val="00700F48"/>
    <w:rsid w:val="00700FB5"/>
    <w:rsid w:val="00701225"/>
    <w:rsid w:val="007014DE"/>
    <w:rsid w:val="0070163D"/>
    <w:rsid w:val="007018BB"/>
    <w:rsid w:val="00701913"/>
    <w:rsid w:val="00701930"/>
    <w:rsid w:val="00701A0D"/>
    <w:rsid w:val="00701A81"/>
    <w:rsid w:val="00701AC1"/>
    <w:rsid w:val="00701DA4"/>
    <w:rsid w:val="00701EDF"/>
    <w:rsid w:val="00702361"/>
    <w:rsid w:val="0070263F"/>
    <w:rsid w:val="00702644"/>
    <w:rsid w:val="00702819"/>
    <w:rsid w:val="0070289F"/>
    <w:rsid w:val="00702975"/>
    <w:rsid w:val="00702AE2"/>
    <w:rsid w:val="00702B64"/>
    <w:rsid w:val="00702BD2"/>
    <w:rsid w:val="00702BEF"/>
    <w:rsid w:val="00702EE8"/>
    <w:rsid w:val="00702F03"/>
    <w:rsid w:val="0070315D"/>
    <w:rsid w:val="0070319E"/>
    <w:rsid w:val="007031DD"/>
    <w:rsid w:val="00703245"/>
    <w:rsid w:val="00703544"/>
    <w:rsid w:val="00703583"/>
    <w:rsid w:val="007039F2"/>
    <w:rsid w:val="00703B58"/>
    <w:rsid w:val="00703EA6"/>
    <w:rsid w:val="0070415E"/>
    <w:rsid w:val="00704569"/>
    <w:rsid w:val="00704735"/>
    <w:rsid w:val="007049ED"/>
    <w:rsid w:val="007049F6"/>
    <w:rsid w:val="00704D07"/>
    <w:rsid w:val="00704DDE"/>
    <w:rsid w:val="0070556F"/>
    <w:rsid w:val="00705B09"/>
    <w:rsid w:val="00705D81"/>
    <w:rsid w:val="00705E1D"/>
    <w:rsid w:val="00705E42"/>
    <w:rsid w:val="00706035"/>
    <w:rsid w:val="00706112"/>
    <w:rsid w:val="00706154"/>
    <w:rsid w:val="00706268"/>
    <w:rsid w:val="0070644F"/>
    <w:rsid w:val="00706659"/>
    <w:rsid w:val="00706AC1"/>
    <w:rsid w:val="00706B90"/>
    <w:rsid w:val="00706BF7"/>
    <w:rsid w:val="00706C04"/>
    <w:rsid w:val="00706CC7"/>
    <w:rsid w:val="00706E3A"/>
    <w:rsid w:val="007070F3"/>
    <w:rsid w:val="0070742C"/>
    <w:rsid w:val="007076C3"/>
    <w:rsid w:val="00707847"/>
    <w:rsid w:val="007078EA"/>
    <w:rsid w:val="0070794C"/>
    <w:rsid w:val="00707A91"/>
    <w:rsid w:val="00707CE0"/>
    <w:rsid w:val="00707D59"/>
    <w:rsid w:val="0071020A"/>
    <w:rsid w:val="00710455"/>
    <w:rsid w:val="00710463"/>
    <w:rsid w:val="007105D2"/>
    <w:rsid w:val="0071064B"/>
    <w:rsid w:val="007106FD"/>
    <w:rsid w:val="0071082B"/>
    <w:rsid w:val="0071094D"/>
    <w:rsid w:val="00710AE6"/>
    <w:rsid w:val="00710B8E"/>
    <w:rsid w:val="00710C56"/>
    <w:rsid w:val="00710D32"/>
    <w:rsid w:val="00710DDF"/>
    <w:rsid w:val="00710E5B"/>
    <w:rsid w:val="007111BB"/>
    <w:rsid w:val="00711231"/>
    <w:rsid w:val="007113B4"/>
    <w:rsid w:val="007114B3"/>
    <w:rsid w:val="007114BD"/>
    <w:rsid w:val="00711985"/>
    <w:rsid w:val="007119A9"/>
    <w:rsid w:val="00711ADF"/>
    <w:rsid w:val="00711AF4"/>
    <w:rsid w:val="00711F8F"/>
    <w:rsid w:val="00712107"/>
    <w:rsid w:val="00712269"/>
    <w:rsid w:val="007123B8"/>
    <w:rsid w:val="00712417"/>
    <w:rsid w:val="00712579"/>
    <w:rsid w:val="0071297F"/>
    <w:rsid w:val="00712C99"/>
    <w:rsid w:val="00713023"/>
    <w:rsid w:val="0071307A"/>
    <w:rsid w:val="0071318C"/>
    <w:rsid w:val="007131F1"/>
    <w:rsid w:val="00713226"/>
    <w:rsid w:val="00713351"/>
    <w:rsid w:val="0071340E"/>
    <w:rsid w:val="0071359E"/>
    <w:rsid w:val="0071360D"/>
    <w:rsid w:val="007136CC"/>
    <w:rsid w:val="0071376D"/>
    <w:rsid w:val="00713843"/>
    <w:rsid w:val="00713912"/>
    <w:rsid w:val="007139C8"/>
    <w:rsid w:val="00713A9C"/>
    <w:rsid w:val="00714208"/>
    <w:rsid w:val="007143F2"/>
    <w:rsid w:val="007148D9"/>
    <w:rsid w:val="00714A43"/>
    <w:rsid w:val="00714AA7"/>
    <w:rsid w:val="00714C8C"/>
    <w:rsid w:val="00714CD9"/>
    <w:rsid w:val="00714EAC"/>
    <w:rsid w:val="00715085"/>
    <w:rsid w:val="00715338"/>
    <w:rsid w:val="007154B9"/>
    <w:rsid w:val="007155F8"/>
    <w:rsid w:val="0071560F"/>
    <w:rsid w:val="00715B5C"/>
    <w:rsid w:val="00715C61"/>
    <w:rsid w:val="00715CD6"/>
    <w:rsid w:val="00715FCB"/>
    <w:rsid w:val="0071610B"/>
    <w:rsid w:val="0071615B"/>
    <w:rsid w:val="0071670C"/>
    <w:rsid w:val="007168EE"/>
    <w:rsid w:val="00716983"/>
    <w:rsid w:val="00716F5E"/>
    <w:rsid w:val="00716F70"/>
    <w:rsid w:val="007173C2"/>
    <w:rsid w:val="007174B9"/>
    <w:rsid w:val="0071750C"/>
    <w:rsid w:val="00717622"/>
    <w:rsid w:val="0071767E"/>
    <w:rsid w:val="00717985"/>
    <w:rsid w:val="007179D3"/>
    <w:rsid w:val="00717B3C"/>
    <w:rsid w:val="00717C15"/>
    <w:rsid w:val="00717DAF"/>
    <w:rsid w:val="00720025"/>
    <w:rsid w:val="007200BD"/>
    <w:rsid w:val="007203A1"/>
    <w:rsid w:val="00720439"/>
    <w:rsid w:val="00720474"/>
    <w:rsid w:val="007207A6"/>
    <w:rsid w:val="00720AC1"/>
    <w:rsid w:val="00720BA8"/>
    <w:rsid w:val="00720BFF"/>
    <w:rsid w:val="00720D9E"/>
    <w:rsid w:val="00721556"/>
    <w:rsid w:val="00721666"/>
    <w:rsid w:val="00721833"/>
    <w:rsid w:val="00721881"/>
    <w:rsid w:val="007219AB"/>
    <w:rsid w:val="00721A5A"/>
    <w:rsid w:val="00721F81"/>
    <w:rsid w:val="00722006"/>
    <w:rsid w:val="007222C8"/>
    <w:rsid w:val="007222F7"/>
    <w:rsid w:val="0072251C"/>
    <w:rsid w:val="007227FF"/>
    <w:rsid w:val="00722B0E"/>
    <w:rsid w:val="0072318F"/>
    <w:rsid w:val="00723475"/>
    <w:rsid w:val="0072347F"/>
    <w:rsid w:val="007234DE"/>
    <w:rsid w:val="00723B48"/>
    <w:rsid w:val="00723E1B"/>
    <w:rsid w:val="00723F7C"/>
    <w:rsid w:val="00723F96"/>
    <w:rsid w:val="00724078"/>
    <w:rsid w:val="007240C1"/>
    <w:rsid w:val="00724433"/>
    <w:rsid w:val="0072443E"/>
    <w:rsid w:val="0072448C"/>
    <w:rsid w:val="007244C5"/>
    <w:rsid w:val="00724524"/>
    <w:rsid w:val="007246B9"/>
    <w:rsid w:val="00724724"/>
    <w:rsid w:val="00724AB6"/>
    <w:rsid w:val="00724E46"/>
    <w:rsid w:val="00724FCB"/>
    <w:rsid w:val="0072500F"/>
    <w:rsid w:val="00725084"/>
    <w:rsid w:val="00725088"/>
    <w:rsid w:val="00725364"/>
    <w:rsid w:val="00725580"/>
    <w:rsid w:val="0072575C"/>
    <w:rsid w:val="0072577E"/>
    <w:rsid w:val="007258AA"/>
    <w:rsid w:val="00725A6F"/>
    <w:rsid w:val="00725B46"/>
    <w:rsid w:val="00725D84"/>
    <w:rsid w:val="00725E5C"/>
    <w:rsid w:val="0072621B"/>
    <w:rsid w:val="007262BD"/>
    <w:rsid w:val="00726432"/>
    <w:rsid w:val="00726455"/>
    <w:rsid w:val="00726582"/>
    <w:rsid w:val="0072665B"/>
    <w:rsid w:val="0072674E"/>
    <w:rsid w:val="0072698D"/>
    <w:rsid w:val="00726CB8"/>
    <w:rsid w:val="007271CC"/>
    <w:rsid w:val="00727511"/>
    <w:rsid w:val="00727851"/>
    <w:rsid w:val="007278B0"/>
    <w:rsid w:val="00727B37"/>
    <w:rsid w:val="00727CB9"/>
    <w:rsid w:val="00727CE3"/>
    <w:rsid w:val="00727D28"/>
    <w:rsid w:val="00727FFE"/>
    <w:rsid w:val="007301A5"/>
    <w:rsid w:val="00730492"/>
    <w:rsid w:val="0073064B"/>
    <w:rsid w:val="007306B9"/>
    <w:rsid w:val="0073089E"/>
    <w:rsid w:val="00730C97"/>
    <w:rsid w:val="00731000"/>
    <w:rsid w:val="007310B9"/>
    <w:rsid w:val="0073112F"/>
    <w:rsid w:val="00731316"/>
    <w:rsid w:val="00731593"/>
    <w:rsid w:val="00731775"/>
    <w:rsid w:val="007317AB"/>
    <w:rsid w:val="0073192A"/>
    <w:rsid w:val="00731A30"/>
    <w:rsid w:val="00731AC9"/>
    <w:rsid w:val="00731BFC"/>
    <w:rsid w:val="00731CCF"/>
    <w:rsid w:val="007321F1"/>
    <w:rsid w:val="007325A5"/>
    <w:rsid w:val="007325D5"/>
    <w:rsid w:val="00732697"/>
    <w:rsid w:val="00732A46"/>
    <w:rsid w:val="00732B62"/>
    <w:rsid w:val="00732BA5"/>
    <w:rsid w:val="00732C86"/>
    <w:rsid w:val="00732D1E"/>
    <w:rsid w:val="00733120"/>
    <w:rsid w:val="0073320F"/>
    <w:rsid w:val="007332D3"/>
    <w:rsid w:val="00733304"/>
    <w:rsid w:val="00733450"/>
    <w:rsid w:val="00733461"/>
    <w:rsid w:val="00733615"/>
    <w:rsid w:val="00733617"/>
    <w:rsid w:val="00734111"/>
    <w:rsid w:val="0073420E"/>
    <w:rsid w:val="00734215"/>
    <w:rsid w:val="007343C9"/>
    <w:rsid w:val="00734732"/>
    <w:rsid w:val="007347D8"/>
    <w:rsid w:val="00734854"/>
    <w:rsid w:val="00734937"/>
    <w:rsid w:val="00734B28"/>
    <w:rsid w:val="00734B69"/>
    <w:rsid w:val="00734CFF"/>
    <w:rsid w:val="00734D9F"/>
    <w:rsid w:val="00734E30"/>
    <w:rsid w:val="00734E59"/>
    <w:rsid w:val="00734FBA"/>
    <w:rsid w:val="0073514D"/>
    <w:rsid w:val="00735285"/>
    <w:rsid w:val="00735419"/>
    <w:rsid w:val="007355A0"/>
    <w:rsid w:val="007357BB"/>
    <w:rsid w:val="007358F2"/>
    <w:rsid w:val="00735A02"/>
    <w:rsid w:val="00735E25"/>
    <w:rsid w:val="00735E94"/>
    <w:rsid w:val="00736055"/>
    <w:rsid w:val="00736290"/>
    <w:rsid w:val="00736357"/>
    <w:rsid w:val="0073644B"/>
    <w:rsid w:val="007366A4"/>
    <w:rsid w:val="007367CA"/>
    <w:rsid w:val="00736830"/>
    <w:rsid w:val="00736C3D"/>
    <w:rsid w:val="00736D4F"/>
    <w:rsid w:val="00736F77"/>
    <w:rsid w:val="00736FE4"/>
    <w:rsid w:val="007371E0"/>
    <w:rsid w:val="00737444"/>
    <w:rsid w:val="00737696"/>
    <w:rsid w:val="0073793C"/>
    <w:rsid w:val="00737A77"/>
    <w:rsid w:val="00737EA7"/>
    <w:rsid w:val="00737FA8"/>
    <w:rsid w:val="00737FFD"/>
    <w:rsid w:val="00740075"/>
    <w:rsid w:val="0074041C"/>
    <w:rsid w:val="00740450"/>
    <w:rsid w:val="007405C0"/>
    <w:rsid w:val="0074077E"/>
    <w:rsid w:val="00740AD5"/>
    <w:rsid w:val="00740BE6"/>
    <w:rsid w:val="00740C75"/>
    <w:rsid w:val="00740C93"/>
    <w:rsid w:val="00740F1C"/>
    <w:rsid w:val="00740FC6"/>
    <w:rsid w:val="00740FDD"/>
    <w:rsid w:val="007410EE"/>
    <w:rsid w:val="00741295"/>
    <w:rsid w:val="007413E7"/>
    <w:rsid w:val="00741493"/>
    <w:rsid w:val="007414C2"/>
    <w:rsid w:val="007415BB"/>
    <w:rsid w:val="00741818"/>
    <w:rsid w:val="00741853"/>
    <w:rsid w:val="00741AB4"/>
    <w:rsid w:val="00741AB9"/>
    <w:rsid w:val="00741B3C"/>
    <w:rsid w:val="00741B7E"/>
    <w:rsid w:val="00741DB6"/>
    <w:rsid w:val="00741DE1"/>
    <w:rsid w:val="00741EBE"/>
    <w:rsid w:val="00741EFE"/>
    <w:rsid w:val="007420EB"/>
    <w:rsid w:val="0074221D"/>
    <w:rsid w:val="0074222C"/>
    <w:rsid w:val="007422DD"/>
    <w:rsid w:val="00742375"/>
    <w:rsid w:val="007426FD"/>
    <w:rsid w:val="00742700"/>
    <w:rsid w:val="007429C7"/>
    <w:rsid w:val="00742B99"/>
    <w:rsid w:val="00742BD0"/>
    <w:rsid w:val="00742DF8"/>
    <w:rsid w:val="00742E60"/>
    <w:rsid w:val="00743255"/>
    <w:rsid w:val="00743275"/>
    <w:rsid w:val="00743353"/>
    <w:rsid w:val="00743526"/>
    <w:rsid w:val="0074367A"/>
    <w:rsid w:val="00743A5F"/>
    <w:rsid w:val="00743B6A"/>
    <w:rsid w:val="00743C7E"/>
    <w:rsid w:val="00743EBF"/>
    <w:rsid w:val="00743F19"/>
    <w:rsid w:val="00743F1A"/>
    <w:rsid w:val="00743F44"/>
    <w:rsid w:val="00743F56"/>
    <w:rsid w:val="00744140"/>
    <w:rsid w:val="00744486"/>
    <w:rsid w:val="00744524"/>
    <w:rsid w:val="007445BC"/>
    <w:rsid w:val="007445CE"/>
    <w:rsid w:val="0074476E"/>
    <w:rsid w:val="007449B3"/>
    <w:rsid w:val="00744C7C"/>
    <w:rsid w:val="00744E3E"/>
    <w:rsid w:val="00744F8A"/>
    <w:rsid w:val="007450FC"/>
    <w:rsid w:val="00745156"/>
    <w:rsid w:val="0074517F"/>
    <w:rsid w:val="0074558D"/>
    <w:rsid w:val="00745681"/>
    <w:rsid w:val="007456AD"/>
    <w:rsid w:val="007456F3"/>
    <w:rsid w:val="007457F1"/>
    <w:rsid w:val="00745896"/>
    <w:rsid w:val="00745A08"/>
    <w:rsid w:val="00745CB5"/>
    <w:rsid w:val="00745CB7"/>
    <w:rsid w:val="00745EA8"/>
    <w:rsid w:val="00746146"/>
    <w:rsid w:val="00746227"/>
    <w:rsid w:val="0074623A"/>
    <w:rsid w:val="0074636D"/>
    <w:rsid w:val="007464F4"/>
    <w:rsid w:val="007466C3"/>
    <w:rsid w:val="00746992"/>
    <w:rsid w:val="00746D30"/>
    <w:rsid w:val="00746E5E"/>
    <w:rsid w:val="00747438"/>
    <w:rsid w:val="0074747B"/>
    <w:rsid w:val="00747881"/>
    <w:rsid w:val="007478F0"/>
    <w:rsid w:val="00747AD0"/>
    <w:rsid w:val="00747B8D"/>
    <w:rsid w:val="00747F71"/>
    <w:rsid w:val="00750188"/>
    <w:rsid w:val="00750361"/>
    <w:rsid w:val="00750532"/>
    <w:rsid w:val="0075053F"/>
    <w:rsid w:val="007506CE"/>
    <w:rsid w:val="00750B9A"/>
    <w:rsid w:val="00750BEA"/>
    <w:rsid w:val="00750C94"/>
    <w:rsid w:val="00750ECD"/>
    <w:rsid w:val="00750EF0"/>
    <w:rsid w:val="007512AF"/>
    <w:rsid w:val="0075152E"/>
    <w:rsid w:val="007515A6"/>
    <w:rsid w:val="007517DE"/>
    <w:rsid w:val="00751948"/>
    <w:rsid w:val="00751D36"/>
    <w:rsid w:val="00751DAA"/>
    <w:rsid w:val="00751EBD"/>
    <w:rsid w:val="00751FF9"/>
    <w:rsid w:val="007520E7"/>
    <w:rsid w:val="00752487"/>
    <w:rsid w:val="00752553"/>
    <w:rsid w:val="0075256A"/>
    <w:rsid w:val="00752602"/>
    <w:rsid w:val="0075263E"/>
    <w:rsid w:val="007527BF"/>
    <w:rsid w:val="007528D2"/>
    <w:rsid w:val="00752910"/>
    <w:rsid w:val="00752BB5"/>
    <w:rsid w:val="00752E1E"/>
    <w:rsid w:val="00753133"/>
    <w:rsid w:val="0075317A"/>
    <w:rsid w:val="007532BC"/>
    <w:rsid w:val="00753369"/>
    <w:rsid w:val="0075353A"/>
    <w:rsid w:val="007539FF"/>
    <w:rsid w:val="00753D12"/>
    <w:rsid w:val="00753E0F"/>
    <w:rsid w:val="00753EBD"/>
    <w:rsid w:val="00753ECE"/>
    <w:rsid w:val="00754278"/>
    <w:rsid w:val="00754515"/>
    <w:rsid w:val="00754720"/>
    <w:rsid w:val="007547B1"/>
    <w:rsid w:val="00754CDC"/>
    <w:rsid w:val="00754E32"/>
    <w:rsid w:val="00754EB2"/>
    <w:rsid w:val="0075528E"/>
    <w:rsid w:val="007553C2"/>
    <w:rsid w:val="00755666"/>
    <w:rsid w:val="0075579E"/>
    <w:rsid w:val="007558C8"/>
    <w:rsid w:val="00755902"/>
    <w:rsid w:val="00755C61"/>
    <w:rsid w:val="0075620D"/>
    <w:rsid w:val="0075630A"/>
    <w:rsid w:val="007565AB"/>
    <w:rsid w:val="0075676F"/>
    <w:rsid w:val="007569C4"/>
    <w:rsid w:val="00756B94"/>
    <w:rsid w:val="00756DEA"/>
    <w:rsid w:val="00757560"/>
    <w:rsid w:val="00757586"/>
    <w:rsid w:val="0075767C"/>
    <w:rsid w:val="007578D4"/>
    <w:rsid w:val="007578D8"/>
    <w:rsid w:val="0075798C"/>
    <w:rsid w:val="007579C5"/>
    <w:rsid w:val="00757A95"/>
    <w:rsid w:val="00757B15"/>
    <w:rsid w:val="00757C1B"/>
    <w:rsid w:val="00757EE3"/>
    <w:rsid w:val="00757F7E"/>
    <w:rsid w:val="0076021F"/>
    <w:rsid w:val="0076043F"/>
    <w:rsid w:val="007607D9"/>
    <w:rsid w:val="00760C49"/>
    <w:rsid w:val="00760D04"/>
    <w:rsid w:val="00761004"/>
    <w:rsid w:val="00761457"/>
    <w:rsid w:val="00761469"/>
    <w:rsid w:val="007618E5"/>
    <w:rsid w:val="00761A22"/>
    <w:rsid w:val="00761AEA"/>
    <w:rsid w:val="00761CDC"/>
    <w:rsid w:val="00762024"/>
    <w:rsid w:val="007620D6"/>
    <w:rsid w:val="007620FA"/>
    <w:rsid w:val="0076210D"/>
    <w:rsid w:val="007621DE"/>
    <w:rsid w:val="00762394"/>
    <w:rsid w:val="007623D6"/>
    <w:rsid w:val="0076246B"/>
    <w:rsid w:val="0076246E"/>
    <w:rsid w:val="00762485"/>
    <w:rsid w:val="0076271B"/>
    <w:rsid w:val="00762872"/>
    <w:rsid w:val="0076287A"/>
    <w:rsid w:val="00762A65"/>
    <w:rsid w:val="00762ADC"/>
    <w:rsid w:val="00762B0B"/>
    <w:rsid w:val="00762E3E"/>
    <w:rsid w:val="0076307E"/>
    <w:rsid w:val="00763196"/>
    <w:rsid w:val="00763378"/>
    <w:rsid w:val="00763420"/>
    <w:rsid w:val="007634A8"/>
    <w:rsid w:val="0076386A"/>
    <w:rsid w:val="00763A64"/>
    <w:rsid w:val="00763AB6"/>
    <w:rsid w:val="00763B06"/>
    <w:rsid w:val="00763D35"/>
    <w:rsid w:val="00763D82"/>
    <w:rsid w:val="00763F13"/>
    <w:rsid w:val="007640AA"/>
    <w:rsid w:val="00764608"/>
    <w:rsid w:val="00765117"/>
    <w:rsid w:val="007651DC"/>
    <w:rsid w:val="007652B3"/>
    <w:rsid w:val="0076553F"/>
    <w:rsid w:val="0076583C"/>
    <w:rsid w:val="007659D1"/>
    <w:rsid w:val="00765CC7"/>
    <w:rsid w:val="00765DB8"/>
    <w:rsid w:val="00765EB2"/>
    <w:rsid w:val="00765F3B"/>
    <w:rsid w:val="00765FB4"/>
    <w:rsid w:val="00766009"/>
    <w:rsid w:val="0076646F"/>
    <w:rsid w:val="00766562"/>
    <w:rsid w:val="00766606"/>
    <w:rsid w:val="00766624"/>
    <w:rsid w:val="0076696D"/>
    <w:rsid w:val="00766A2A"/>
    <w:rsid w:val="00766B55"/>
    <w:rsid w:val="0076701C"/>
    <w:rsid w:val="00767355"/>
    <w:rsid w:val="00767776"/>
    <w:rsid w:val="00767794"/>
    <w:rsid w:val="0076787D"/>
    <w:rsid w:val="00767C30"/>
    <w:rsid w:val="00767D27"/>
    <w:rsid w:val="00770269"/>
    <w:rsid w:val="00770368"/>
    <w:rsid w:val="00770804"/>
    <w:rsid w:val="007709E6"/>
    <w:rsid w:val="00770B2E"/>
    <w:rsid w:val="00770E64"/>
    <w:rsid w:val="0077166B"/>
    <w:rsid w:val="00771809"/>
    <w:rsid w:val="00771A13"/>
    <w:rsid w:val="00771A53"/>
    <w:rsid w:val="00771DE8"/>
    <w:rsid w:val="00771E0A"/>
    <w:rsid w:val="007724C0"/>
    <w:rsid w:val="007726A5"/>
    <w:rsid w:val="007727FE"/>
    <w:rsid w:val="00772AC4"/>
    <w:rsid w:val="00772DC8"/>
    <w:rsid w:val="00773300"/>
    <w:rsid w:val="007734AD"/>
    <w:rsid w:val="00773720"/>
    <w:rsid w:val="007737A1"/>
    <w:rsid w:val="007739AE"/>
    <w:rsid w:val="00773B46"/>
    <w:rsid w:val="00773B5B"/>
    <w:rsid w:val="00773BD3"/>
    <w:rsid w:val="00773E28"/>
    <w:rsid w:val="007740FA"/>
    <w:rsid w:val="00774113"/>
    <w:rsid w:val="0077427B"/>
    <w:rsid w:val="00774290"/>
    <w:rsid w:val="007745F9"/>
    <w:rsid w:val="007746FD"/>
    <w:rsid w:val="00774760"/>
    <w:rsid w:val="00774C99"/>
    <w:rsid w:val="00774D24"/>
    <w:rsid w:val="00774F3C"/>
    <w:rsid w:val="007752D7"/>
    <w:rsid w:val="007754C6"/>
    <w:rsid w:val="007757A8"/>
    <w:rsid w:val="00775AD8"/>
    <w:rsid w:val="00775BD4"/>
    <w:rsid w:val="00775C23"/>
    <w:rsid w:val="00775CE2"/>
    <w:rsid w:val="00775CFD"/>
    <w:rsid w:val="0077606D"/>
    <w:rsid w:val="0077608E"/>
    <w:rsid w:val="0077626C"/>
    <w:rsid w:val="007763AE"/>
    <w:rsid w:val="007764BE"/>
    <w:rsid w:val="00776698"/>
    <w:rsid w:val="0077698E"/>
    <w:rsid w:val="00776A19"/>
    <w:rsid w:val="00776D41"/>
    <w:rsid w:val="00776E67"/>
    <w:rsid w:val="00776EB5"/>
    <w:rsid w:val="00777014"/>
    <w:rsid w:val="00777066"/>
    <w:rsid w:val="007772AC"/>
    <w:rsid w:val="00777336"/>
    <w:rsid w:val="007773D0"/>
    <w:rsid w:val="00777604"/>
    <w:rsid w:val="00777607"/>
    <w:rsid w:val="0077774A"/>
    <w:rsid w:val="00777B0E"/>
    <w:rsid w:val="00777C09"/>
    <w:rsid w:val="00777F28"/>
    <w:rsid w:val="00780160"/>
    <w:rsid w:val="00780210"/>
    <w:rsid w:val="0078024A"/>
    <w:rsid w:val="007802DC"/>
    <w:rsid w:val="007802F7"/>
    <w:rsid w:val="00780372"/>
    <w:rsid w:val="007805C3"/>
    <w:rsid w:val="0078071D"/>
    <w:rsid w:val="0078083F"/>
    <w:rsid w:val="007808D1"/>
    <w:rsid w:val="007809B1"/>
    <w:rsid w:val="00780C72"/>
    <w:rsid w:val="00780C90"/>
    <w:rsid w:val="00780CDE"/>
    <w:rsid w:val="00780DFF"/>
    <w:rsid w:val="00780E69"/>
    <w:rsid w:val="00780EA1"/>
    <w:rsid w:val="007811D3"/>
    <w:rsid w:val="0078126F"/>
    <w:rsid w:val="00781459"/>
    <w:rsid w:val="007815DF"/>
    <w:rsid w:val="00781616"/>
    <w:rsid w:val="007818F0"/>
    <w:rsid w:val="00781ACF"/>
    <w:rsid w:val="00781E10"/>
    <w:rsid w:val="00781FED"/>
    <w:rsid w:val="0078238E"/>
    <w:rsid w:val="0078246F"/>
    <w:rsid w:val="0078247E"/>
    <w:rsid w:val="007824EA"/>
    <w:rsid w:val="0078277E"/>
    <w:rsid w:val="007827F9"/>
    <w:rsid w:val="00783117"/>
    <w:rsid w:val="00783307"/>
    <w:rsid w:val="007834A6"/>
    <w:rsid w:val="00783961"/>
    <w:rsid w:val="007841F7"/>
    <w:rsid w:val="007843C1"/>
    <w:rsid w:val="00784451"/>
    <w:rsid w:val="007846EB"/>
    <w:rsid w:val="007847C1"/>
    <w:rsid w:val="00784903"/>
    <w:rsid w:val="00784A7C"/>
    <w:rsid w:val="00784ABD"/>
    <w:rsid w:val="00784CFB"/>
    <w:rsid w:val="00784E10"/>
    <w:rsid w:val="00785119"/>
    <w:rsid w:val="0078529D"/>
    <w:rsid w:val="00785382"/>
    <w:rsid w:val="00785B6E"/>
    <w:rsid w:val="00785EDE"/>
    <w:rsid w:val="00785F02"/>
    <w:rsid w:val="007863B1"/>
    <w:rsid w:val="0078648B"/>
    <w:rsid w:val="007866BF"/>
    <w:rsid w:val="00786955"/>
    <w:rsid w:val="00786AAD"/>
    <w:rsid w:val="00786C37"/>
    <w:rsid w:val="00786CFC"/>
    <w:rsid w:val="00786D4B"/>
    <w:rsid w:val="00786D81"/>
    <w:rsid w:val="0078701D"/>
    <w:rsid w:val="0078709B"/>
    <w:rsid w:val="00787374"/>
    <w:rsid w:val="00787589"/>
    <w:rsid w:val="00787661"/>
    <w:rsid w:val="007878C1"/>
    <w:rsid w:val="00787A96"/>
    <w:rsid w:val="00787C9F"/>
    <w:rsid w:val="00787DD6"/>
    <w:rsid w:val="00787E5B"/>
    <w:rsid w:val="007900F2"/>
    <w:rsid w:val="007901CD"/>
    <w:rsid w:val="007902E6"/>
    <w:rsid w:val="007902F6"/>
    <w:rsid w:val="0079044D"/>
    <w:rsid w:val="0079066B"/>
    <w:rsid w:val="00790690"/>
    <w:rsid w:val="0079072E"/>
    <w:rsid w:val="00790A27"/>
    <w:rsid w:val="00790C2D"/>
    <w:rsid w:val="00790CF8"/>
    <w:rsid w:val="00790E70"/>
    <w:rsid w:val="00791034"/>
    <w:rsid w:val="00791136"/>
    <w:rsid w:val="0079127E"/>
    <w:rsid w:val="00791656"/>
    <w:rsid w:val="007916BE"/>
    <w:rsid w:val="00791721"/>
    <w:rsid w:val="007918B4"/>
    <w:rsid w:val="00791A18"/>
    <w:rsid w:val="00791B14"/>
    <w:rsid w:val="00791C5B"/>
    <w:rsid w:val="00791CBF"/>
    <w:rsid w:val="00791D82"/>
    <w:rsid w:val="00791DB7"/>
    <w:rsid w:val="00791F46"/>
    <w:rsid w:val="00791F55"/>
    <w:rsid w:val="00791FFD"/>
    <w:rsid w:val="00792300"/>
    <w:rsid w:val="0079277E"/>
    <w:rsid w:val="00792CAF"/>
    <w:rsid w:val="00792D17"/>
    <w:rsid w:val="00792DBD"/>
    <w:rsid w:val="00792E15"/>
    <w:rsid w:val="00793216"/>
    <w:rsid w:val="007933A4"/>
    <w:rsid w:val="007934F2"/>
    <w:rsid w:val="0079354F"/>
    <w:rsid w:val="0079370B"/>
    <w:rsid w:val="00793952"/>
    <w:rsid w:val="00793AD4"/>
    <w:rsid w:val="00793AFB"/>
    <w:rsid w:val="00793BD5"/>
    <w:rsid w:val="00793E5D"/>
    <w:rsid w:val="00793F9E"/>
    <w:rsid w:val="007940B3"/>
    <w:rsid w:val="00794168"/>
    <w:rsid w:val="00794527"/>
    <w:rsid w:val="0079470B"/>
    <w:rsid w:val="0079481A"/>
    <w:rsid w:val="007948B0"/>
    <w:rsid w:val="00794C62"/>
    <w:rsid w:val="00794D0C"/>
    <w:rsid w:val="00794D29"/>
    <w:rsid w:val="00794EF4"/>
    <w:rsid w:val="00794F1F"/>
    <w:rsid w:val="00794FC4"/>
    <w:rsid w:val="00795BD5"/>
    <w:rsid w:val="00795EC5"/>
    <w:rsid w:val="00795F04"/>
    <w:rsid w:val="00795FE4"/>
    <w:rsid w:val="007961C9"/>
    <w:rsid w:val="00796497"/>
    <w:rsid w:val="00796515"/>
    <w:rsid w:val="00796598"/>
    <w:rsid w:val="007965B1"/>
    <w:rsid w:val="007966AD"/>
    <w:rsid w:val="007967D9"/>
    <w:rsid w:val="00796831"/>
    <w:rsid w:val="00796AEC"/>
    <w:rsid w:val="00796D78"/>
    <w:rsid w:val="00796F25"/>
    <w:rsid w:val="00796FD3"/>
    <w:rsid w:val="0079721B"/>
    <w:rsid w:val="007973F6"/>
    <w:rsid w:val="00797815"/>
    <w:rsid w:val="0079785F"/>
    <w:rsid w:val="007978EA"/>
    <w:rsid w:val="00797B86"/>
    <w:rsid w:val="00797BA2"/>
    <w:rsid w:val="00797CF2"/>
    <w:rsid w:val="00797EFF"/>
    <w:rsid w:val="007A019A"/>
    <w:rsid w:val="007A0203"/>
    <w:rsid w:val="007A0300"/>
    <w:rsid w:val="007A0311"/>
    <w:rsid w:val="007A0482"/>
    <w:rsid w:val="007A0559"/>
    <w:rsid w:val="007A05B7"/>
    <w:rsid w:val="007A05E8"/>
    <w:rsid w:val="007A0661"/>
    <w:rsid w:val="007A068F"/>
    <w:rsid w:val="007A0804"/>
    <w:rsid w:val="007A082B"/>
    <w:rsid w:val="007A0960"/>
    <w:rsid w:val="007A0B21"/>
    <w:rsid w:val="007A0BC2"/>
    <w:rsid w:val="007A0E3A"/>
    <w:rsid w:val="007A0E45"/>
    <w:rsid w:val="007A10BA"/>
    <w:rsid w:val="007A1436"/>
    <w:rsid w:val="007A145B"/>
    <w:rsid w:val="007A1735"/>
    <w:rsid w:val="007A199D"/>
    <w:rsid w:val="007A1B33"/>
    <w:rsid w:val="007A1B7D"/>
    <w:rsid w:val="007A1C9F"/>
    <w:rsid w:val="007A1D22"/>
    <w:rsid w:val="007A217C"/>
    <w:rsid w:val="007A246B"/>
    <w:rsid w:val="007A26AA"/>
    <w:rsid w:val="007A27A5"/>
    <w:rsid w:val="007A27A7"/>
    <w:rsid w:val="007A2B17"/>
    <w:rsid w:val="007A2B6C"/>
    <w:rsid w:val="007A2B97"/>
    <w:rsid w:val="007A2EC8"/>
    <w:rsid w:val="007A304D"/>
    <w:rsid w:val="007A308D"/>
    <w:rsid w:val="007A30C4"/>
    <w:rsid w:val="007A3397"/>
    <w:rsid w:val="007A3467"/>
    <w:rsid w:val="007A35F1"/>
    <w:rsid w:val="007A3844"/>
    <w:rsid w:val="007A38C0"/>
    <w:rsid w:val="007A394C"/>
    <w:rsid w:val="007A3A8F"/>
    <w:rsid w:val="007A3E7E"/>
    <w:rsid w:val="007A3ED1"/>
    <w:rsid w:val="007A403C"/>
    <w:rsid w:val="007A4052"/>
    <w:rsid w:val="007A4092"/>
    <w:rsid w:val="007A4698"/>
    <w:rsid w:val="007A49AE"/>
    <w:rsid w:val="007A4A65"/>
    <w:rsid w:val="007A4B7A"/>
    <w:rsid w:val="007A4E3D"/>
    <w:rsid w:val="007A504C"/>
    <w:rsid w:val="007A5278"/>
    <w:rsid w:val="007A534B"/>
    <w:rsid w:val="007A53FA"/>
    <w:rsid w:val="007A5500"/>
    <w:rsid w:val="007A5659"/>
    <w:rsid w:val="007A5757"/>
    <w:rsid w:val="007A58C1"/>
    <w:rsid w:val="007A59BF"/>
    <w:rsid w:val="007A59D5"/>
    <w:rsid w:val="007A5A08"/>
    <w:rsid w:val="007A5C3A"/>
    <w:rsid w:val="007A5DC1"/>
    <w:rsid w:val="007A5FF3"/>
    <w:rsid w:val="007A61D3"/>
    <w:rsid w:val="007A62CD"/>
    <w:rsid w:val="007A6542"/>
    <w:rsid w:val="007A65B4"/>
    <w:rsid w:val="007A6890"/>
    <w:rsid w:val="007A68C9"/>
    <w:rsid w:val="007A6ACF"/>
    <w:rsid w:val="007A6D9D"/>
    <w:rsid w:val="007A6E7B"/>
    <w:rsid w:val="007A6FFE"/>
    <w:rsid w:val="007A74E8"/>
    <w:rsid w:val="007A7545"/>
    <w:rsid w:val="007A7558"/>
    <w:rsid w:val="007A77B2"/>
    <w:rsid w:val="007A78E7"/>
    <w:rsid w:val="007A7947"/>
    <w:rsid w:val="007A7F54"/>
    <w:rsid w:val="007B0046"/>
    <w:rsid w:val="007B0209"/>
    <w:rsid w:val="007B052D"/>
    <w:rsid w:val="007B0661"/>
    <w:rsid w:val="007B0696"/>
    <w:rsid w:val="007B0729"/>
    <w:rsid w:val="007B0730"/>
    <w:rsid w:val="007B0A60"/>
    <w:rsid w:val="007B0F3C"/>
    <w:rsid w:val="007B10CB"/>
    <w:rsid w:val="007B1736"/>
    <w:rsid w:val="007B17CA"/>
    <w:rsid w:val="007B1A03"/>
    <w:rsid w:val="007B1A5A"/>
    <w:rsid w:val="007B1AA0"/>
    <w:rsid w:val="007B1DB5"/>
    <w:rsid w:val="007B20BF"/>
    <w:rsid w:val="007B215A"/>
    <w:rsid w:val="007B21BA"/>
    <w:rsid w:val="007B22F9"/>
    <w:rsid w:val="007B24BC"/>
    <w:rsid w:val="007B25BD"/>
    <w:rsid w:val="007B2901"/>
    <w:rsid w:val="007B29B0"/>
    <w:rsid w:val="007B2B41"/>
    <w:rsid w:val="007B2DD9"/>
    <w:rsid w:val="007B2EEC"/>
    <w:rsid w:val="007B2F0A"/>
    <w:rsid w:val="007B2F7C"/>
    <w:rsid w:val="007B308B"/>
    <w:rsid w:val="007B3143"/>
    <w:rsid w:val="007B338F"/>
    <w:rsid w:val="007B3650"/>
    <w:rsid w:val="007B36AB"/>
    <w:rsid w:val="007B3784"/>
    <w:rsid w:val="007B38AE"/>
    <w:rsid w:val="007B39D4"/>
    <w:rsid w:val="007B3A74"/>
    <w:rsid w:val="007B3C24"/>
    <w:rsid w:val="007B3E70"/>
    <w:rsid w:val="007B438A"/>
    <w:rsid w:val="007B4439"/>
    <w:rsid w:val="007B4469"/>
    <w:rsid w:val="007B457B"/>
    <w:rsid w:val="007B45ED"/>
    <w:rsid w:val="007B467D"/>
    <w:rsid w:val="007B46F1"/>
    <w:rsid w:val="007B46FB"/>
    <w:rsid w:val="007B49D4"/>
    <w:rsid w:val="007B4DDD"/>
    <w:rsid w:val="007B4EE7"/>
    <w:rsid w:val="007B4FD9"/>
    <w:rsid w:val="007B5135"/>
    <w:rsid w:val="007B54FD"/>
    <w:rsid w:val="007B5720"/>
    <w:rsid w:val="007B5A0A"/>
    <w:rsid w:val="007B5C5B"/>
    <w:rsid w:val="007B5FB5"/>
    <w:rsid w:val="007B5FF5"/>
    <w:rsid w:val="007B60AB"/>
    <w:rsid w:val="007B62D1"/>
    <w:rsid w:val="007B64C9"/>
    <w:rsid w:val="007B658B"/>
    <w:rsid w:val="007B65A8"/>
    <w:rsid w:val="007B6F1D"/>
    <w:rsid w:val="007B7121"/>
    <w:rsid w:val="007B7267"/>
    <w:rsid w:val="007B740D"/>
    <w:rsid w:val="007B74FB"/>
    <w:rsid w:val="007B750E"/>
    <w:rsid w:val="007B757C"/>
    <w:rsid w:val="007B7702"/>
    <w:rsid w:val="007C034B"/>
    <w:rsid w:val="007C0718"/>
    <w:rsid w:val="007C08E7"/>
    <w:rsid w:val="007C08EF"/>
    <w:rsid w:val="007C0BCA"/>
    <w:rsid w:val="007C0BE7"/>
    <w:rsid w:val="007C0D69"/>
    <w:rsid w:val="007C0F11"/>
    <w:rsid w:val="007C1074"/>
    <w:rsid w:val="007C1089"/>
    <w:rsid w:val="007C131E"/>
    <w:rsid w:val="007C1667"/>
    <w:rsid w:val="007C1853"/>
    <w:rsid w:val="007C18ED"/>
    <w:rsid w:val="007C1A49"/>
    <w:rsid w:val="007C1AE7"/>
    <w:rsid w:val="007C1EF1"/>
    <w:rsid w:val="007C1F0D"/>
    <w:rsid w:val="007C1F79"/>
    <w:rsid w:val="007C20A8"/>
    <w:rsid w:val="007C23DF"/>
    <w:rsid w:val="007C25F7"/>
    <w:rsid w:val="007C2640"/>
    <w:rsid w:val="007C26FB"/>
    <w:rsid w:val="007C2711"/>
    <w:rsid w:val="007C2794"/>
    <w:rsid w:val="007C29AD"/>
    <w:rsid w:val="007C2AA6"/>
    <w:rsid w:val="007C2AE8"/>
    <w:rsid w:val="007C2CA9"/>
    <w:rsid w:val="007C2F30"/>
    <w:rsid w:val="007C2F79"/>
    <w:rsid w:val="007C3043"/>
    <w:rsid w:val="007C30B3"/>
    <w:rsid w:val="007C3473"/>
    <w:rsid w:val="007C34CE"/>
    <w:rsid w:val="007C34F2"/>
    <w:rsid w:val="007C3B13"/>
    <w:rsid w:val="007C3CCE"/>
    <w:rsid w:val="007C3EA7"/>
    <w:rsid w:val="007C405E"/>
    <w:rsid w:val="007C4061"/>
    <w:rsid w:val="007C4383"/>
    <w:rsid w:val="007C4471"/>
    <w:rsid w:val="007C4C53"/>
    <w:rsid w:val="007C4C64"/>
    <w:rsid w:val="007C4CDD"/>
    <w:rsid w:val="007C4F1E"/>
    <w:rsid w:val="007C5118"/>
    <w:rsid w:val="007C5362"/>
    <w:rsid w:val="007C5543"/>
    <w:rsid w:val="007C5585"/>
    <w:rsid w:val="007C55FB"/>
    <w:rsid w:val="007C5670"/>
    <w:rsid w:val="007C569B"/>
    <w:rsid w:val="007C58AE"/>
    <w:rsid w:val="007C5F0C"/>
    <w:rsid w:val="007C6145"/>
    <w:rsid w:val="007C62E7"/>
    <w:rsid w:val="007C659F"/>
    <w:rsid w:val="007C69F8"/>
    <w:rsid w:val="007C6B25"/>
    <w:rsid w:val="007C6F40"/>
    <w:rsid w:val="007C6FD6"/>
    <w:rsid w:val="007C708E"/>
    <w:rsid w:val="007C7195"/>
    <w:rsid w:val="007C71F1"/>
    <w:rsid w:val="007C721B"/>
    <w:rsid w:val="007C740B"/>
    <w:rsid w:val="007C769B"/>
    <w:rsid w:val="007C77C6"/>
    <w:rsid w:val="007C782A"/>
    <w:rsid w:val="007C798E"/>
    <w:rsid w:val="007C7B54"/>
    <w:rsid w:val="007C7D07"/>
    <w:rsid w:val="007C7E0B"/>
    <w:rsid w:val="007C7E8F"/>
    <w:rsid w:val="007D00E1"/>
    <w:rsid w:val="007D01C6"/>
    <w:rsid w:val="007D0212"/>
    <w:rsid w:val="007D0447"/>
    <w:rsid w:val="007D04A5"/>
    <w:rsid w:val="007D067D"/>
    <w:rsid w:val="007D06D9"/>
    <w:rsid w:val="007D0736"/>
    <w:rsid w:val="007D091B"/>
    <w:rsid w:val="007D0944"/>
    <w:rsid w:val="007D0A7C"/>
    <w:rsid w:val="007D0D5C"/>
    <w:rsid w:val="007D0FE1"/>
    <w:rsid w:val="007D1277"/>
    <w:rsid w:val="007D13CC"/>
    <w:rsid w:val="007D1513"/>
    <w:rsid w:val="007D186B"/>
    <w:rsid w:val="007D187E"/>
    <w:rsid w:val="007D19A6"/>
    <w:rsid w:val="007D19DB"/>
    <w:rsid w:val="007D1CAF"/>
    <w:rsid w:val="007D1E99"/>
    <w:rsid w:val="007D2083"/>
    <w:rsid w:val="007D21A8"/>
    <w:rsid w:val="007D224B"/>
    <w:rsid w:val="007D252F"/>
    <w:rsid w:val="007D26F6"/>
    <w:rsid w:val="007D2B58"/>
    <w:rsid w:val="007D2E91"/>
    <w:rsid w:val="007D2F73"/>
    <w:rsid w:val="007D3099"/>
    <w:rsid w:val="007D3185"/>
    <w:rsid w:val="007D33FB"/>
    <w:rsid w:val="007D360F"/>
    <w:rsid w:val="007D3BCB"/>
    <w:rsid w:val="007D3D34"/>
    <w:rsid w:val="007D3F8A"/>
    <w:rsid w:val="007D4424"/>
    <w:rsid w:val="007D4583"/>
    <w:rsid w:val="007D468E"/>
    <w:rsid w:val="007D4846"/>
    <w:rsid w:val="007D4B55"/>
    <w:rsid w:val="007D4CCB"/>
    <w:rsid w:val="007D4E60"/>
    <w:rsid w:val="007D4E79"/>
    <w:rsid w:val="007D4F08"/>
    <w:rsid w:val="007D5060"/>
    <w:rsid w:val="007D509D"/>
    <w:rsid w:val="007D5335"/>
    <w:rsid w:val="007D5770"/>
    <w:rsid w:val="007D59F8"/>
    <w:rsid w:val="007D5AA2"/>
    <w:rsid w:val="007D5B37"/>
    <w:rsid w:val="007D5C53"/>
    <w:rsid w:val="007D5C7A"/>
    <w:rsid w:val="007D5DCF"/>
    <w:rsid w:val="007D5EFB"/>
    <w:rsid w:val="007D6098"/>
    <w:rsid w:val="007D6486"/>
    <w:rsid w:val="007D65CD"/>
    <w:rsid w:val="007D6718"/>
    <w:rsid w:val="007D694B"/>
    <w:rsid w:val="007D6B20"/>
    <w:rsid w:val="007D6BA5"/>
    <w:rsid w:val="007D6C8F"/>
    <w:rsid w:val="007D6F2D"/>
    <w:rsid w:val="007D7234"/>
    <w:rsid w:val="007D7B6F"/>
    <w:rsid w:val="007D7D16"/>
    <w:rsid w:val="007D7D60"/>
    <w:rsid w:val="007D7D8C"/>
    <w:rsid w:val="007D7FA1"/>
    <w:rsid w:val="007DBCAA"/>
    <w:rsid w:val="007E01A5"/>
    <w:rsid w:val="007E0276"/>
    <w:rsid w:val="007E03C3"/>
    <w:rsid w:val="007E054D"/>
    <w:rsid w:val="007E0778"/>
    <w:rsid w:val="007E07A2"/>
    <w:rsid w:val="007E086F"/>
    <w:rsid w:val="007E09BE"/>
    <w:rsid w:val="007E0B86"/>
    <w:rsid w:val="007E0F94"/>
    <w:rsid w:val="007E1411"/>
    <w:rsid w:val="007E17C5"/>
    <w:rsid w:val="007E180D"/>
    <w:rsid w:val="007E1B30"/>
    <w:rsid w:val="007E1BCF"/>
    <w:rsid w:val="007E1D3D"/>
    <w:rsid w:val="007E1D76"/>
    <w:rsid w:val="007E1EE4"/>
    <w:rsid w:val="007E23B6"/>
    <w:rsid w:val="007E23C4"/>
    <w:rsid w:val="007E25E2"/>
    <w:rsid w:val="007E28E9"/>
    <w:rsid w:val="007E2901"/>
    <w:rsid w:val="007E2A6E"/>
    <w:rsid w:val="007E2B63"/>
    <w:rsid w:val="007E2D41"/>
    <w:rsid w:val="007E2D9A"/>
    <w:rsid w:val="007E2F01"/>
    <w:rsid w:val="007E335B"/>
    <w:rsid w:val="007E3464"/>
    <w:rsid w:val="007E3FA7"/>
    <w:rsid w:val="007E4520"/>
    <w:rsid w:val="007E479B"/>
    <w:rsid w:val="007E48A1"/>
    <w:rsid w:val="007E496E"/>
    <w:rsid w:val="007E4AEA"/>
    <w:rsid w:val="007E4C58"/>
    <w:rsid w:val="007E4F81"/>
    <w:rsid w:val="007E5143"/>
    <w:rsid w:val="007E5167"/>
    <w:rsid w:val="007E51AD"/>
    <w:rsid w:val="007E525F"/>
    <w:rsid w:val="007E52E1"/>
    <w:rsid w:val="007E52E2"/>
    <w:rsid w:val="007E549F"/>
    <w:rsid w:val="007E5501"/>
    <w:rsid w:val="007E56C9"/>
    <w:rsid w:val="007E5D70"/>
    <w:rsid w:val="007E5D9C"/>
    <w:rsid w:val="007E5FCE"/>
    <w:rsid w:val="007E5FD8"/>
    <w:rsid w:val="007E6065"/>
    <w:rsid w:val="007E616A"/>
    <w:rsid w:val="007E6325"/>
    <w:rsid w:val="007E6335"/>
    <w:rsid w:val="007E64F6"/>
    <w:rsid w:val="007E6854"/>
    <w:rsid w:val="007E6953"/>
    <w:rsid w:val="007E6AFB"/>
    <w:rsid w:val="007E6BCD"/>
    <w:rsid w:val="007E6CE1"/>
    <w:rsid w:val="007E6E2F"/>
    <w:rsid w:val="007E6F47"/>
    <w:rsid w:val="007E6F70"/>
    <w:rsid w:val="007E7047"/>
    <w:rsid w:val="007E705C"/>
    <w:rsid w:val="007E709F"/>
    <w:rsid w:val="007E7264"/>
    <w:rsid w:val="007E7373"/>
    <w:rsid w:val="007E7461"/>
    <w:rsid w:val="007E77D4"/>
    <w:rsid w:val="007E796B"/>
    <w:rsid w:val="007E7998"/>
    <w:rsid w:val="007E7C17"/>
    <w:rsid w:val="007E7CD0"/>
    <w:rsid w:val="007E7EAD"/>
    <w:rsid w:val="007F0077"/>
    <w:rsid w:val="007F032D"/>
    <w:rsid w:val="007F05F8"/>
    <w:rsid w:val="007F0826"/>
    <w:rsid w:val="007F0C73"/>
    <w:rsid w:val="007F0D17"/>
    <w:rsid w:val="007F1196"/>
    <w:rsid w:val="007F14D6"/>
    <w:rsid w:val="007F1515"/>
    <w:rsid w:val="007F16D6"/>
    <w:rsid w:val="007F1883"/>
    <w:rsid w:val="007F18D4"/>
    <w:rsid w:val="007F190D"/>
    <w:rsid w:val="007F1946"/>
    <w:rsid w:val="007F1D19"/>
    <w:rsid w:val="007F1D1A"/>
    <w:rsid w:val="007F1DCB"/>
    <w:rsid w:val="007F1ED2"/>
    <w:rsid w:val="007F1F02"/>
    <w:rsid w:val="007F1F56"/>
    <w:rsid w:val="007F1FD0"/>
    <w:rsid w:val="007F216D"/>
    <w:rsid w:val="007F24CD"/>
    <w:rsid w:val="007F29B9"/>
    <w:rsid w:val="007F2AB9"/>
    <w:rsid w:val="007F2AD3"/>
    <w:rsid w:val="007F2B3E"/>
    <w:rsid w:val="007F2B50"/>
    <w:rsid w:val="007F2F1F"/>
    <w:rsid w:val="007F2FBE"/>
    <w:rsid w:val="007F331A"/>
    <w:rsid w:val="007F341B"/>
    <w:rsid w:val="007F34CF"/>
    <w:rsid w:val="007F374B"/>
    <w:rsid w:val="007F37FD"/>
    <w:rsid w:val="007F39F9"/>
    <w:rsid w:val="007F3A9A"/>
    <w:rsid w:val="007F3AC7"/>
    <w:rsid w:val="007F3D1A"/>
    <w:rsid w:val="007F3D3C"/>
    <w:rsid w:val="007F3EC6"/>
    <w:rsid w:val="007F4734"/>
    <w:rsid w:val="007F4915"/>
    <w:rsid w:val="007F499B"/>
    <w:rsid w:val="007F4A8D"/>
    <w:rsid w:val="007F4D22"/>
    <w:rsid w:val="007F4F81"/>
    <w:rsid w:val="007F51C2"/>
    <w:rsid w:val="007F5395"/>
    <w:rsid w:val="007F57CE"/>
    <w:rsid w:val="007F58F0"/>
    <w:rsid w:val="007F5B7C"/>
    <w:rsid w:val="007F5BA0"/>
    <w:rsid w:val="007F5BBF"/>
    <w:rsid w:val="007F5CC8"/>
    <w:rsid w:val="007F600D"/>
    <w:rsid w:val="007F6547"/>
    <w:rsid w:val="007F6B29"/>
    <w:rsid w:val="007F6DB9"/>
    <w:rsid w:val="007F6DC5"/>
    <w:rsid w:val="007F6E7B"/>
    <w:rsid w:val="007F7314"/>
    <w:rsid w:val="007F73B5"/>
    <w:rsid w:val="007F743E"/>
    <w:rsid w:val="007F74F2"/>
    <w:rsid w:val="007F7976"/>
    <w:rsid w:val="007F7ABE"/>
    <w:rsid w:val="007F7B6E"/>
    <w:rsid w:val="007F7F77"/>
    <w:rsid w:val="007F7FC5"/>
    <w:rsid w:val="00800033"/>
    <w:rsid w:val="008003C5"/>
    <w:rsid w:val="00800440"/>
    <w:rsid w:val="00800755"/>
    <w:rsid w:val="008009FF"/>
    <w:rsid w:val="00800D22"/>
    <w:rsid w:val="00800F24"/>
    <w:rsid w:val="008010B5"/>
    <w:rsid w:val="008010C7"/>
    <w:rsid w:val="008012D2"/>
    <w:rsid w:val="008012E4"/>
    <w:rsid w:val="00801333"/>
    <w:rsid w:val="008017B1"/>
    <w:rsid w:val="008019D2"/>
    <w:rsid w:val="00801A9B"/>
    <w:rsid w:val="00801F82"/>
    <w:rsid w:val="00801F84"/>
    <w:rsid w:val="00801F8C"/>
    <w:rsid w:val="00802277"/>
    <w:rsid w:val="0080234B"/>
    <w:rsid w:val="00802478"/>
    <w:rsid w:val="008024D8"/>
    <w:rsid w:val="008025DE"/>
    <w:rsid w:val="0080261D"/>
    <w:rsid w:val="00802638"/>
    <w:rsid w:val="00802655"/>
    <w:rsid w:val="00802735"/>
    <w:rsid w:val="008027F6"/>
    <w:rsid w:val="0080281D"/>
    <w:rsid w:val="00802A11"/>
    <w:rsid w:val="00802DDC"/>
    <w:rsid w:val="00803017"/>
    <w:rsid w:val="0080302F"/>
    <w:rsid w:val="00803272"/>
    <w:rsid w:val="0080334B"/>
    <w:rsid w:val="00803377"/>
    <w:rsid w:val="00803406"/>
    <w:rsid w:val="008035C4"/>
    <w:rsid w:val="00803863"/>
    <w:rsid w:val="008039AA"/>
    <w:rsid w:val="008039D0"/>
    <w:rsid w:val="00803B85"/>
    <w:rsid w:val="00803C44"/>
    <w:rsid w:val="00803CC4"/>
    <w:rsid w:val="00803CDB"/>
    <w:rsid w:val="00803F94"/>
    <w:rsid w:val="008040A2"/>
    <w:rsid w:val="008041C2"/>
    <w:rsid w:val="008042BC"/>
    <w:rsid w:val="008042F8"/>
    <w:rsid w:val="00804331"/>
    <w:rsid w:val="00804744"/>
    <w:rsid w:val="00804A16"/>
    <w:rsid w:val="00804AD6"/>
    <w:rsid w:val="00804BC5"/>
    <w:rsid w:val="00804C61"/>
    <w:rsid w:val="00804D82"/>
    <w:rsid w:val="0080503A"/>
    <w:rsid w:val="00805697"/>
    <w:rsid w:val="00805B56"/>
    <w:rsid w:val="00805E4B"/>
    <w:rsid w:val="00806056"/>
    <w:rsid w:val="00806281"/>
    <w:rsid w:val="00806418"/>
    <w:rsid w:val="0080643E"/>
    <w:rsid w:val="008065C2"/>
    <w:rsid w:val="00806A55"/>
    <w:rsid w:val="00806A92"/>
    <w:rsid w:val="00806B10"/>
    <w:rsid w:val="00806C7C"/>
    <w:rsid w:val="00807160"/>
    <w:rsid w:val="0080719B"/>
    <w:rsid w:val="00807212"/>
    <w:rsid w:val="0080725B"/>
    <w:rsid w:val="008072A7"/>
    <w:rsid w:val="008072B1"/>
    <w:rsid w:val="00807611"/>
    <w:rsid w:val="008078DF"/>
    <w:rsid w:val="00807A9A"/>
    <w:rsid w:val="00807AE2"/>
    <w:rsid w:val="00807D18"/>
    <w:rsid w:val="00807D49"/>
    <w:rsid w:val="00807D91"/>
    <w:rsid w:val="00810007"/>
    <w:rsid w:val="00810515"/>
    <w:rsid w:val="00810B40"/>
    <w:rsid w:val="00810B6A"/>
    <w:rsid w:val="00810F09"/>
    <w:rsid w:val="0081103E"/>
    <w:rsid w:val="008110D7"/>
    <w:rsid w:val="008111D5"/>
    <w:rsid w:val="0081138F"/>
    <w:rsid w:val="0081159F"/>
    <w:rsid w:val="0081166C"/>
    <w:rsid w:val="008116D3"/>
    <w:rsid w:val="008119C4"/>
    <w:rsid w:val="00811A8E"/>
    <w:rsid w:val="00811D07"/>
    <w:rsid w:val="00811F4D"/>
    <w:rsid w:val="00811FC9"/>
    <w:rsid w:val="0081233A"/>
    <w:rsid w:val="0081237F"/>
    <w:rsid w:val="0081241D"/>
    <w:rsid w:val="0081266F"/>
    <w:rsid w:val="008128BD"/>
    <w:rsid w:val="008129E3"/>
    <w:rsid w:val="00812D78"/>
    <w:rsid w:val="00812E87"/>
    <w:rsid w:val="00812FD3"/>
    <w:rsid w:val="00813009"/>
    <w:rsid w:val="0081310D"/>
    <w:rsid w:val="0081317A"/>
    <w:rsid w:val="00813619"/>
    <w:rsid w:val="00813734"/>
    <w:rsid w:val="00813BD2"/>
    <w:rsid w:val="00813CBC"/>
    <w:rsid w:val="00813FE9"/>
    <w:rsid w:val="00814268"/>
    <w:rsid w:val="0081432B"/>
    <w:rsid w:val="008145CA"/>
    <w:rsid w:val="00814626"/>
    <w:rsid w:val="008146B4"/>
    <w:rsid w:val="008147BA"/>
    <w:rsid w:val="0081484C"/>
    <w:rsid w:val="00814EBC"/>
    <w:rsid w:val="00815131"/>
    <w:rsid w:val="008152A1"/>
    <w:rsid w:val="0081545B"/>
    <w:rsid w:val="0081554F"/>
    <w:rsid w:val="0081562B"/>
    <w:rsid w:val="0081565D"/>
    <w:rsid w:val="00815BB1"/>
    <w:rsid w:val="00815C28"/>
    <w:rsid w:val="00815E1A"/>
    <w:rsid w:val="008161D7"/>
    <w:rsid w:val="0081634F"/>
    <w:rsid w:val="008163E3"/>
    <w:rsid w:val="00816526"/>
    <w:rsid w:val="0081659B"/>
    <w:rsid w:val="008169A9"/>
    <w:rsid w:val="00816A59"/>
    <w:rsid w:val="00816D9E"/>
    <w:rsid w:val="00816E32"/>
    <w:rsid w:val="00816FA7"/>
    <w:rsid w:val="00816FD2"/>
    <w:rsid w:val="00817377"/>
    <w:rsid w:val="0081755E"/>
    <w:rsid w:val="00817773"/>
    <w:rsid w:val="008177A8"/>
    <w:rsid w:val="00817803"/>
    <w:rsid w:val="00817A43"/>
    <w:rsid w:val="00817C6A"/>
    <w:rsid w:val="00817C9B"/>
    <w:rsid w:val="00817D86"/>
    <w:rsid w:val="0082005E"/>
    <w:rsid w:val="008200C2"/>
    <w:rsid w:val="008203CB"/>
    <w:rsid w:val="00820441"/>
    <w:rsid w:val="008204D8"/>
    <w:rsid w:val="0082053E"/>
    <w:rsid w:val="00820572"/>
    <w:rsid w:val="00820A17"/>
    <w:rsid w:val="00820A36"/>
    <w:rsid w:val="00820B49"/>
    <w:rsid w:val="00821398"/>
    <w:rsid w:val="00821840"/>
    <w:rsid w:val="00821871"/>
    <w:rsid w:val="008218F9"/>
    <w:rsid w:val="0082198F"/>
    <w:rsid w:val="008219B2"/>
    <w:rsid w:val="00821B93"/>
    <w:rsid w:val="00821D41"/>
    <w:rsid w:val="00821DD2"/>
    <w:rsid w:val="00821F69"/>
    <w:rsid w:val="0082206B"/>
    <w:rsid w:val="0082236A"/>
    <w:rsid w:val="008224FF"/>
    <w:rsid w:val="0082250C"/>
    <w:rsid w:val="0082254D"/>
    <w:rsid w:val="00822564"/>
    <w:rsid w:val="00822620"/>
    <w:rsid w:val="00822863"/>
    <w:rsid w:val="008229D1"/>
    <w:rsid w:val="00822A16"/>
    <w:rsid w:val="00822A67"/>
    <w:rsid w:val="00822B4B"/>
    <w:rsid w:val="00822CCD"/>
    <w:rsid w:val="00822CF6"/>
    <w:rsid w:val="00822D96"/>
    <w:rsid w:val="00822EB6"/>
    <w:rsid w:val="00822F09"/>
    <w:rsid w:val="008230F7"/>
    <w:rsid w:val="0082326C"/>
    <w:rsid w:val="008233C4"/>
    <w:rsid w:val="008237E8"/>
    <w:rsid w:val="008239BB"/>
    <w:rsid w:val="00823A2F"/>
    <w:rsid w:val="00823C7A"/>
    <w:rsid w:val="00823E0B"/>
    <w:rsid w:val="00824052"/>
    <w:rsid w:val="0082456F"/>
    <w:rsid w:val="00824624"/>
    <w:rsid w:val="008247DB"/>
    <w:rsid w:val="00824846"/>
    <w:rsid w:val="008248D2"/>
    <w:rsid w:val="00824A2D"/>
    <w:rsid w:val="00824AEF"/>
    <w:rsid w:val="00824AF5"/>
    <w:rsid w:val="008250AE"/>
    <w:rsid w:val="00825159"/>
    <w:rsid w:val="008251D9"/>
    <w:rsid w:val="00825200"/>
    <w:rsid w:val="008254E4"/>
    <w:rsid w:val="00825762"/>
    <w:rsid w:val="00825AB3"/>
    <w:rsid w:val="00825E08"/>
    <w:rsid w:val="008262C2"/>
    <w:rsid w:val="008265C6"/>
    <w:rsid w:val="008266EB"/>
    <w:rsid w:val="00826880"/>
    <w:rsid w:val="00826AC3"/>
    <w:rsid w:val="00826B0C"/>
    <w:rsid w:val="00826B7B"/>
    <w:rsid w:val="00826C90"/>
    <w:rsid w:val="00826CA0"/>
    <w:rsid w:val="00826CDB"/>
    <w:rsid w:val="00826D1C"/>
    <w:rsid w:val="00826F84"/>
    <w:rsid w:val="00827097"/>
    <w:rsid w:val="00827257"/>
    <w:rsid w:val="0082730A"/>
    <w:rsid w:val="008273BA"/>
    <w:rsid w:val="008274AB"/>
    <w:rsid w:val="00827762"/>
    <w:rsid w:val="008277E8"/>
    <w:rsid w:val="00830096"/>
    <w:rsid w:val="008301F2"/>
    <w:rsid w:val="008302C1"/>
    <w:rsid w:val="0083052D"/>
    <w:rsid w:val="00830681"/>
    <w:rsid w:val="00830C6B"/>
    <w:rsid w:val="00830DA5"/>
    <w:rsid w:val="0083124B"/>
    <w:rsid w:val="008312C4"/>
    <w:rsid w:val="00831759"/>
    <w:rsid w:val="008317D0"/>
    <w:rsid w:val="00831ABD"/>
    <w:rsid w:val="00831C84"/>
    <w:rsid w:val="00831CD7"/>
    <w:rsid w:val="00831CDD"/>
    <w:rsid w:val="00832136"/>
    <w:rsid w:val="0083235B"/>
    <w:rsid w:val="008323AC"/>
    <w:rsid w:val="008324DE"/>
    <w:rsid w:val="00832693"/>
    <w:rsid w:val="008326E3"/>
    <w:rsid w:val="00832986"/>
    <w:rsid w:val="00832BDC"/>
    <w:rsid w:val="00832D5E"/>
    <w:rsid w:val="00832E52"/>
    <w:rsid w:val="00832EC4"/>
    <w:rsid w:val="00832F47"/>
    <w:rsid w:val="00832FA1"/>
    <w:rsid w:val="0083376D"/>
    <w:rsid w:val="00833888"/>
    <w:rsid w:val="00833CBD"/>
    <w:rsid w:val="00833DB2"/>
    <w:rsid w:val="00833E28"/>
    <w:rsid w:val="00833E31"/>
    <w:rsid w:val="00834014"/>
    <w:rsid w:val="00834366"/>
    <w:rsid w:val="00834602"/>
    <w:rsid w:val="00834710"/>
    <w:rsid w:val="00834788"/>
    <w:rsid w:val="00834940"/>
    <w:rsid w:val="00834995"/>
    <w:rsid w:val="00834D4E"/>
    <w:rsid w:val="0083503A"/>
    <w:rsid w:val="0083512B"/>
    <w:rsid w:val="008351AF"/>
    <w:rsid w:val="008351CB"/>
    <w:rsid w:val="008353FB"/>
    <w:rsid w:val="00835760"/>
    <w:rsid w:val="00835903"/>
    <w:rsid w:val="00835AF2"/>
    <w:rsid w:val="00835B24"/>
    <w:rsid w:val="00835C61"/>
    <w:rsid w:val="00835C66"/>
    <w:rsid w:val="00835E57"/>
    <w:rsid w:val="00835F74"/>
    <w:rsid w:val="0083605B"/>
    <w:rsid w:val="00836277"/>
    <w:rsid w:val="00836413"/>
    <w:rsid w:val="008364BB"/>
    <w:rsid w:val="0083652F"/>
    <w:rsid w:val="00836669"/>
    <w:rsid w:val="00836734"/>
    <w:rsid w:val="008367C7"/>
    <w:rsid w:val="008367D5"/>
    <w:rsid w:val="00836829"/>
    <w:rsid w:val="008368AC"/>
    <w:rsid w:val="00836A33"/>
    <w:rsid w:val="00836B54"/>
    <w:rsid w:val="00836BD0"/>
    <w:rsid w:val="00836F35"/>
    <w:rsid w:val="00837011"/>
    <w:rsid w:val="008370A6"/>
    <w:rsid w:val="008373E9"/>
    <w:rsid w:val="00837503"/>
    <w:rsid w:val="00837653"/>
    <w:rsid w:val="00837A96"/>
    <w:rsid w:val="008403C0"/>
    <w:rsid w:val="00840531"/>
    <w:rsid w:val="00840539"/>
    <w:rsid w:val="0084065A"/>
    <w:rsid w:val="00840751"/>
    <w:rsid w:val="008407C9"/>
    <w:rsid w:val="00840995"/>
    <w:rsid w:val="00840AA7"/>
    <w:rsid w:val="00840D84"/>
    <w:rsid w:val="00840F0E"/>
    <w:rsid w:val="00840F63"/>
    <w:rsid w:val="0084128C"/>
    <w:rsid w:val="008412B7"/>
    <w:rsid w:val="00841826"/>
    <w:rsid w:val="008418E1"/>
    <w:rsid w:val="0084203C"/>
    <w:rsid w:val="0084210E"/>
    <w:rsid w:val="008422D6"/>
    <w:rsid w:val="0084253A"/>
    <w:rsid w:val="008425A5"/>
    <w:rsid w:val="008427D0"/>
    <w:rsid w:val="00842A3D"/>
    <w:rsid w:val="00842AC7"/>
    <w:rsid w:val="00842AFA"/>
    <w:rsid w:val="00842CD6"/>
    <w:rsid w:val="00842DF9"/>
    <w:rsid w:val="00842E1E"/>
    <w:rsid w:val="008431A2"/>
    <w:rsid w:val="00843320"/>
    <w:rsid w:val="008433DD"/>
    <w:rsid w:val="008436A2"/>
    <w:rsid w:val="00843726"/>
    <w:rsid w:val="00843966"/>
    <w:rsid w:val="00843E17"/>
    <w:rsid w:val="0084404C"/>
    <w:rsid w:val="00844448"/>
    <w:rsid w:val="00844617"/>
    <w:rsid w:val="00844651"/>
    <w:rsid w:val="0084470E"/>
    <w:rsid w:val="00844786"/>
    <w:rsid w:val="008448D5"/>
    <w:rsid w:val="008449E5"/>
    <w:rsid w:val="00844BC2"/>
    <w:rsid w:val="00844C4B"/>
    <w:rsid w:val="00844CD7"/>
    <w:rsid w:val="00844D7F"/>
    <w:rsid w:val="00845045"/>
    <w:rsid w:val="00845161"/>
    <w:rsid w:val="00845450"/>
    <w:rsid w:val="008454DD"/>
    <w:rsid w:val="00845644"/>
    <w:rsid w:val="00845CF2"/>
    <w:rsid w:val="00845D91"/>
    <w:rsid w:val="00845E53"/>
    <w:rsid w:val="00845EC8"/>
    <w:rsid w:val="00846091"/>
    <w:rsid w:val="008462C9"/>
    <w:rsid w:val="00846323"/>
    <w:rsid w:val="00846342"/>
    <w:rsid w:val="008465EE"/>
    <w:rsid w:val="00846676"/>
    <w:rsid w:val="00846890"/>
    <w:rsid w:val="00846ADE"/>
    <w:rsid w:val="00846BB4"/>
    <w:rsid w:val="00846CCA"/>
    <w:rsid w:val="00846DBF"/>
    <w:rsid w:val="00847017"/>
    <w:rsid w:val="008470C2"/>
    <w:rsid w:val="0084714F"/>
    <w:rsid w:val="00847413"/>
    <w:rsid w:val="008474B2"/>
    <w:rsid w:val="00847573"/>
    <w:rsid w:val="008475E0"/>
    <w:rsid w:val="0084770A"/>
    <w:rsid w:val="00847AF2"/>
    <w:rsid w:val="00847C51"/>
    <w:rsid w:val="0085006E"/>
    <w:rsid w:val="00850209"/>
    <w:rsid w:val="008503EE"/>
    <w:rsid w:val="0085053E"/>
    <w:rsid w:val="0085059E"/>
    <w:rsid w:val="00850860"/>
    <w:rsid w:val="00850B7A"/>
    <w:rsid w:val="00851375"/>
    <w:rsid w:val="0085156E"/>
    <w:rsid w:val="00851840"/>
    <w:rsid w:val="00851854"/>
    <w:rsid w:val="008518F5"/>
    <w:rsid w:val="00851947"/>
    <w:rsid w:val="00851A90"/>
    <w:rsid w:val="00851BB8"/>
    <w:rsid w:val="00851F0F"/>
    <w:rsid w:val="00851F20"/>
    <w:rsid w:val="00851FBB"/>
    <w:rsid w:val="00851FF8"/>
    <w:rsid w:val="0085215B"/>
    <w:rsid w:val="0085218D"/>
    <w:rsid w:val="0085225D"/>
    <w:rsid w:val="00852327"/>
    <w:rsid w:val="00852550"/>
    <w:rsid w:val="0085274C"/>
    <w:rsid w:val="0085279F"/>
    <w:rsid w:val="00852956"/>
    <w:rsid w:val="00852A63"/>
    <w:rsid w:val="00852A89"/>
    <w:rsid w:val="00852B9C"/>
    <w:rsid w:val="00852CB7"/>
    <w:rsid w:val="00852CD0"/>
    <w:rsid w:val="00852D3B"/>
    <w:rsid w:val="00852DC0"/>
    <w:rsid w:val="00852DEC"/>
    <w:rsid w:val="00852F05"/>
    <w:rsid w:val="00852F28"/>
    <w:rsid w:val="00852FC3"/>
    <w:rsid w:val="0085301C"/>
    <w:rsid w:val="0085319A"/>
    <w:rsid w:val="00853629"/>
    <w:rsid w:val="008536E8"/>
    <w:rsid w:val="0085399E"/>
    <w:rsid w:val="008539D2"/>
    <w:rsid w:val="00853CC3"/>
    <w:rsid w:val="00853D28"/>
    <w:rsid w:val="00853DD9"/>
    <w:rsid w:val="00853FCA"/>
    <w:rsid w:val="00853FD3"/>
    <w:rsid w:val="0085438B"/>
    <w:rsid w:val="00854402"/>
    <w:rsid w:val="00854564"/>
    <w:rsid w:val="008546FD"/>
    <w:rsid w:val="008548AB"/>
    <w:rsid w:val="008548EC"/>
    <w:rsid w:val="00854CC5"/>
    <w:rsid w:val="00854E58"/>
    <w:rsid w:val="008555C0"/>
    <w:rsid w:val="00855695"/>
    <w:rsid w:val="008556BC"/>
    <w:rsid w:val="008556BD"/>
    <w:rsid w:val="008556C8"/>
    <w:rsid w:val="00855A57"/>
    <w:rsid w:val="00855AB0"/>
    <w:rsid w:val="00855AF1"/>
    <w:rsid w:val="00855F06"/>
    <w:rsid w:val="00855F0C"/>
    <w:rsid w:val="00855F17"/>
    <w:rsid w:val="0085661C"/>
    <w:rsid w:val="008566B5"/>
    <w:rsid w:val="0085675C"/>
    <w:rsid w:val="008569CA"/>
    <w:rsid w:val="00856D7A"/>
    <w:rsid w:val="00856EB3"/>
    <w:rsid w:val="00856F16"/>
    <w:rsid w:val="00856F68"/>
    <w:rsid w:val="00856F71"/>
    <w:rsid w:val="008570AC"/>
    <w:rsid w:val="008572C8"/>
    <w:rsid w:val="00857311"/>
    <w:rsid w:val="00857354"/>
    <w:rsid w:val="008575CD"/>
    <w:rsid w:val="00857712"/>
    <w:rsid w:val="00857795"/>
    <w:rsid w:val="00857825"/>
    <w:rsid w:val="0085787F"/>
    <w:rsid w:val="0086051C"/>
    <w:rsid w:val="00860592"/>
    <w:rsid w:val="008605BF"/>
    <w:rsid w:val="0086086D"/>
    <w:rsid w:val="00860945"/>
    <w:rsid w:val="00860C1E"/>
    <w:rsid w:val="0086124A"/>
    <w:rsid w:val="00861268"/>
    <w:rsid w:val="00861273"/>
    <w:rsid w:val="008612F3"/>
    <w:rsid w:val="008614EB"/>
    <w:rsid w:val="008614F2"/>
    <w:rsid w:val="008615EA"/>
    <w:rsid w:val="00861743"/>
    <w:rsid w:val="008617BB"/>
    <w:rsid w:val="008619FB"/>
    <w:rsid w:val="00861A3A"/>
    <w:rsid w:val="00861B0F"/>
    <w:rsid w:val="00861C17"/>
    <w:rsid w:val="00861C41"/>
    <w:rsid w:val="00861D3A"/>
    <w:rsid w:val="00861EE0"/>
    <w:rsid w:val="0086205A"/>
    <w:rsid w:val="00862182"/>
    <w:rsid w:val="00862349"/>
    <w:rsid w:val="008626F4"/>
    <w:rsid w:val="008629E7"/>
    <w:rsid w:val="008629F5"/>
    <w:rsid w:val="00863069"/>
    <w:rsid w:val="0086320D"/>
    <w:rsid w:val="008632D6"/>
    <w:rsid w:val="0086330E"/>
    <w:rsid w:val="00863316"/>
    <w:rsid w:val="00863831"/>
    <w:rsid w:val="00863B7D"/>
    <w:rsid w:val="00863C99"/>
    <w:rsid w:val="00863D34"/>
    <w:rsid w:val="00863D67"/>
    <w:rsid w:val="00863DC9"/>
    <w:rsid w:val="00864064"/>
    <w:rsid w:val="008643BA"/>
    <w:rsid w:val="0086455B"/>
    <w:rsid w:val="008645F6"/>
    <w:rsid w:val="00864602"/>
    <w:rsid w:val="008646D4"/>
    <w:rsid w:val="0086489D"/>
    <w:rsid w:val="008648E8"/>
    <w:rsid w:val="00864A30"/>
    <w:rsid w:val="00864C2D"/>
    <w:rsid w:val="00864FEC"/>
    <w:rsid w:val="0086503D"/>
    <w:rsid w:val="0086509F"/>
    <w:rsid w:val="00865330"/>
    <w:rsid w:val="00865888"/>
    <w:rsid w:val="00865AB5"/>
    <w:rsid w:val="00865BD4"/>
    <w:rsid w:val="00865C78"/>
    <w:rsid w:val="00865D85"/>
    <w:rsid w:val="00865F96"/>
    <w:rsid w:val="00866042"/>
    <w:rsid w:val="00866170"/>
    <w:rsid w:val="008662C5"/>
    <w:rsid w:val="00866367"/>
    <w:rsid w:val="0086636B"/>
    <w:rsid w:val="00866527"/>
    <w:rsid w:val="00866643"/>
    <w:rsid w:val="0086690D"/>
    <w:rsid w:val="00866B76"/>
    <w:rsid w:val="00866D16"/>
    <w:rsid w:val="00867198"/>
    <w:rsid w:val="0086747A"/>
    <w:rsid w:val="008674A1"/>
    <w:rsid w:val="008674EA"/>
    <w:rsid w:val="00867529"/>
    <w:rsid w:val="008675E4"/>
    <w:rsid w:val="008676FC"/>
    <w:rsid w:val="00867707"/>
    <w:rsid w:val="008677F9"/>
    <w:rsid w:val="0086783F"/>
    <w:rsid w:val="00867883"/>
    <w:rsid w:val="00867B55"/>
    <w:rsid w:val="00867C9E"/>
    <w:rsid w:val="00867CD2"/>
    <w:rsid w:val="00867E1F"/>
    <w:rsid w:val="00870008"/>
    <w:rsid w:val="0087000A"/>
    <w:rsid w:val="008701CC"/>
    <w:rsid w:val="00870228"/>
    <w:rsid w:val="0087067B"/>
    <w:rsid w:val="008707F1"/>
    <w:rsid w:val="00870C59"/>
    <w:rsid w:val="00870DEE"/>
    <w:rsid w:val="008711F0"/>
    <w:rsid w:val="008713D3"/>
    <w:rsid w:val="0087156B"/>
    <w:rsid w:val="0087160F"/>
    <w:rsid w:val="008718B4"/>
    <w:rsid w:val="00871921"/>
    <w:rsid w:val="00871A31"/>
    <w:rsid w:val="00871B69"/>
    <w:rsid w:val="00871C53"/>
    <w:rsid w:val="00871F2D"/>
    <w:rsid w:val="00871F43"/>
    <w:rsid w:val="008720B4"/>
    <w:rsid w:val="00872151"/>
    <w:rsid w:val="008721A0"/>
    <w:rsid w:val="00872495"/>
    <w:rsid w:val="008724B3"/>
    <w:rsid w:val="00872798"/>
    <w:rsid w:val="0087287E"/>
    <w:rsid w:val="00872971"/>
    <w:rsid w:val="00872B3E"/>
    <w:rsid w:val="00872E5D"/>
    <w:rsid w:val="00872E94"/>
    <w:rsid w:val="00872FBF"/>
    <w:rsid w:val="008738FD"/>
    <w:rsid w:val="00873A5B"/>
    <w:rsid w:val="00873B1D"/>
    <w:rsid w:val="00873B33"/>
    <w:rsid w:val="00873BDD"/>
    <w:rsid w:val="00873C3E"/>
    <w:rsid w:val="00873D7F"/>
    <w:rsid w:val="00873DDB"/>
    <w:rsid w:val="00873F1C"/>
    <w:rsid w:val="0087405E"/>
    <w:rsid w:val="008740C3"/>
    <w:rsid w:val="00874221"/>
    <w:rsid w:val="008743C4"/>
    <w:rsid w:val="008743E1"/>
    <w:rsid w:val="0087446C"/>
    <w:rsid w:val="00874E53"/>
    <w:rsid w:val="00874E89"/>
    <w:rsid w:val="00875036"/>
    <w:rsid w:val="00875129"/>
    <w:rsid w:val="00875163"/>
    <w:rsid w:val="0087516B"/>
    <w:rsid w:val="0087522C"/>
    <w:rsid w:val="008754F1"/>
    <w:rsid w:val="00875794"/>
    <w:rsid w:val="00875B87"/>
    <w:rsid w:val="00875BC2"/>
    <w:rsid w:val="00875C1B"/>
    <w:rsid w:val="00875E19"/>
    <w:rsid w:val="00875EAC"/>
    <w:rsid w:val="008761BE"/>
    <w:rsid w:val="008762F3"/>
    <w:rsid w:val="00876353"/>
    <w:rsid w:val="00876A6A"/>
    <w:rsid w:val="00876B78"/>
    <w:rsid w:val="00876BFE"/>
    <w:rsid w:val="00876E7F"/>
    <w:rsid w:val="00876EF2"/>
    <w:rsid w:val="00876FB6"/>
    <w:rsid w:val="0087704C"/>
    <w:rsid w:val="00877289"/>
    <w:rsid w:val="00877363"/>
    <w:rsid w:val="00877488"/>
    <w:rsid w:val="00877598"/>
    <w:rsid w:val="008775F5"/>
    <w:rsid w:val="0087762D"/>
    <w:rsid w:val="008776BC"/>
    <w:rsid w:val="00877A8B"/>
    <w:rsid w:val="00877B6E"/>
    <w:rsid w:val="00877B9A"/>
    <w:rsid w:val="00877C20"/>
    <w:rsid w:val="00877D0D"/>
    <w:rsid w:val="00877D8B"/>
    <w:rsid w:val="00880008"/>
    <w:rsid w:val="008804AC"/>
    <w:rsid w:val="008804CB"/>
    <w:rsid w:val="00880532"/>
    <w:rsid w:val="008806B5"/>
    <w:rsid w:val="00880792"/>
    <w:rsid w:val="00880A7C"/>
    <w:rsid w:val="00880BB3"/>
    <w:rsid w:val="00880E97"/>
    <w:rsid w:val="008810E1"/>
    <w:rsid w:val="00881200"/>
    <w:rsid w:val="00881517"/>
    <w:rsid w:val="00881897"/>
    <w:rsid w:val="00881907"/>
    <w:rsid w:val="00881A19"/>
    <w:rsid w:val="00881D2E"/>
    <w:rsid w:val="00881D9E"/>
    <w:rsid w:val="00881E1D"/>
    <w:rsid w:val="00881F1A"/>
    <w:rsid w:val="00882027"/>
    <w:rsid w:val="0088211A"/>
    <w:rsid w:val="00882150"/>
    <w:rsid w:val="00882282"/>
    <w:rsid w:val="00882413"/>
    <w:rsid w:val="0088241A"/>
    <w:rsid w:val="00882448"/>
    <w:rsid w:val="0088249B"/>
    <w:rsid w:val="00882959"/>
    <w:rsid w:val="00882AAF"/>
    <w:rsid w:val="00882B01"/>
    <w:rsid w:val="00882E6E"/>
    <w:rsid w:val="00882E9C"/>
    <w:rsid w:val="00882F23"/>
    <w:rsid w:val="00883054"/>
    <w:rsid w:val="008831F0"/>
    <w:rsid w:val="00883213"/>
    <w:rsid w:val="0088328E"/>
    <w:rsid w:val="008834BE"/>
    <w:rsid w:val="008835DF"/>
    <w:rsid w:val="008836C4"/>
    <w:rsid w:val="0088374A"/>
    <w:rsid w:val="00883814"/>
    <w:rsid w:val="00883895"/>
    <w:rsid w:val="008838EA"/>
    <w:rsid w:val="008838F9"/>
    <w:rsid w:val="00883C43"/>
    <w:rsid w:val="00883D36"/>
    <w:rsid w:val="00883D37"/>
    <w:rsid w:val="00883F42"/>
    <w:rsid w:val="00884495"/>
    <w:rsid w:val="00884723"/>
    <w:rsid w:val="00884917"/>
    <w:rsid w:val="0088497D"/>
    <w:rsid w:val="00884989"/>
    <w:rsid w:val="00884A2D"/>
    <w:rsid w:val="00884C97"/>
    <w:rsid w:val="008851B1"/>
    <w:rsid w:val="0088574A"/>
    <w:rsid w:val="00885802"/>
    <w:rsid w:val="0088582E"/>
    <w:rsid w:val="0088592F"/>
    <w:rsid w:val="00885DE3"/>
    <w:rsid w:val="00885E64"/>
    <w:rsid w:val="00885F78"/>
    <w:rsid w:val="0088610B"/>
    <w:rsid w:val="00886415"/>
    <w:rsid w:val="0088650C"/>
    <w:rsid w:val="00886A71"/>
    <w:rsid w:val="00886A86"/>
    <w:rsid w:val="00886B66"/>
    <w:rsid w:val="00886C9B"/>
    <w:rsid w:val="00886CEC"/>
    <w:rsid w:val="00886D64"/>
    <w:rsid w:val="00887075"/>
    <w:rsid w:val="008872D1"/>
    <w:rsid w:val="008873B2"/>
    <w:rsid w:val="008877CE"/>
    <w:rsid w:val="0088796D"/>
    <w:rsid w:val="008879C0"/>
    <w:rsid w:val="00887C50"/>
    <w:rsid w:val="00887DFA"/>
    <w:rsid w:val="00887F21"/>
    <w:rsid w:val="008900A6"/>
    <w:rsid w:val="00890333"/>
    <w:rsid w:val="008903CB"/>
    <w:rsid w:val="00890437"/>
    <w:rsid w:val="00890611"/>
    <w:rsid w:val="00890726"/>
    <w:rsid w:val="008909A2"/>
    <w:rsid w:val="00890A66"/>
    <w:rsid w:val="00890F99"/>
    <w:rsid w:val="00890FF8"/>
    <w:rsid w:val="00891005"/>
    <w:rsid w:val="00891065"/>
    <w:rsid w:val="0089118F"/>
    <w:rsid w:val="0089144B"/>
    <w:rsid w:val="00891534"/>
    <w:rsid w:val="0089164B"/>
    <w:rsid w:val="00891987"/>
    <w:rsid w:val="00891A2C"/>
    <w:rsid w:val="00891B2B"/>
    <w:rsid w:val="00891B67"/>
    <w:rsid w:val="00891D25"/>
    <w:rsid w:val="008920E3"/>
    <w:rsid w:val="00892413"/>
    <w:rsid w:val="0089257F"/>
    <w:rsid w:val="00892610"/>
    <w:rsid w:val="00892938"/>
    <w:rsid w:val="00892993"/>
    <w:rsid w:val="00892DAB"/>
    <w:rsid w:val="00892DCA"/>
    <w:rsid w:val="00893380"/>
    <w:rsid w:val="008933F0"/>
    <w:rsid w:val="00893557"/>
    <w:rsid w:val="0089361B"/>
    <w:rsid w:val="0089366A"/>
    <w:rsid w:val="0089366D"/>
    <w:rsid w:val="0089368D"/>
    <w:rsid w:val="008936A9"/>
    <w:rsid w:val="00893738"/>
    <w:rsid w:val="00893A6D"/>
    <w:rsid w:val="00893D27"/>
    <w:rsid w:val="00893EC5"/>
    <w:rsid w:val="00893F6D"/>
    <w:rsid w:val="00893FD0"/>
    <w:rsid w:val="00894139"/>
    <w:rsid w:val="008942B3"/>
    <w:rsid w:val="008943D2"/>
    <w:rsid w:val="00894803"/>
    <w:rsid w:val="00894808"/>
    <w:rsid w:val="008949F3"/>
    <w:rsid w:val="00894A8C"/>
    <w:rsid w:val="00894AD6"/>
    <w:rsid w:val="00894DAC"/>
    <w:rsid w:val="00894E9D"/>
    <w:rsid w:val="008950C5"/>
    <w:rsid w:val="008950DF"/>
    <w:rsid w:val="008952E6"/>
    <w:rsid w:val="00895549"/>
    <w:rsid w:val="00895706"/>
    <w:rsid w:val="00895926"/>
    <w:rsid w:val="00895BCC"/>
    <w:rsid w:val="00895BE5"/>
    <w:rsid w:val="00895ECB"/>
    <w:rsid w:val="00895EEB"/>
    <w:rsid w:val="00895F91"/>
    <w:rsid w:val="00896041"/>
    <w:rsid w:val="0089614C"/>
    <w:rsid w:val="0089637C"/>
    <w:rsid w:val="0089640C"/>
    <w:rsid w:val="008964A8"/>
    <w:rsid w:val="0089651F"/>
    <w:rsid w:val="00896548"/>
    <w:rsid w:val="008965E9"/>
    <w:rsid w:val="00896731"/>
    <w:rsid w:val="00896860"/>
    <w:rsid w:val="00896DD3"/>
    <w:rsid w:val="00897254"/>
    <w:rsid w:val="008973E6"/>
    <w:rsid w:val="00897759"/>
    <w:rsid w:val="0089784C"/>
    <w:rsid w:val="0089784F"/>
    <w:rsid w:val="00897AC5"/>
    <w:rsid w:val="00897D84"/>
    <w:rsid w:val="00897EE6"/>
    <w:rsid w:val="00897F1A"/>
    <w:rsid w:val="00897F50"/>
    <w:rsid w:val="00897F6F"/>
    <w:rsid w:val="00897F7F"/>
    <w:rsid w:val="008A0212"/>
    <w:rsid w:val="008A0217"/>
    <w:rsid w:val="008A0357"/>
    <w:rsid w:val="008A05B0"/>
    <w:rsid w:val="008A0862"/>
    <w:rsid w:val="008A0CE0"/>
    <w:rsid w:val="008A0EAF"/>
    <w:rsid w:val="008A0F80"/>
    <w:rsid w:val="008A125E"/>
    <w:rsid w:val="008A1565"/>
    <w:rsid w:val="008A15C9"/>
    <w:rsid w:val="008A1692"/>
    <w:rsid w:val="008A177D"/>
    <w:rsid w:val="008A17B1"/>
    <w:rsid w:val="008A191A"/>
    <w:rsid w:val="008A1C48"/>
    <w:rsid w:val="008A1CC6"/>
    <w:rsid w:val="008A1CEA"/>
    <w:rsid w:val="008A1FA0"/>
    <w:rsid w:val="008A1FAE"/>
    <w:rsid w:val="008A200F"/>
    <w:rsid w:val="008A20D2"/>
    <w:rsid w:val="008A20F6"/>
    <w:rsid w:val="008A21CF"/>
    <w:rsid w:val="008A22BF"/>
    <w:rsid w:val="008A22EC"/>
    <w:rsid w:val="008A2696"/>
    <w:rsid w:val="008A2B72"/>
    <w:rsid w:val="008A2C4A"/>
    <w:rsid w:val="008A2CA7"/>
    <w:rsid w:val="008A2D48"/>
    <w:rsid w:val="008A3243"/>
    <w:rsid w:val="008A32E2"/>
    <w:rsid w:val="008A343B"/>
    <w:rsid w:val="008A371E"/>
    <w:rsid w:val="008A3753"/>
    <w:rsid w:val="008A37DF"/>
    <w:rsid w:val="008A3A6C"/>
    <w:rsid w:val="008A3C3F"/>
    <w:rsid w:val="008A3D85"/>
    <w:rsid w:val="008A3DE8"/>
    <w:rsid w:val="008A4245"/>
    <w:rsid w:val="008A4257"/>
    <w:rsid w:val="008A430E"/>
    <w:rsid w:val="008A4422"/>
    <w:rsid w:val="008A44D1"/>
    <w:rsid w:val="008A47ED"/>
    <w:rsid w:val="008A4BA4"/>
    <w:rsid w:val="008A4C30"/>
    <w:rsid w:val="008A4E1D"/>
    <w:rsid w:val="008A4FBE"/>
    <w:rsid w:val="008A51E4"/>
    <w:rsid w:val="008A52C6"/>
    <w:rsid w:val="008A550B"/>
    <w:rsid w:val="008A5826"/>
    <w:rsid w:val="008A5BDF"/>
    <w:rsid w:val="008A6326"/>
    <w:rsid w:val="008A675B"/>
    <w:rsid w:val="008A6786"/>
    <w:rsid w:val="008A67EA"/>
    <w:rsid w:val="008A6B98"/>
    <w:rsid w:val="008A6DBB"/>
    <w:rsid w:val="008A6E53"/>
    <w:rsid w:val="008A70EF"/>
    <w:rsid w:val="008A757E"/>
    <w:rsid w:val="008A7AAB"/>
    <w:rsid w:val="008A7B2B"/>
    <w:rsid w:val="008A7BF2"/>
    <w:rsid w:val="008A7E17"/>
    <w:rsid w:val="008A7EF7"/>
    <w:rsid w:val="008B001E"/>
    <w:rsid w:val="008B01D9"/>
    <w:rsid w:val="008B03E0"/>
    <w:rsid w:val="008B0489"/>
    <w:rsid w:val="008B0840"/>
    <w:rsid w:val="008B0994"/>
    <w:rsid w:val="008B0C31"/>
    <w:rsid w:val="008B0C67"/>
    <w:rsid w:val="008B0D35"/>
    <w:rsid w:val="008B0D3C"/>
    <w:rsid w:val="008B0F8E"/>
    <w:rsid w:val="008B0FAC"/>
    <w:rsid w:val="008B143A"/>
    <w:rsid w:val="008B16D2"/>
    <w:rsid w:val="008B1A48"/>
    <w:rsid w:val="008B1A7F"/>
    <w:rsid w:val="008B1ACA"/>
    <w:rsid w:val="008B1AEA"/>
    <w:rsid w:val="008B21C0"/>
    <w:rsid w:val="008B2272"/>
    <w:rsid w:val="008B227F"/>
    <w:rsid w:val="008B2324"/>
    <w:rsid w:val="008B2351"/>
    <w:rsid w:val="008B28B6"/>
    <w:rsid w:val="008B28B7"/>
    <w:rsid w:val="008B28F2"/>
    <w:rsid w:val="008B2977"/>
    <w:rsid w:val="008B29FC"/>
    <w:rsid w:val="008B2E56"/>
    <w:rsid w:val="008B2FF6"/>
    <w:rsid w:val="008B310A"/>
    <w:rsid w:val="008B3190"/>
    <w:rsid w:val="008B3232"/>
    <w:rsid w:val="008B3358"/>
    <w:rsid w:val="008B346F"/>
    <w:rsid w:val="008B366D"/>
    <w:rsid w:val="008B3765"/>
    <w:rsid w:val="008B3800"/>
    <w:rsid w:val="008B3954"/>
    <w:rsid w:val="008B3DEF"/>
    <w:rsid w:val="008B4182"/>
    <w:rsid w:val="008B430D"/>
    <w:rsid w:val="008B441C"/>
    <w:rsid w:val="008B444E"/>
    <w:rsid w:val="008B4451"/>
    <w:rsid w:val="008B4504"/>
    <w:rsid w:val="008B4748"/>
    <w:rsid w:val="008B484A"/>
    <w:rsid w:val="008B49E5"/>
    <w:rsid w:val="008B4A0B"/>
    <w:rsid w:val="008B4A85"/>
    <w:rsid w:val="008B4E08"/>
    <w:rsid w:val="008B4EF9"/>
    <w:rsid w:val="008B5111"/>
    <w:rsid w:val="008B529B"/>
    <w:rsid w:val="008B5366"/>
    <w:rsid w:val="008B548E"/>
    <w:rsid w:val="008B5587"/>
    <w:rsid w:val="008B577D"/>
    <w:rsid w:val="008B57FD"/>
    <w:rsid w:val="008B587F"/>
    <w:rsid w:val="008B5A94"/>
    <w:rsid w:val="008B5AB9"/>
    <w:rsid w:val="008B5FE3"/>
    <w:rsid w:val="008B5FEF"/>
    <w:rsid w:val="008B6117"/>
    <w:rsid w:val="008B651F"/>
    <w:rsid w:val="008B6772"/>
    <w:rsid w:val="008B67D4"/>
    <w:rsid w:val="008B6A24"/>
    <w:rsid w:val="008B6D2C"/>
    <w:rsid w:val="008B6F65"/>
    <w:rsid w:val="008B70D2"/>
    <w:rsid w:val="008B719E"/>
    <w:rsid w:val="008B7321"/>
    <w:rsid w:val="008B74F1"/>
    <w:rsid w:val="008B753F"/>
    <w:rsid w:val="008B76DB"/>
    <w:rsid w:val="008B784D"/>
    <w:rsid w:val="008B7C35"/>
    <w:rsid w:val="008B7D72"/>
    <w:rsid w:val="008B7E2B"/>
    <w:rsid w:val="008B7F3A"/>
    <w:rsid w:val="008B7F4E"/>
    <w:rsid w:val="008C00C7"/>
    <w:rsid w:val="008C0213"/>
    <w:rsid w:val="008C02B0"/>
    <w:rsid w:val="008C03E7"/>
    <w:rsid w:val="008C066B"/>
    <w:rsid w:val="008C0676"/>
    <w:rsid w:val="008C07C3"/>
    <w:rsid w:val="008C0C7C"/>
    <w:rsid w:val="008C0EA4"/>
    <w:rsid w:val="008C1005"/>
    <w:rsid w:val="008C10E2"/>
    <w:rsid w:val="008C177E"/>
    <w:rsid w:val="008C1871"/>
    <w:rsid w:val="008C1A57"/>
    <w:rsid w:val="008C212D"/>
    <w:rsid w:val="008C2167"/>
    <w:rsid w:val="008C2A98"/>
    <w:rsid w:val="008C2C2A"/>
    <w:rsid w:val="008C2D78"/>
    <w:rsid w:val="008C2DA3"/>
    <w:rsid w:val="008C32EA"/>
    <w:rsid w:val="008C3505"/>
    <w:rsid w:val="008C35FB"/>
    <w:rsid w:val="008C3CA7"/>
    <w:rsid w:val="008C4020"/>
    <w:rsid w:val="008C43C4"/>
    <w:rsid w:val="008C43EC"/>
    <w:rsid w:val="008C44BA"/>
    <w:rsid w:val="008C4557"/>
    <w:rsid w:val="008C47CB"/>
    <w:rsid w:val="008C48D2"/>
    <w:rsid w:val="008C4BBD"/>
    <w:rsid w:val="008C4BEB"/>
    <w:rsid w:val="008C4F5C"/>
    <w:rsid w:val="008C5069"/>
    <w:rsid w:val="008C510B"/>
    <w:rsid w:val="008C512C"/>
    <w:rsid w:val="008C5316"/>
    <w:rsid w:val="008C53EB"/>
    <w:rsid w:val="008C5770"/>
    <w:rsid w:val="008C578F"/>
    <w:rsid w:val="008C5823"/>
    <w:rsid w:val="008C59B6"/>
    <w:rsid w:val="008C59F5"/>
    <w:rsid w:val="008C5CD5"/>
    <w:rsid w:val="008C5E6C"/>
    <w:rsid w:val="008C624B"/>
    <w:rsid w:val="008C6272"/>
    <w:rsid w:val="008C697A"/>
    <w:rsid w:val="008C70F5"/>
    <w:rsid w:val="008C7682"/>
    <w:rsid w:val="008C7795"/>
    <w:rsid w:val="008C790A"/>
    <w:rsid w:val="008C79EF"/>
    <w:rsid w:val="008C7A19"/>
    <w:rsid w:val="008C7E72"/>
    <w:rsid w:val="008D0053"/>
    <w:rsid w:val="008D0239"/>
    <w:rsid w:val="008D024D"/>
    <w:rsid w:val="008D0587"/>
    <w:rsid w:val="008D0695"/>
    <w:rsid w:val="008D071E"/>
    <w:rsid w:val="008D0B16"/>
    <w:rsid w:val="008D0B64"/>
    <w:rsid w:val="008D0B74"/>
    <w:rsid w:val="008D0C2C"/>
    <w:rsid w:val="008D12C4"/>
    <w:rsid w:val="008D14C1"/>
    <w:rsid w:val="008D1A0E"/>
    <w:rsid w:val="008D1BFD"/>
    <w:rsid w:val="008D1FBC"/>
    <w:rsid w:val="008D1FD1"/>
    <w:rsid w:val="008D20B4"/>
    <w:rsid w:val="008D2104"/>
    <w:rsid w:val="008D2238"/>
    <w:rsid w:val="008D239F"/>
    <w:rsid w:val="008D25F3"/>
    <w:rsid w:val="008D2A1E"/>
    <w:rsid w:val="008D2AEC"/>
    <w:rsid w:val="008D2B67"/>
    <w:rsid w:val="008D2C0D"/>
    <w:rsid w:val="008D2DEF"/>
    <w:rsid w:val="008D2EB0"/>
    <w:rsid w:val="008D2F17"/>
    <w:rsid w:val="008D375D"/>
    <w:rsid w:val="008D38F2"/>
    <w:rsid w:val="008D3973"/>
    <w:rsid w:val="008D3A57"/>
    <w:rsid w:val="008D3AE0"/>
    <w:rsid w:val="008D3BB8"/>
    <w:rsid w:val="008D3D84"/>
    <w:rsid w:val="008D3E52"/>
    <w:rsid w:val="008D3EE5"/>
    <w:rsid w:val="008D3F31"/>
    <w:rsid w:val="008D3F8F"/>
    <w:rsid w:val="008D43C2"/>
    <w:rsid w:val="008D44DD"/>
    <w:rsid w:val="008D4675"/>
    <w:rsid w:val="008D4743"/>
    <w:rsid w:val="008D48DA"/>
    <w:rsid w:val="008D4987"/>
    <w:rsid w:val="008D4A5B"/>
    <w:rsid w:val="008D4B32"/>
    <w:rsid w:val="008D4DD4"/>
    <w:rsid w:val="008D4EA5"/>
    <w:rsid w:val="008D530E"/>
    <w:rsid w:val="008D54C3"/>
    <w:rsid w:val="008D572F"/>
    <w:rsid w:val="008D594D"/>
    <w:rsid w:val="008D59F8"/>
    <w:rsid w:val="008D5A97"/>
    <w:rsid w:val="008D5B0F"/>
    <w:rsid w:val="008D5B26"/>
    <w:rsid w:val="008D5BFF"/>
    <w:rsid w:val="008D5C87"/>
    <w:rsid w:val="008D5CF8"/>
    <w:rsid w:val="008D5DE4"/>
    <w:rsid w:val="008D6285"/>
    <w:rsid w:val="008D6384"/>
    <w:rsid w:val="008D63EF"/>
    <w:rsid w:val="008D6683"/>
    <w:rsid w:val="008D68AA"/>
    <w:rsid w:val="008D6C4C"/>
    <w:rsid w:val="008D6C54"/>
    <w:rsid w:val="008D70D2"/>
    <w:rsid w:val="008D76BE"/>
    <w:rsid w:val="008D78C9"/>
    <w:rsid w:val="008D7D76"/>
    <w:rsid w:val="008D7F0A"/>
    <w:rsid w:val="008D7F49"/>
    <w:rsid w:val="008D7FE9"/>
    <w:rsid w:val="008E00E7"/>
    <w:rsid w:val="008E0478"/>
    <w:rsid w:val="008E04AA"/>
    <w:rsid w:val="008E05BA"/>
    <w:rsid w:val="008E077B"/>
    <w:rsid w:val="008E09DF"/>
    <w:rsid w:val="008E0A44"/>
    <w:rsid w:val="008E0AB1"/>
    <w:rsid w:val="008E0C31"/>
    <w:rsid w:val="008E0C60"/>
    <w:rsid w:val="008E0CDD"/>
    <w:rsid w:val="008E0F60"/>
    <w:rsid w:val="008E11CA"/>
    <w:rsid w:val="008E12AA"/>
    <w:rsid w:val="008E15A6"/>
    <w:rsid w:val="008E175A"/>
    <w:rsid w:val="008E1767"/>
    <w:rsid w:val="008E1891"/>
    <w:rsid w:val="008E1BCD"/>
    <w:rsid w:val="008E1C36"/>
    <w:rsid w:val="008E1F24"/>
    <w:rsid w:val="008E2036"/>
    <w:rsid w:val="008E2475"/>
    <w:rsid w:val="008E263C"/>
    <w:rsid w:val="008E2726"/>
    <w:rsid w:val="008E296E"/>
    <w:rsid w:val="008E2E67"/>
    <w:rsid w:val="008E2F9E"/>
    <w:rsid w:val="008E2FF8"/>
    <w:rsid w:val="008E30FE"/>
    <w:rsid w:val="008E336D"/>
    <w:rsid w:val="008E34E1"/>
    <w:rsid w:val="008E354B"/>
    <w:rsid w:val="008E376C"/>
    <w:rsid w:val="008E3A8C"/>
    <w:rsid w:val="008E3BA7"/>
    <w:rsid w:val="008E3E0C"/>
    <w:rsid w:val="008E3E5E"/>
    <w:rsid w:val="008E41E0"/>
    <w:rsid w:val="008E4361"/>
    <w:rsid w:val="008E4382"/>
    <w:rsid w:val="008E44C7"/>
    <w:rsid w:val="008E4544"/>
    <w:rsid w:val="008E464D"/>
    <w:rsid w:val="008E46CF"/>
    <w:rsid w:val="008E492F"/>
    <w:rsid w:val="008E4A09"/>
    <w:rsid w:val="008E521F"/>
    <w:rsid w:val="008E538D"/>
    <w:rsid w:val="008E54FB"/>
    <w:rsid w:val="008E560D"/>
    <w:rsid w:val="008E5635"/>
    <w:rsid w:val="008E57C4"/>
    <w:rsid w:val="008E5CB9"/>
    <w:rsid w:val="008E5D5D"/>
    <w:rsid w:val="008E5FC1"/>
    <w:rsid w:val="008E66EE"/>
    <w:rsid w:val="008E689C"/>
    <w:rsid w:val="008E6A5A"/>
    <w:rsid w:val="008E6BBD"/>
    <w:rsid w:val="008E6C01"/>
    <w:rsid w:val="008E6EA8"/>
    <w:rsid w:val="008E6F6D"/>
    <w:rsid w:val="008E6FE7"/>
    <w:rsid w:val="008E704E"/>
    <w:rsid w:val="008E7353"/>
    <w:rsid w:val="008E75C0"/>
    <w:rsid w:val="008E760B"/>
    <w:rsid w:val="008E764A"/>
    <w:rsid w:val="008E7B34"/>
    <w:rsid w:val="008E7CF5"/>
    <w:rsid w:val="008E7EEB"/>
    <w:rsid w:val="008F0004"/>
    <w:rsid w:val="008F0042"/>
    <w:rsid w:val="008F00EA"/>
    <w:rsid w:val="008F0273"/>
    <w:rsid w:val="008F027A"/>
    <w:rsid w:val="008F030C"/>
    <w:rsid w:val="008F038A"/>
    <w:rsid w:val="008F0479"/>
    <w:rsid w:val="008F07B5"/>
    <w:rsid w:val="008F07C5"/>
    <w:rsid w:val="008F08BC"/>
    <w:rsid w:val="008F08CD"/>
    <w:rsid w:val="008F09DE"/>
    <w:rsid w:val="008F0B07"/>
    <w:rsid w:val="008F0B64"/>
    <w:rsid w:val="008F0C3C"/>
    <w:rsid w:val="008F0DE1"/>
    <w:rsid w:val="008F1154"/>
    <w:rsid w:val="008F11D2"/>
    <w:rsid w:val="008F12C2"/>
    <w:rsid w:val="008F1308"/>
    <w:rsid w:val="008F16FA"/>
    <w:rsid w:val="008F1728"/>
    <w:rsid w:val="008F1760"/>
    <w:rsid w:val="008F17CB"/>
    <w:rsid w:val="008F18E3"/>
    <w:rsid w:val="008F1936"/>
    <w:rsid w:val="008F1993"/>
    <w:rsid w:val="008F19E3"/>
    <w:rsid w:val="008F1A50"/>
    <w:rsid w:val="008F1B49"/>
    <w:rsid w:val="008F1B92"/>
    <w:rsid w:val="008F1E20"/>
    <w:rsid w:val="008F1E27"/>
    <w:rsid w:val="008F1EB4"/>
    <w:rsid w:val="008F1ED9"/>
    <w:rsid w:val="008F2065"/>
    <w:rsid w:val="008F2174"/>
    <w:rsid w:val="008F21ED"/>
    <w:rsid w:val="008F23A9"/>
    <w:rsid w:val="008F24D8"/>
    <w:rsid w:val="008F2869"/>
    <w:rsid w:val="008F28CD"/>
    <w:rsid w:val="008F2984"/>
    <w:rsid w:val="008F2A03"/>
    <w:rsid w:val="008F2BA6"/>
    <w:rsid w:val="008F2BE3"/>
    <w:rsid w:val="008F2E56"/>
    <w:rsid w:val="008F3134"/>
    <w:rsid w:val="008F3265"/>
    <w:rsid w:val="008F335C"/>
    <w:rsid w:val="008F3511"/>
    <w:rsid w:val="008F3801"/>
    <w:rsid w:val="008F39D3"/>
    <w:rsid w:val="008F39D8"/>
    <w:rsid w:val="008F3AB0"/>
    <w:rsid w:val="008F3B01"/>
    <w:rsid w:val="008F3C23"/>
    <w:rsid w:val="008F3CDC"/>
    <w:rsid w:val="008F3E1A"/>
    <w:rsid w:val="008F3F43"/>
    <w:rsid w:val="008F45DB"/>
    <w:rsid w:val="008F4881"/>
    <w:rsid w:val="008F4A00"/>
    <w:rsid w:val="008F4A25"/>
    <w:rsid w:val="008F4F01"/>
    <w:rsid w:val="008F51A9"/>
    <w:rsid w:val="008F5683"/>
    <w:rsid w:val="008F5768"/>
    <w:rsid w:val="008F57E7"/>
    <w:rsid w:val="008F6079"/>
    <w:rsid w:val="008F6374"/>
    <w:rsid w:val="008F6497"/>
    <w:rsid w:val="008F6526"/>
    <w:rsid w:val="008F6596"/>
    <w:rsid w:val="008F67E8"/>
    <w:rsid w:val="008F691A"/>
    <w:rsid w:val="008F6B6D"/>
    <w:rsid w:val="008F6B8D"/>
    <w:rsid w:val="008F6BB8"/>
    <w:rsid w:val="008F6C4C"/>
    <w:rsid w:val="008F7035"/>
    <w:rsid w:val="008F7198"/>
    <w:rsid w:val="008F7241"/>
    <w:rsid w:val="008F7285"/>
    <w:rsid w:val="008F7315"/>
    <w:rsid w:val="008F773E"/>
    <w:rsid w:val="008F7A7C"/>
    <w:rsid w:val="008F7D17"/>
    <w:rsid w:val="00900148"/>
    <w:rsid w:val="00900398"/>
    <w:rsid w:val="009003DB"/>
    <w:rsid w:val="00900564"/>
    <w:rsid w:val="0090074B"/>
    <w:rsid w:val="00900A77"/>
    <w:rsid w:val="00900B62"/>
    <w:rsid w:val="00900C10"/>
    <w:rsid w:val="00901031"/>
    <w:rsid w:val="00901092"/>
    <w:rsid w:val="009010CC"/>
    <w:rsid w:val="009012C0"/>
    <w:rsid w:val="00901334"/>
    <w:rsid w:val="00901A52"/>
    <w:rsid w:val="00901AD9"/>
    <w:rsid w:val="00901B9A"/>
    <w:rsid w:val="00901CF2"/>
    <w:rsid w:val="00901D43"/>
    <w:rsid w:val="00901DD4"/>
    <w:rsid w:val="0090240F"/>
    <w:rsid w:val="0090257F"/>
    <w:rsid w:val="009027A3"/>
    <w:rsid w:val="009027BC"/>
    <w:rsid w:val="00902A1F"/>
    <w:rsid w:val="00902A67"/>
    <w:rsid w:val="00902B8E"/>
    <w:rsid w:val="00902BA1"/>
    <w:rsid w:val="00902D0F"/>
    <w:rsid w:val="00902DD5"/>
    <w:rsid w:val="00902E76"/>
    <w:rsid w:val="00902F9F"/>
    <w:rsid w:val="00903148"/>
    <w:rsid w:val="009031B3"/>
    <w:rsid w:val="009032C1"/>
    <w:rsid w:val="009034A9"/>
    <w:rsid w:val="009037F8"/>
    <w:rsid w:val="00903804"/>
    <w:rsid w:val="009039C7"/>
    <w:rsid w:val="00903EA4"/>
    <w:rsid w:val="00903F28"/>
    <w:rsid w:val="00903F45"/>
    <w:rsid w:val="00904067"/>
    <w:rsid w:val="00904284"/>
    <w:rsid w:val="009043FD"/>
    <w:rsid w:val="009044F8"/>
    <w:rsid w:val="00904B42"/>
    <w:rsid w:val="00904EF5"/>
    <w:rsid w:val="00905012"/>
    <w:rsid w:val="009050A9"/>
    <w:rsid w:val="009050B9"/>
    <w:rsid w:val="009050F3"/>
    <w:rsid w:val="00905191"/>
    <w:rsid w:val="0090519D"/>
    <w:rsid w:val="0090528B"/>
    <w:rsid w:val="009052BE"/>
    <w:rsid w:val="00905303"/>
    <w:rsid w:val="0090539E"/>
    <w:rsid w:val="00905BCD"/>
    <w:rsid w:val="00905C42"/>
    <w:rsid w:val="00905CC8"/>
    <w:rsid w:val="00905E4A"/>
    <w:rsid w:val="00905EA4"/>
    <w:rsid w:val="00905F2B"/>
    <w:rsid w:val="00905FDD"/>
    <w:rsid w:val="009064A9"/>
    <w:rsid w:val="009064FA"/>
    <w:rsid w:val="0090666A"/>
    <w:rsid w:val="009067C9"/>
    <w:rsid w:val="00906821"/>
    <w:rsid w:val="00906BD2"/>
    <w:rsid w:val="00906E88"/>
    <w:rsid w:val="0090725F"/>
    <w:rsid w:val="009072B0"/>
    <w:rsid w:val="0090758A"/>
    <w:rsid w:val="009075CD"/>
    <w:rsid w:val="00907674"/>
    <w:rsid w:val="0090783B"/>
    <w:rsid w:val="00907E03"/>
    <w:rsid w:val="0091000D"/>
    <w:rsid w:val="00910086"/>
    <w:rsid w:val="0091016E"/>
    <w:rsid w:val="009105F5"/>
    <w:rsid w:val="0091065F"/>
    <w:rsid w:val="009107F5"/>
    <w:rsid w:val="0091089C"/>
    <w:rsid w:val="00910A3A"/>
    <w:rsid w:val="00910A56"/>
    <w:rsid w:val="00910B4E"/>
    <w:rsid w:val="00910BC3"/>
    <w:rsid w:val="00910BEA"/>
    <w:rsid w:val="00910C2D"/>
    <w:rsid w:val="009112E9"/>
    <w:rsid w:val="0091157E"/>
    <w:rsid w:val="0091175C"/>
    <w:rsid w:val="009118C7"/>
    <w:rsid w:val="009119B4"/>
    <w:rsid w:val="00911C6D"/>
    <w:rsid w:val="00911CB2"/>
    <w:rsid w:val="00911E43"/>
    <w:rsid w:val="00912057"/>
    <w:rsid w:val="00912087"/>
    <w:rsid w:val="00912278"/>
    <w:rsid w:val="009122BD"/>
    <w:rsid w:val="00912366"/>
    <w:rsid w:val="009124F6"/>
    <w:rsid w:val="00912580"/>
    <w:rsid w:val="009125CF"/>
    <w:rsid w:val="009127EE"/>
    <w:rsid w:val="00912855"/>
    <w:rsid w:val="0091287B"/>
    <w:rsid w:val="009128C6"/>
    <w:rsid w:val="009128E7"/>
    <w:rsid w:val="009128F5"/>
    <w:rsid w:val="009128FE"/>
    <w:rsid w:val="0091295F"/>
    <w:rsid w:val="00912986"/>
    <w:rsid w:val="009129C3"/>
    <w:rsid w:val="00912A3F"/>
    <w:rsid w:val="00912DAB"/>
    <w:rsid w:val="00912E63"/>
    <w:rsid w:val="00912F36"/>
    <w:rsid w:val="00913055"/>
    <w:rsid w:val="00913282"/>
    <w:rsid w:val="00913A90"/>
    <w:rsid w:val="00913A96"/>
    <w:rsid w:val="00913B6D"/>
    <w:rsid w:val="00913B89"/>
    <w:rsid w:val="00913CBF"/>
    <w:rsid w:val="00913CF8"/>
    <w:rsid w:val="00913D9A"/>
    <w:rsid w:val="00914427"/>
    <w:rsid w:val="0091443A"/>
    <w:rsid w:val="00914442"/>
    <w:rsid w:val="0091472A"/>
    <w:rsid w:val="00914B48"/>
    <w:rsid w:val="00914B87"/>
    <w:rsid w:val="00914D4F"/>
    <w:rsid w:val="00914D80"/>
    <w:rsid w:val="0091500E"/>
    <w:rsid w:val="00915090"/>
    <w:rsid w:val="00915252"/>
    <w:rsid w:val="009153BF"/>
    <w:rsid w:val="00915535"/>
    <w:rsid w:val="00915673"/>
    <w:rsid w:val="00915B4C"/>
    <w:rsid w:val="00915F29"/>
    <w:rsid w:val="00916049"/>
    <w:rsid w:val="00916223"/>
    <w:rsid w:val="00916815"/>
    <w:rsid w:val="00916ACB"/>
    <w:rsid w:val="00916D07"/>
    <w:rsid w:val="009170FA"/>
    <w:rsid w:val="00917103"/>
    <w:rsid w:val="009176A6"/>
    <w:rsid w:val="0091791B"/>
    <w:rsid w:val="00917BC8"/>
    <w:rsid w:val="00917BE8"/>
    <w:rsid w:val="00917C74"/>
    <w:rsid w:val="00917F20"/>
    <w:rsid w:val="00917FCC"/>
    <w:rsid w:val="00920150"/>
    <w:rsid w:val="00920278"/>
    <w:rsid w:val="00920477"/>
    <w:rsid w:val="00920679"/>
    <w:rsid w:val="009207CE"/>
    <w:rsid w:val="00920A6C"/>
    <w:rsid w:val="00920F26"/>
    <w:rsid w:val="0092106A"/>
    <w:rsid w:val="0092144C"/>
    <w:rsid w:val="00921669"/>
    <w:rsid w:val="0092185A"/>
    <w:rsid w:val="00921926"/>
    <w:rsid w:val="0092192D"/>
    <w:rsid w:val="00921EA3"/>
    <w:rsid w:val="00922082"/>
    <w:rsid w:val="009222A9"/>
    <w:rsid w:val="009223EE"/>
    <w:rsid w:val="00922573"/>
    <w:rsid w:val="00922A6C"/>
    <w:rsid w:val="00922C25"/>
    <w:rsid w:val="00922D2A"/>
    <w:rsid w:val="00922EFA"/>
    <w:rsid w:val="0092329D"/>
    <w:rsid w:val="009236A3"/>
    <w:rsid w:val="0092392F"/>
    <w:rsid w:val="00923A20"/>
    <w:rsid w:val="00923BC4"/>
    <w:rsid w:val="00923E73"/>
    <w:rsid w:val="00924235"/>
    <w:rsid w:val="0092479A"/>
    <w:rsid w:val="009248BC"/>
    <w:rsid w:val="00924935"/>
    <w:rsid w:val="00924A4B"/>
    <w:rsid w:val="00924A80"/>
    <w:rsid w:val="00924D9D"/>
    <w:rsid w:val="009251A8"/>
    <w:rsid w:val="009252AF"/>
    <w:rsid w:val="00925369"/>
    <w:rsid w:val="0092545B"/>
    <w:rsid w:val="00925715"/>
    <w:rsid w:val="0092573A"/>
    <w:rsid w:val="009257A8"/>
    <w:rsid w:val="00925943"/>
    <w:rsid w:val="00925967"/>
    <w:rsid w:val="00925A1F"/>
    <w:rsid w:val="00925DA6"/>
    <w:rsid w:val="00925E05"/>
    <w:rsid w:val="00925F67"/>
    <w:rsid w:val="00925FDB"/>
    <w:rsid w:val="00925FE0"/>
    <w:rsid w:val="009260EE"/>
    <w:rsid w:val="00926126"/>
    <w:rsid w:val="00926152"/>
    <w:rsid w:val="00926233"/>
    <w:rsid w:val="009262EB"/>
    <w:rsid w:val="0092647B"/>
    <w:rsid w:val="009265B4"/>
    <w:rsid w:val="009266F8"/>
    <w:rsid w:val="00926A0D"/>
    <w:rsid w:val="00926B9B"/>
    <w:rsid w:val="00926C44"/>
    <w:rsid w:val="00926E16"/>
    <w:rsid w:val="009270BB"/>
    <w:rsid w:val="0092717F"/>
    <w:rsid w:val="00927456"/>
    <w:rsid w:val="0092753B"/>
    <w:rsid w:val="00927934"/>
    <w:rsid w:val="00927AEF"/>
    <w:rsid w:val="009300CC"/>
    <w:rsid w:val="009301BD"/>
    <w:rsid w:val="009304DE"/>
    <w:rsid w:val="009305D2"/>
    <w:rsid w:val="0093071D"/>
    <w:rsid w:val="00930CA0"/>
    <w:rsid w:val="00930F33"/>
    <w:rsid w:val="00930F85"/>
    <w:rsid w:val="0093106C"/>
    <w:rsid w:val="009312F5"/>
    <w:rsid w:val="009314A6"/>
    <w:rsid w:val="00931768"/>
    <w:rsid w:val="00931931"/>
    <w:rsid w:val="00931B16"/>
    <w:rsid w:val="00931BB1"/>
    <w:rsid w:val="00931CED"/>
    <w:rsid w:val="00931FC3"/>
    <w:rsid w:val="00932468"/>
    <w:rsid w:val="00932585"/>
    <w:rsid w:val="0093287A"/>
    <w:rsid w:val="00932966"/>
    <w:rsid w:val="009329BF"/>
    <w:rsid w:val="00932BF9"/>
    <w:rsid w:val="00932D6E"/>
    <w:rsid w:val="0093358F"/>
    <w:rsid w:val="009336B8"/>
    <w:rsid w:val="00933744"/>
    <w:rsid w:val="009339AD"/>
    <w:rsid w:val="00933A86"/>
    <w:rsid w:val="00933B46"/>
    <w:rsid w:val="00933B94"/>
    <w:rsid w:val="00933F0B"/>
    <w:rsid w:val="00933FB3"/>
    <w:rsid w:val="009341D3"/>
    <w:rsid w:val="00934736"/>
    <w:rsid w:val="009348BA"/>
    <w:rsid w:val="00934D1B"/>
    <w:rsid w:val="00934F88"/>
    <w:rsid w:val="00935346"/>
    <w:rsid w:val="0093577E"/>
    <w:rsid w:val="00935802"/>
    <w:rsid w:val="0093594F"/>
    <w:rsid w:val="009359E5"/>
    <w:rsid w:val="00935D32"/>
    <w:rsid w:val="00935D4F"/>
    <w:rsid w:val="00935EC0"/>
    <w:rsid w:val="00935FDD"/>
    <w:rsid w:val="0093614B"/>
    <w:rsid w:val="009361D9"/>
    <w:rsid w:val="00936253"/>
    <w:rsid w:val="009362E0"/>
    <w:rsid w:val="009362E6"/>
    <w:rsid w:val="00936520"/>
    <w:rsid w:val="00936593"/>
    <w:rsid w:val="00936846"/>
    <w:rsid w:val="00936BF6"/>
    <w:rsid w:val="00936CBD"/>
    <w:rsid w:val="00936CE1"/>
    <w:rsid w:val="00936D31"/>
    <w:rsid w:val="00936D76"/>
    <w:rsid w:val="00936D96"/>
    <w:rsid w:val="00936E7B"/>
    <w:rsid w:val="00936F0B"/>
    <w:rsid w:val="00937101"/>
    <w:rsid w:val="00937115"/>
    <w:rsid w:val="009371BE"/>
    <w:rsid w:val="00937448"/>
    <w:rsid w:val="00937603"/>
    <w:rsid w:val="00937C4E"/>
    <w:rsid w:val="00937F6E"/>
    <w:rsid w:val="00940154"/>
    <w:rsid w:val="00940172"/>
    <w:rsid w:val="0094029F"/>
    <w:rsid w:val="009406E6"/>
    <w:rsid w:val="0094085F"/>
    <w:rsid w:val="00940A1C"/>
    <w:rsid w:val="00940B02"/>
    <w:rsid w:val="00940CAE"/>
    <w:rsid w:val="00940CF0"/>
    <w:rsid w:val="00941026"/>
    <w:rsid w:val="00941138"/>
    <w:rsid w:val="0094124F"/>
    <w:rsid w:val="0094166F"/>
    <w:rsid w:val="0094167E"/>
    <w:rsid w:val="00941C09"/>
    <w:rsid w:val="00941D93"/>
    <w:rsid w:val="00941FFB"/>
    <w:rsid w:val="00942189"/>
    <w:rsid w:val="00942233"/>
    <w:rsid w:val="00942421"/>
    <w:rsid w:val="009426AF"/>
    <w:rsid w:val="009427F1"/>
    <w:rsid w:val="00942865"/>
    <w:rsid w:val="00942A0B"/>
    <w:rsid w:val="00942EFB"/>
    <w:rsid w:val="0094306F"/>
    <w:rsid w:val="00943217"/>
    <w:rsid w:val="009434EE"/>
    <w:rsid w:val="00943623"/>
    <w:rsid w:val="00943B56"/>
    <w:rsid w:val="00943B79"/>
    <w:rsid w:val="00943C97"/>
    <w:rsid w:val="00944165"/>
    <w:rsid w:val="0094420F"/>
    <w:rsid w:val="0094425C"/>
    <w:rsid w:val="009446B7"/>
    <w:rsid w:val="009446BD"/>
    <w:rsid w:val="0094481E"/>
    <w:rsid w:val="00944BC0"/>
    <w:rsid w:val="00944CA7"/>
    <w:rsid w:val="00944EA1"/>
    <w:rsid w:val="0094514B"/>
    <w:rsid w:val="00945157"/>
    <w:rsid w:val="0094571D"/>
    <w:rsid w:val="00945963"/>
    <w:rsid w:val="00945A05"/>
    <w:rsid w:val="00945DC1"/>
    <w:rsid w:val="00945F38"/>
    <w:rsid w:val="00946010"/>
    <w:rsid w:val="0094663B"/>
    <w:rsid w:val="00946A27"/>
    <w:rsid w:val="00946E50"/>
    <w:rsid w:val="00946F59"/>
    <w:rsid w:val="00946F65"/>
    <w:rsid w:val="00946FD9"/>
    <w:rsid w:val="0094711D"/>
    <w:rsid w:val="00947135"/>
    <w:rsid w:val="009473BC"/>
    <w:rsid w:val="00947739"/>
    <w:rsid w:val="00947847"/>
    <w:rsid w:val="009478C3"/>
    <w:rsid w:val="00947ACA"/>
    <w:rsid w:val="00947DA5"/>
    <w:rsid w:val="00947F8E"/>
    <w:rsid w:val="009500BF"/>
    <w:rsid w:val="0095029B"/>
    <w:rsid w:val="00950455"/>
    <w:rsid w:val="00950620"/>
    <w:rsid w:val="0095067A"/>
    <w:rsid w:val="0095070E"/>
    <w:rsid w:val="0095092A"/>
    <w:rsid w:val="00950B8D"/>
    <w:rsid w:val="00950E76"/>
    <w:rsid w:val="00950FF8"/>
    <w:rsid w:val="009511D7"/>
    <w:rsid w:val="00951233"/>
    <w:rsid w:val="00951252"/>
    <w:rsid w:val="009512CC"/>
    <w:rsid w:val="00951461"/>
    <w:rsid w:val="0095166E"/>
    <w:rsid w:val="00951A88"/>
    <w:rsid w:val="00951CD7"/>
    <w:rsid w:val="00951FF6"/>
    <w:rsid w:val="00952150"/>
    <w:rsid w:val="0095254B"/>
    <w:rsid w:val="0095269C"/>
    <w:rsid w:val="0095295B"/>
    <w:rsid w:val="0095299C"/>
    <w:rsid w:val="00952AC6"/>
    <w:rsid w:val="00952F73"/>
    <w:rsid w:val="0095328D"/>
    <w:rsid w:val="00953376"/>
    <w:rsid w:val="009535C8"/>
    <w:rsid w:val="00953613"/>
    <w:rsid w:val="00953AE2"/>
    <w:rsid w:val="00953D5A"/>
    <w:rsid w:val="00954136"/>
    <w:rsid w:val="00954139"/>
    <w:rsid w:val="0095420A"/>
    <w:rsid w:val="009543FA"/>
    <w:rsid w:val="00954490"/>
    <w:rsid w:val="00954596"/>
    <w:rsid w:val="009549D0"/>
    <w:rsid w:val="00954B45"/>
    <w:rsid w:val="00954BEC"/>
    <w:rsid w:val="00954F06"/>
    <w:rsid w:val="009550B8"/>
    <w:rsid w:val="00955288"/>
    <w:rsid w:val="009553C4"/>
    <w:rsid w:val="00955439"/>
    <w:rsid w:val="00955624"/>
    <w:rsid w:val="0095565C"/>
    <w:rsid w:val="009556A7"/>
    <w:rsid w:val="009557A9"/>
    <w:rsid w:val="009557FB"/>
    <w:rsid w:val="00955928"/>
    <w:rsid w:val="00955944"/>
    <w:rsid w:val="00955A2A"/>
    <w:rsid w:val="00955AF0"/>
    <w:rsid w:val="00955B91"/>
    <w:rsid w:val="00955C2C"/>
    <w:rsid w:val="00955F04"/>
    <w:rsid w:val="00956502"/>
    <w:rsid w:val="009568C0"/>
    <w:rsid w:val="009568C9"/>
    <w:rsid w:val="00956BAE"/>
    <w:rsid w:val="00956DE6"/>
    <w:rsid w:val="00956F79"/>
    <w:rsid w:val="00956FFC"/>
    <w:rsid w:val="009573AB"/>
    <w:rsid w:val="00957471"/>
    <w:rsid w:val="009577F2"/>
    <w:rsid w:val="00957833"/>
    <w:rsid w:val="00957865"/>
    <w:rsid w:val="0096014D"/>
    <w:rsid w:val="0096015F"/>
    <w:rsid w:val="009603D1"/>
    <w:rsid w:val="009603DB"/>
    <w:rsid w:val="009603F3"/>
    <w:rsid w:val="0096041D"/>
    <w:rsid w:val="009608E0"/>
    <w:rsid w:val="00960A93"/>
    <w:rsid w:val="00960BE0"/>
    <w:rsid w:val="00960BFB"/>
    <w:rsid w:val="00960E45"/>
    <w:rsid w:val="00961071"/>
    <w:rsid w:val="009610CF"/>
    <w:rsid w:val="00961234"/>
    <w:rsid w:val="009613B4"/>
    <w:rsid w:val="009616B3"/>
    <w:rsid w:val="00961753"/>
    <w:rsid w:val="00961B65"/>
    <w:rsid w:val="00961C55"/>
    <w:rsid w:val="00961D09"/>
    <w:rsid w:val="00961F65"/>
    <w:rsid w:val="00961F8B"/>
    <w:rsid w:val="0096210C"/>
    <w:rsid w:val="00962131"/>
    <w:rsid w:val="009621FD"/>
    <w:rsid w:val="0096238D"/>
    <w:rsid w:val="009623D6"/>
    <w:rsid w:val="0096267A"/>
    <w:rsid w:val="00962971"/>
    <w:rsid w:val="009629A5"/>
    <w:rsid w:val="009629DB"/>
    <w:rsid w:val="00962AB9"/>
    <w:rsid w:val="00962B02"/>
    <w:rsid w:val="00962F1E"/>
    <w:rsid w:val="00963132"/>
    <w:rsid w:val="00963373"/>
    <w:rsid w:val="009635EC"/>
    <w:rsid w:val="0096367A"/>
    <w:rsid w:val="00963700"/>
    <w:rsid w:val="0096370E"/>
    <w:rsid w:val="009637F7"/>
    <w:rsid w:val="009638BA"/>
    <w:rsid w:val="009639B9"/>
    <w:rsid w:val="00963A3C"/>
    <w:rsid w:val="00963DC8"/>
    <w:rsid w:val="00963DCC"/>
    <w:rsid w:val="009640A0"/>
    <w:rsid w:val="009640BB"/>
    <w:rsid w:val="009640E4"/>
    <w:rsid w:val="009644AE"/>
    <w:rsid w:val="00964764"/>
    <w:rsid w:val="00964AD7"/>
    <w:rsid w:val="00964D32"/>
    <w:rsid w:val="00964E7F"/>
    <w:rsid w:val="00964F93"/>
    <w:rsid w:val="0096545F"/>
    <w:rsid w:val="009658B6"/>
    <w:rsid w:val="00965969"/>
    <w:rsid w:val="00965B9A"/>
    <w:rsid w:val="00965CFA"/>
    <w:rsid w:val="00965D16"/>
    <w:rsid w:val="00965FCF"/>
    <w:rsid w:val="009660FE"/>
    <w:rsid w:val="009662F3"/>
    <w:rsid w:val="009665E9"/>
    <w:rsid w:val="00966920"/>
    <w:rsid w:val="00966C14"/>
    <w:rsid w:val="00966F3F"/>
    <w:rsid w:val="00966F82"/>
    <w:rsid w:val="00967078"/>
    <w:rsid w:val="00967131"/>
    <w:rsid w:val="00967172"/>
    <w:rsid w:val="009672F3"/>
    <w:rsid w:val="00967394"/>
    <w:rsid w:val="0096746A"/>
    <w:rsid w:val="009674DF"/>
    <w:rsid w:val="00967521"/>
    <w:rsid w:val="0096756B"/>
    <w:rsid w:val="00967DE5"/>
    <w:rsid w:val="00967F30"/>
    <w:rsid w:val="009703D0"/>
    <w:rsid w:val="00970574"/>
    <w:rsid w:val="00970782"/>
    <w:rsid w:val="00970821"/>
    <w:rsid w:val="00970BBE"/>
    <w:rsid w:val="00970C8D"/>
    <w:rsid w:val="00970D3A"/>
    <w:rsid w:val="00970FAA"/>
    <w:rsid w:val="00970FB9"/>
    <w:rsid w:val="00971113"/>
    <w:rsid w:val="009711C2"/>
    <w:rsid w:val="0097129F"/>
    <w:rsid w:val="0097142F"/>
    <w:rsid w:val="00971441"/>
    <w:rsid w:val="00971572"/>
    <w:rsid w:val="00971670"/>
    <w:rsid w:val="00971B59"/>
    <w:rsid w:val="00971BC4"/>
    <w:rsid w:val="00971C5D"/>
    <w:rsid w:val="00971DDD"/>
    <w:rsid w:val="009725AE"/>
    <w:rsid w:val="009725DC"/>
    <w:rsid w:val="009725FF"/>
    <w:rsid w:val="00972649"/>
    <w:rsid w:val="009726F5"/>
    <w:rsid w:val="00972789"/>
    <w:rsid w:val="009727B0"/>
    <w:rsid w:val="00972B47"/>
    <w:rsid w:val="00972C02"/>
    <w:rsid w:val="00972F1D"/>
    <w:rsid w:val="00973024"/>
    <w:rsid w:val="00973049"/>
    <w:rsid w:val="009731E4"/>
    <w:rsid w:val="0097335C"/>
    <w:rsid w:val="009733D8"/>
    <w:rsid w:val="00973546"/>
    <w:rsid w:val="009736CE"/>
    <w:rsid w:val="00973C24"/>
    <w:rsid w:val="00973C53"/>
    <w:rsid w:val="00973D1A"/>
    <w:rsid w:val="00973E1E"/>
    <w:rsid w:val="0097431F"/>
    <w:rsid w:val="00974431"/>
    <w:rsid w:val="0097460E"/>
    <w:rsid w:val="009746AE"/>
    <w:rsid w:val="00974859"/>
    <w:rsid w:val="00974B31"/>
    <w:rsid w:val="00974BA1"/>
    <w:rsid w:val="00974BA7"/>
    <w:rsid w:val="00974D05"/>
    <w:rsid w:val="00974D2F"/>
    <w:rsid w:val="00975224"/>
    <w:rsid w:val="009756CF"/>
    <w:rsid w:val="009757CD"/>
    <w:rsid w:val="00975D2D"/>
    <w:rsid w:val="00975D5A"/>
    <w:rsid w:val="00975E7F"/>
    <w:rsid w:val="00975EB4"/>
    <w:rsid w:val="00975F3E"/>
    <w:rsid w:val="00976754"/>
    <w:rsid w:val="00976986"/>
    <w:rsid w:val="00976AB9"/>
    <w:rsid w:val="00976D89"/>
    <w:rsid w:val="00976DF7"/>
    <w:rsid w:val="00976E29"/>
    <w:rsid w:val="009771AE"/>
    <w:rsid w:val="0097723E"/>
    <w:rsid w:val="009775C9"/>
    <w:rsid w:val="00977664"/>
    <w:rsid w:val="00977716"/>
    <w:rsid w:val="00977BBE"/>
    <w:rsid w:val="00977D4D"/>
    <w:rsid w:val="00977F1B"/>
    <w:rsid w:val="009801DF"/>
    <w:rsid w:val="00980345"/>
    <w:rsid w:val="00980408"/>
    <w:rsid w:val="00980472"/>
    <w:rsid w:val="00980597"/>
    <w:rsid w:val="00980958"/>
    <w:rsid w:val="009809A2"/>
    <w:rsid w:val="00980A2B"/>
    <w:rsid w:val="00980B80"/>
    <w:rsid w:val="00980C26"/>
    <w:rsid w:val="00980C84"/>
    <w:rsid w:val="00980DD8"/>
    <w:rsid w:val="0098135F"/>
    <w:rsid w:val="009814DC"/>
    <w:rsid w:val="009815C0"/>
    <w:rsid w:val="00981613"/>
    <w:rsid w:val="0098187C"/>
    <w:rsid w:val="00982057"/>
    <w:rsid w:val="009821FA"/>
    <w:rsid w:val="00982564"/>
    <w:rsid w:val="009826BA"/>
    <w:rsid w:val="00982A57"/>
    <w:rsid w:val="00982B71"/>
    <w:rsid w:val="00982CC8"/>
    <w:rsid w:val="00983293"/>
    <w:rsid w:val="00983496"/>
    <w:rsid w:val="009835BB"/>
    <w:rsid w:val="009836EF"/>
    <w:rsid w:val="00983A47"/>
    <w:rsid w:val="00983B11"/>
    <w:rsid w:val="00983ED4"/>
    <w:rsid w:val="009840AB"/>
    <w:rsid w:val="00984256"/>
    <w:rsid w:val="009842D4"/>
    <w:rsid w:val="009844A9"/>
    <w:rsid w:val="0098467D"/>
    <w:rsid w:val="00984692"/>
    <w:rsid w:val="0098472E"/>
    <w:rsid w:val="009848AD"/>
    <w:rsid w:val="00984E19"/>
    <w:rsid w:val="00984FDC"/>
    <w:rsid w:val="009854CD"/>
    <w:rsid w:val="00985628"/>
    <w:rsid w:val="00985857"/>
    <w:rsid w:val="009858D3"/>
    <w:rsid w:val="00985ABA"/>
    <w:rsid w:val="00985BEB"/>
    <w:rsid w:val="00985E14"/>
    <w:rsid w:val="00985E82"/>
    <w:rsid w:val="00985F74"/>
    <w:rsid w:val="00986164"/>
    <w:rsid w:val="00986218"/>
    <w:rsid w:val="0098644A"/>
    <w:rsid w:val="009866C7"/>
    <w:rsid w:val="00986820"/>
    <w:rsid w:val="00986CDC"/>
    <w:rsid w:val="009870A5"/>
    <w:rsid w:val="009870FB"/>
    <w:rsid w:val="00987153"/>
    <w:rsid w:val="0098740B"/>
    <w:rsid w:val="009876B2"/>
    <w:rsid w:val="0098795F"/>
    <w:rsid w:val="00987C04"/>
    <w:rsid w:val="00987C68"/>
    <w:rsid w:val="00987E8E"/>
    <w:rsid w:val="0099009D"/>
    <w:rsid w:val="009900B1"/>
    <w:rsid w:val="00990295"/>
    <w:rsid w:val="009902C8"/>
    <w:rsid w:val="009903D3"/>
    <w:rsid w:val="009907BB"/>
    <w:rsid w:val="00990888"/>
    <w:rsid w:val="009908D4"/>
    <w:rsid w:val="00990A05"/>
    <w:rsid w:val="00990A5F"/>
    <w:rsid w:val="00990CA0"/>
    <w:rsid w:val="00990EE5"/>
    <w:rsid w:val="00990F73"/>
    <w:rsid w:val="00991157"/>
    <w:rsid w:val="009914C0"/>
    <w:rsid w:val="009914EA"/>
    <w:rsid w:val="009916A3"/>
    <w:rsid w:val="009916D9"/>
    <w:rsid w:val="00991891"/>
    <w:rsid w:val="00991C30"/>
    <w:rsid w:val="00991D2A"/>
    <w:rsid w:val="00991DB4"/>
    <w:rsid w:val="0099214D"/>
    <w:rsid w:val="00992367"/>
    <w:rsid w:val="009923DB"/>
    <w:rsid w:val="00992433"/>
    <w:rsid w:val="0099247C"/>
    <w:rsid w:val="00992686"/>
    <w:rsid w:val="009926A0"/>
    <w:rsid w:val="00992848"/>
    <w:rsid w:val="0099286A"/>
    <w:rsid w:val="00992A33"/>
    <w:rsid w:val="00992AA8"/>
    <w:rsid w:val="00992E27"/>
    <w:rsid w:val="00992F93"/>
    <w:rsid w:val="009932D9"/>
    <w:rsid w:val="00993321"/>
    <w:rsid w:val="00993593"/>
    <w:rsid w:val="009936A9"/>
    <w:rsid w:val="009936EE"/>
    <w:rsid w:val="009937C0"/>
    <w:rsid w:val="00993A6D"/>
    <w:rsid w:val="00993BB0"/>
    <w:rsid w:val="00993C28"/>
    <w:rsid w:val="009943EC"/>
    <w:rsid w:val="00994852"/>
    <w:rsid w:val="00994942"/>
    <w:rsid w:val="00994BAB"/>
    <w:rsid w:val="00994D52"/>
    <w:rsid w:val="00994D5B"/>
    <w:rsid w:val="009951FA"/>
    <w:rsid w:val="009954EA"/>
    <w:rsid w:val="0099560C"/>
    <w:rsid w:val="00995671"/>
    <w:rsid w:val="00995CBE"/>
    <w:rsid w:val="00995D3E"/>
    <w:rsid w:val="00995E72"/>
    <w:rsid w:val="00995FA0"/>
    <w:rsid w:val="00995FE7"/>
    <w:rsid w:val="009960A3"/>
    <w:rsid w:val="009960E4"/>
    <w:rsid w:val="0099618C"/>
    <w:rsid w:val="009961B1"/>
    <w:rsid w:val="009961B8"/>
    <w:rsid w:val="00996307"/>
    <w:rsid w:val="00996435"/>
    <w:rsid w:val="00996773"/>
    <w:rsid w:val="009967CE"/>
    <w:rsid w:val="00996871"/>
    <w:rsid w:val="009968E3"/>
    <w:rsid w:val="00996B8D"/>
    <w:rsid w:val="00996D4E"/>
    <w:rsid w:val="00996FC6"/>
    <w:rsid w:val="0099709E"/>
    <w:rsid w:val="00997308"/>
    <w:rsid w:val="0099738E"/>
    <w:rsid w:val="0099742E"/>
    <w:rsid w:val="0099776D"/>
    <w:rsid w:val="00997847"/>
    <w:rsid w:val="00997ABB"/>
    <w:rsid w:val="00997B33"/>
    <w:rsid w:val="00997CD4"/>
    <w:rsid w:val="00997E7A"/>
    <w:rsid w:val="00997ED1"/>
    <w:rsid w:val="009A01F8"/>
    <w:rsid w:val="009A03BE"/>
    <w:rsid w:val="009A03CD"/>
    <w:rsid w:val="009A05AC"/>
    <w:rsid w:val="009A0734"/>
    <w:rsid w:val="009A088B"/>
    <w:rsid w:val="009A099E"/>
    <w:rsid w:val="009A0DA5"/>
    <w:rsid w:val="009A0F50"/>
    <w:rsid w:val="009A0F61"/>
    <w:rsid w:val="009A0FF1"/>
    <w:rsid w:val="009A1037"/>
    <w:rsid w:val="009A1096"/>
    <w:rsid w:val="009A1208"/>
    <w:rsid w:val="009A129B"/>
    <w:rsid w:val="009A12AA"/>
    <w:rsid w:val="009A1331"/>
    <w:rsid w:val="009A13D5"/>
    <w:rsid w:val="009A16E1"/>
    <w:rsid w:val="009A1730"/>
    <w:rsid w:val="009A17D7"/>
    <w:rsid w:val="009A1CFE"/>
    <w:rsid w:val="009A1D9C"/>
    <w:rsid w:val="009A20E0"/>
    <w:rsid w:val="009A226E"/>
    <w:rsid w:val="009A2383"/>
    <w:rsid w:val="009A24DF"/>
    <w:rsid w:val="009A272E"/>
    <w:rsid w:val="009A2A71"/>
    <w:rsid w:val="009A2ACE"/>
    <w:rsid w:val="009A2B73"/>
    <w:rsid w:val="009A2DC9"/>
    <w:rsid w:val="009A2DDF"/>
    <w:rsid w:val="009A2E3A"/>
    <w:rsid w:val="009A325C"/>
    <w:rsid w:val="009A358E"/>
    <w:rsid w:val="009A35B7"/>
    <w:rsid w:val="009A3750"/>
    <w:rsid w:val="009A3782"/>
    <w:rsid w:val="009A3829"/>
    <w:rsid w:val="009A39A6"/>
    <w:rsid w:val="009A4066"/>
    <w:rsid w:val="009A406E"/>
    <w:rsid w:val="009A4114"/>
    <w:rsid w:val="009A44C1"/>
    <w:rsid w:val="009A46E8"/>
    <w:rsid w:val="009A48C7"/>
    <w:rsid w:val="009A4D6F"/>
    <w:rsid w:val="009A4DB3"/>
    <w:rsid w:val="009A4E59"/>
    <w:rsid w:val="009A527A"/>
    <w:rsid w:val="009A5287"/>
    <w:rsid w:val="009A55EA"/>
    <w:rsid w:val="009A5615"/>
    <w:rsid w:val="009A5715"/>
    <w:rsid w:val="009A583D"/>
    <w:rsid w:val="009A58F3"/>
    <w:rsid w:val="009A5B2A"/>
    <w:rsid w:val="009A6308"/>
    <w:rsid w:val="009A63A0"/>
    <w:rsid w:val="009A650F"/>
    <w:rsid w:val="009A66E5"/>
    <w:rsid w:val="009A68FC"/>
    <w:rsid w:val="009A6A6F"/>
    <w:rsid w:val="009A6F0B"/>
    <w:rsid w:val="009A6FC8"/>
    <w:rsid w:val="009A7155"/>
    <w:rsid w:val="009A71E2"/>
    <w:rsid w:val="009A7238"/>
    <w:rsid w:val="009A738F"/>
    <w:rsid w:val="009A7392"/>
    <w:rsid w:val="009A7BB0"/>
    <w:rsid w:val="009A7C32"/>
    <w:rsid w:val="009A7D83"/>
    <w:rsid w:val="009B0215"/>
    <w:rsid w:val="009B0363"/>
    <w:rsid w:val="009B03FA"/>
    <w:rsid w:val="009B04B6"/>
    <w:rsid w:val="009B0771"/>
    <w:rsid w:val="009B087F"/>
    <w:rsid w:val="009B098D"/>
    <w:rsid w:val="009B0B52"/>
    <w:rsid w:val="009B0CB7"/>
    <w:rsid w:val="009B0DB2"/>
    <w:rsid w:val="009B0EB2"/>
    <w:rsid w:val="009B0FB3"/>
    <w:rsid w:val="009B117B"/>
    <w:rsid w:val="009B1345"/>
    <w:rsid w:val="009B1372"/>
    <w:rsid w:val="009B1447"/>
    <w:rsid w:val="009B16F8"/>
    <w:rsid w:val="009B1802"/>
    <w:rsid w:val="009B183A"/>
    <w:rsid w:val="009B190D"/>
    <w:rsid w:val="009B1F21"/>
    <w:rsid w:val="009B1FCA"/>
    <w:rsid w:val="009B205B"/>
    <w:rsid w:val="009B2736"/>
    <w:rsid w:val="009B29AE"/>
    <w:rsid w:val="009B2A36"/>
    <w:rsid w:val="009B2B4C"/>
    <w:rsid w:val="009B2C28"/>
    <w:rsid w:val="009B2D63"/>
    <w:rsid w:val="009B2DBE"/>
    <w:rsid w:val="009B3088"/>
    <w:rsid w:val="009B31D1"/>
    <w:rsid w:val="009B368F"/>
    <w:rsid w:val="009B3690"/>
    <w:rsid w:val="009B39AD"/>
    <w:rsid w:val="009B3BEA"/>
    <w:rsid w:val="009B3C9E"/>
    <w:rsid w:val="009B3D33"/>
    <w:rsid w:val="009B4200"/>
    <w:rsid w:val="009B439E"/>
    <w:rsid w:val="009B4504"/>
    <w:rsid w:val="009B462B"/>
    <w:rsid w:val="009B46AC"/>
    <w:rsid w:val="009B4910"/>
    <w:rsid w:val="009B49BB"/>
    <w:rsid w:val="009B4AC7"/>
    <w:rsid w:val="009B4B95"/>
    <w:rsid w:val="009B4CCE"/>
    <w:rsid w:val="009B50F5"/>
    <w:rsid w:val="009B5100"/>
    <w:rsid w:val="009B541B"/>
    <w:rsid w:val="009B571C"/>
    <w:rsid w:val="009B5722"/>
    <w:rsid w:val="009B587F"/>
    <w:rsid w:val="009B5A81"/>
    <w:rsid w:val="009B5C9E"/>
    <w:rsid w:val="009B5EBD"/>
    <w:rsid w:val="009B5F27"/>
    <w:rsid w:val="009B5F75"/>
    <w:rsid w:val="009B5FB8"/>
    <w:rsid w:val="009B63AA"/>
    <w:rsid w:val="009B662D"/>
    <w:rsid w:val="009B664A"/>
    <w:rsid w:val="009B6772"/>
    <w:rsid w:val="009B67F3"/>
    <w:rsid w:val="009B6AFE"/>
    <w:rsid w:val="009B6C87"/>
    <w:rsid w:val="009B6C89"/>
    <w:rsid w:val="009B6DCB"/>
    <w:rsid w:val="009B6E49"/>
    <w:rsid w:val="009B6FE1"/>
    <w:rsid w:val="009B70B3"/>
    <w:rsid w:val="009B7330"/>
    <w:rsid w:val="009B7505"/>
    <w:rsid w:val="009B75BD"/>
    <w:rsid w:val="009B7890"/>
    <w:rsid w:val="009B7C11"/>
    <w:rsid w:val="009B7D5D"/>
    <w:rsid w:val="009C077F"/>
    <w:rsid w:val="009C08AA"/>
    <w:rsid w:val="009C08C2"/>
    <w:rsid w:val="009C0A38"/>
    <w:rsid w:val="009C0B4B"/>
    <w:rsid w:val="009C0C34"/>
    <w:rsid w:val="009C0DDB"/>
    <w:rsid w:val="009C0E3F"/>
    <w:rsid w:val="009C0FBF"/>
    <w:rsid w:val="009C0FD8"/>
    <w:rsid w:val="009C109E"/>
    <w:rsid w:val="009C1442"/>
    <w:rsid w:val="009C166B"/>
    <w:rsid w:val="009C1801"/>
    <w:rsid w:val="009C18C8"/>
    <w:rsid w:val="009C1966"/>
    <w:rsid w:val="009C1C04"/>
    <w:rsid w:val="009C1CE2"/>
    <w:rsid w:val="009C1D89"/>
    <w:rsid w:val="009C1E66"/>
    <w:rsid w:val="009C1EB3"/>
    <w:rsid w:val="009C1F2C"/>
    <w:rsid w:val="009C23F3"/>
    <w:rsid w:val="009C240C"/>
    <w:rsid w:val="009C2479"/>
    <w:rsid w:val="009C24F9"/>
    <w:rsid w:val="009C2560"/>
    <w:rsid w:val="009C260B"/>
    <w:rsid w:val="009C2806"/>
    <w:rsid w:val="009C2992"/>
    <w:rsid w:val="009C2A40"/>
    <w:rsid w:val="009C2A4F"/>
    <w:rsid w:val="009C2A84"/>
    <w:rsid w:val="009C2C14"/>
    <w:rsid w:val="009C300E"/>
    <w:rsid w:val="009C3027"/>
    <w:rsid w:val="009C31EC"/>
    <w:rsid w:val="009C325B"/>
    <w:rsid w:val="009C37D9"/>
    <w:rsid w:val="009C3D38"/>
    <w:rsid w:val="009C3D44"/>
    <w:rsid w:val="009C3DA0"/>
    <w:rsid w:val="009C4234"/>
    <w:rsid w:val="009C4345"/>
    <w:rsid w:val="009C493D"/>
    <w:rsid w:val="009C4B3B"/>
    <w:rsid w:val="009C4C8B"/>
    <w:rsid w:val="009C4D41"/>
    <w:rsid w:val="009C4EFB"/>
    <w:rsid w:val="009C4FB3"/>
    <w:rsid w:val="009C50C0"/>
    <w:rsid w:val="009C524C"/>
    <w:rsid w:val="009C5259"/>
    <w:rsid w:val="009C5462"/>
    <w:rsid w:val="009C55C8"/>
    <w:rsid w:val="009C5666"/>
    <w:rsid w:val="009C57F3"/>
    <w:rsid w:val="009C5960"/>
    <w:rsid w:val="009C5C72"/>
    <w:rsid w:val="009C5CB9"/>
    <w:rsid w:val="009C5D5A"/>
    <w:rsid w:val="009C5E17"/>
    <w:rsid w:val="009C6132"/>
    <w:rsid w:val="009C668B"/>
    <w:rsid w:val="009C66EF"/>
    <w:rsid w:val="009C6756"/>
    <w:rsid w:val="009C68AF"/>
    <w:rsid w:val="009C68F0"/>
    <w:rsid w:val="009C6AF0"/>
    <w:rsid w:val="009C6BC1"/>
    <w:rsid w:val="009C6CA8"/>
    <w:rsid w:val="009C6DEA"/>
    <w:rsid w:val="009C71A7"/>
    <w:rsid w:val="009C74E0"/>
    <w:rsid w:val="009C7573"/>
    <w:rsid w:val="009C75CB"/>
    <w:rsid w:val="009C7631"/>
    <w:rsid w:val="009C7B35"/>
    <w:rsid w:val="009C7B90"/>
    <w:rsid w:val="009C7CA0"/>
    <w:rsid w:val="009D01F4"/>
    <w:rsid w:val="009D02E0"/>
    <w:rsid w:val="009D0306"/>
    <w:rsid w:val="009D03B7"/>
    <w:rsid w:val="009D0829"/>
    <w:rsid w:val="009D0C73"/>
    <w:rsid w:val="009D0CBA"/>
    <w:rsid w:val="009D0E05"/>
    <w:rsid w:val="009D0E0F"/>
    <w:rsid w:val="009D0F01"/>
    <w:rsid w:val="009D10A9"/>
    <w:rsid w:val="009D15F6"/>
    <w:rsid w:val="009D1B01"/>
    <w:rsid w:val="009D1CB6"/>
    <w:rsid w:val="009D1EBB"/>
    <w:rsid w:val="009D1F11"/>
    <w:rsid w:val="009D2282"/>
    <w:rsid w:val="009D2514"/>
    <w:rsid w:val="009D2779"/>
    <w:rsid w:val="009D2D49"/>
    <w:rsid w:val="009D2D55"/>
    <w:rsid w:val="009D2F03"/>
    <w:rsid w:val="009D2FB2"/>
    <w:rsid w:val="009D3042"/>
    <w:rsid w:val="009D31C2"/>
    <w:rsid w:val="009D31CC"/>
    <w:rsid w:val="009D33C4"/>
    <w:rsid w:val="009D344C"/>
    <w:rsid w:val="009D3512"/>
    <w:rsid w:val="009D37CF"/>
    <w:rsid w:val="009D3EE1"/>
    <w:rsid w:val="009D4020"/>
    <w:rsid w:val="009D4028"/>
    <w:rsid w:val="009D4152"/>
    <w:rsid w:val="009D423F"/>
    <w:rsid w:val="009D45BE"/>
    <w:rsid w:val="009D4827"/>
    <w:rsid w:val="009D4878"/>
    <w:rsid w:val="009D49AB"/>
    <w:rsid w:val="009D4ABB"/>
    <w:rsid w:val="009D4ACB"/>
    <w:rsid w:val="009D4B61"/>
    <w:rsid w:val="009D4BA4"/>
    <w:rsid w:val="009D4C7E"/>
    <w:rsid w:val="009D578E"/>
    <w:rsid w:val="009D5B3D"/>
    <w:rsid w:val="009D5DFC"/>
    <w:rsid w:val="009D5F98"/>
    <w:rsid w:val="009D622A"/>
    <w:rsid w:val="009D6340"/>
    <w:rsid w:val="009D653A"/>
    <w:rsid w:val="009D6BE9"/>
    <w:rsid w:val="009D6E72"/>
    <w:rsid w:val="009D6ED0"/>
    <w:rsid w:val="009D6F91"/>
    <w:rsid w:val="009D71A0"/>
    <w:rsid w:val="009D733A"/>
    <w:rsid w:val="009D7472"/>
    <w:rsid w:val="009D7530"/>
    <w:rsid w:val="009D7691"/>
    <w:rsid w:val="009D76EA"/>
    <w:rsid w:val="009D76F8"/>
    <w:rsid w:val="009D78F9"/>
    <w:rsid w:val="009D7B56"/>
    <w:rsid w:val="009D7BA4"/>
    <w:rsid w:val="009D7BCD"/>
    <w:rsid w:val="009D7D40"/>
    <w:rsid w:val="009D7DBD"/>
    <w:rsid w:val="009D7E45"/>
    <w:rsid w:val="009D7EB5"/>
    <w:rsid w:val="009E00BF"/>
    <w:rsid w:val="009E00C8"/>
    <w:rsid w:val="009E010F"/>
    <w:rsid w:val="009E05B1"/>
    <w:rsid w:val="009E0865"/>
    <w:rsid w:val="009E0921"/>
    <w:rsid w:val="009E09EC"/>
    <w:rsid w:val="009E0AE9"/>
    <w:rsid w:val="009E0D67"/>
    <w:rsid w:val="009E10F2"/>
    <w:rsid w:val="009E1823"/>
    <w:rsid w:val="009E19E6"/>
    <w:rsid w:val="009E1CFF"/>
    <w:rsid w:val="009E1DDB"/>
    <w:rsid w:val="009E1DEF"/>
    <w:rsid w:val="009E1F83"/>
    <w:rsid w:val="009E1FB2"/>
    <w:rsid w:val="009E21CB"/>
    <w:rsid w:val="009E24E3"/>
    <w:rsid w:val="009E253C"/>
    <w:rsid w:val="009E26CB"/>
    <w:rsid w:val="009E2BFC"/>
    <w:rsid w:val="009E2E69"/>
    <w:rsid w:val="009E2F55"/>
    <w:rsid w:val="009E2FC5"/>
    <w:rsid w:val="009E3033"/>
    <w:rsid w:val="009E31D9"/>
    <w:rsid w:val="009E3492"/>
    <w:rsid w:val="009E37AE"/>
    <w:rsid w:val="009E3AF5"/>
    <w:rsid w:val="009E3DFA"/>
    <w:rsid w:val="009E3F34"/>
    <w:rsid w:val="009E4053"/>
    <w:rsid w:val="009E40CB"/>
    <w:rsid w:val="009E47D1"/>
    <w:rsid w:val="009E4814"/>
    <w:rsid w:val="009E49DD"/>
    <w:rsid w:val="009E4B03"/>
    <w:rsid w:val="009E4B72"/>
    <w:rsid w:val="009E4BCA"/>
    <w:rsid w:val="009E4C8F"/>
    <w:rsid w:val="009E4FA2"/>
    <w:rsid w:val="009E4FA7"/>
    <w:rsid w:val="009E4FD8"/>
    <w:rsid w:val="009E52E2"/>
    <w:rsid w:val="009E541D"/>
    <w:rsid w:val="009E54E2"/>
    <w:rsid w:val="009E5516"/>
    <w:rsid w:val="009E5608"/>
    <w:rsid w:val="009E5821"/>
    <w:rsid w:val="009E5BC0"/>
    <w:rsid w:val="009E5D59"/>
    <w:rsid w:val="009E5E7E"/>
    <w:rsid w:val="009E5EDB"/>
    <w:rsid w:val="009E66B2"/>
    <w:rsid w:val="009E66C5"/>
    <w:rsid w:val="009E68B8"/>
    <w:rsid w:val="009E6C39"/>
    <w:rsid w:val="009E70CC"/>
    <w:rsid w:val="009E7147"/>
    <w:rsid w:val="009E722C"/>
    <w:rsid w:val="009E7440"/>
    <w:rsid w:val="009E764C"/>
    <w:rsid w:val="009E791F"/>
    <w:rsid w:val="009E7CC8"/>
    <w:rsid w:val="009E7EEF"/>
    <w:rsid w:val="009E7F8A"/>
    <w:rsid w:val="009E7FBC"/>
    <w:rsid w:val="009E7FE0"/>
    <w:rsid w:val="009F0006"/>
    <w:rsid w:val="009F003F"/>
    <w:rsid w:val="009F023B"/>
    <w:rsid w:val="009F0B43"/>
    <w:rsid w:val="009F0CD5"/>
    <w:rsid w:val="009F0E62"/>
    <w:rsid w:val="009F0E98"/>
    <w:rsid w:val="009F11FD"/>
    <w:rsid w:val="009F12EB"/>
    <w:rsid w:val="009F158C"/>
    <w:rsid w:val="009F1606"/>
    <w:rsid w:val="009F2010"/>
    <w:rsid w:val="009F238C"/>
    <w:rsid w:val="009F24B9"/>
    <w:rsid w:val="009F2519"/>
    <w:rsid w:val="009F252C"/>
    <w:rsid w:val="009F29C1"/>
    <w:rsid w:val="009F2A3B"/>
    <w:rsid w:val="009F2BFD"/>
    <w:rsid w:val="009F2F09"/>
    <w:rsid w:val="009F3264"/>
    <w:rsid w:val="009F397B"/>
    <w:rsid w:val="009F3F5F"/>
    <w:rsid w:val="009F3F86"/>
    <w:rsid w:val="009F3FCD"/>
    <w:rsid w:val="009F4038"/>
    <w:rsid w:val="009F4A26"/>
    <w:rsid w:val="009F4AFC"/>
    <w:rsid w:val="009F4C16"/>
    <w:rsid w:val="009F4DB3"/>
    <w:rsid w:val="009F4F6D"/>
    <w:rsid w:val="009F50BF"/>
    <w:rsid w:val="009F51B7"/>
    <w:rsid w:val="009F524D"/>
    <w:rsid w:val="009F5295"/>
    <w:rsid w:val="009F5479"/>
    <w:rsid w:val="009F555D"/>
    <w:rsid w:val="009F55B2"/>
    <w:rsid w:val="009F59EB"/>
    <w:rsid w:val="009F5A83"/>
    <w:rsid w:val="009F5C26"/>
    <w:rsid w:val="009F5E5D"/>
    <w:rsid w:val="009F5F35"/>
    <w:rsid w:val="009F605C"/>
    <w:rsid w:val="009F6108"/>
    <w:rsid w:val="009F6246"/>
    <w:rsid w:val="009F6283"/>
    <w:rsid w:val="009F635E"/>
    <w:rsid w:val="009F6783"/>
    <w:rsid w:val="009F6C5E"/>
    <w:rsid w:val="009F7095"/>
    <w:rsid w:val="009F7277"/>
    <w:rsid w:val="009F78BC"/>
    <w:rsid w:val="009F7D4B"/>
    <w:rsid w:val="009F7F6F"/>
    <w:rsid w:val="00A00118"/>
    <w:rsid w:val="00A00259"/>
    <w:rsid w:val="00A00380"/>
    <w:rsid w:val="00A003D0"/>
    <w:rsid w:val="00A004DC"/>
    <w:rsid w:val="00A00588"/>
    <w:rsid w:val="00A006E9"/>
    <w:rsid w:val="00A0098D"/>
    <w:rsid w:val="00A00A11"/>
    <w:rsid w:val="00A00A77"/>
    <w:rsid w:val="00A00B5A"/>
    <w:rsid w:val="00A00DA6"/>
    <w:rsid w:val="00A0103B"/>
    <w:rsid w:val="00A01455"/>
    <w:rsid w:val="00A014BE"/>
    <w:rsid w:val="00A01519"/>
    <w:rsid w:val="00A01537"/>
    <w:rsid w:val="00A01654"/>
    <w:rsid w:val="00A01668"/>
    <w:rsid w:val="00A01AE9"/>
    <w:rsid w:val="00A01C0D"/>
    <w:rsid w:val="00A01EEA"/>
    <w:rsid w:val="00A0207A"/>
    <w:rsid w:val="00A02507"/>
    <w:rsid w:val="00A027ED"/>
    <w:rsid w:val="00A02840"/>
    <w:rsid w:val="00A02C78"/>
    <w:rsid w:val="00A02F5E"/>
    <w:rsid w:val="00A03124"/>
    <w:rsid w:val="00A036A6"/>
    <w:rsid w:val="00A0383C"/>
    <w:rsid w:val="00A0397B"/>
    <w:rsid w:val="00A039E3"/>
    <w:rsid w:val="00A03A0C"/>
    <w:rsid w:val="00A03A92"/>
    <w:rsid w:val="00A03DA6"/>
    <w:rsid w:val="00A03EAE"/>
    <w:rsid w:val="00A03F68"/>
    <w:rsid w:val="00A04033"/>
    <w:rsid w:val="00A0407F"/>
    <w:rsid w:val="00A04170"/>
    <w:rsid w:val="00A051CB"/>
    <w:rsid w:val="00A05347"/>
    <w:rsid w:val="00A0543F"/>
    <w:rsid w:val="00A05463"/>
    <w:rsid w:val="00A05879"/>
    <w:rsid w:val="00A05892"/>
    <w:rsid w:val="00A05EBF"/>
    <w:rsid w:val="00A06038"/>
    <w:rsid w:val="00A0637C"/>
    <w:rsid w:val="00A063DB"/>
    <w:rsid w:val="00A064A2"/>
    <w:rsid w:val="00A068B5"/>
    <w:rsid w:val="00A0699C"/>
    <w:rsid w:val="00A06A56"/>
    <w:rsid w:val="00A06EEC"/>
    <w:rsid w:val="00A070C0"/>
    <w:rsid w:val="00A071D7"/>
    <w:rsid w:val="00A07459"/>
    <w:rsid w:val="00A07550"/>
    <w:rsid w:val="00A07654"/>
    <w:rsid w:val="00A07695"/>
    <w:rsid w:val="00A07CD9"/>
    <w:rsid w:val="00A07DA9"/>
    <w:rsid w:val="00A07FE7"/>
    <w:rsid w:val="00A10089"/>
    <w:rsid w:val="00A101C7"/>
    <w:rsid w:val="00A10217"/>
    <w:rsid w:val="00A10626"/>
    <w:rsid w:val="00A10857"/>
    <w:rsid w:val="00A10C1C"/>
    <w:rsid w:val="00A10C2F"/>
    <w:rsid w:val="00A10DBB"/>
    <w:rsid w:val="00A11247"/>
    <w:rsid w:val="00A1143D"/>
    <w:rsid w:val="00A1148F"/>
    <w:rsid w:val="00A117AE"/>
    <w:rsid w:val="00A11E00"/>
    <w:rsid w:val="00A121A6"/>
    <w:rsid w:val="00A1230C"/>
    <w:rsid w:val="00A12537"/>
    <w:rsid w:val="00A125BC"/>
    <w:rsid w:val="00A125DE"/>
    <w:rsid w:val="00A125E4"/>
    <w:rsid w:val="00A126C6"/>
    <w:rsid w:val="00A129BE"/>
    <w:rsid w:val="00A12AD2"/>
    <w:rsid w:val="00A12BB4"/>
    <w:rsid w:val="00A13164"/>
    <w:rsid w:val="00A131A4"/>
    <w:rsid w:val="00A13406"/>
    <w:rsid w:val="00A13471"/>
    <w:rsid w:val="00A137BB"/>
    <w:rsid w:val="00A137CC"/>
    <w:rsid w:val="00A14166"/>
    <w:rsid w:val="00A14176"/>
    <w:rsid w:val="00A147CA"/>
    <w:rsid w:val="00A14987"/>
    <w:rsid w:val="00A14A9E"/>
    <w:rsid w:val="00A14AD8"/>
    <w:rsid w:val="00A14B32"/>
    <w:rsid w:val="00A14D41"/>
    <w:rsid w:val="00A14DEE"/>
    <w:rsid w:val="00A14FD7"/>
    <w:rsid w:val="00A1510F"/>
    <w:rsid w:val="00A15394"/>
    <w:rsid w:val="00A154A6"/>
    <w:rsid w:val="00A154CD"/>
    <w:rsid w:val="00A15781"/>
    <w:rsid w:val="00A15793"/>
    <w:rsid w:val="00A15A05"/>
    <w:rsid w:val="00A15B81"/>
    <w:rsid w:val="00A15DB6"/>
    <w:rsid w:val="00A15E1E"/>
    <w:rsid w:val="00A1612E"/>
    <w:rsid w:val="00A1627C"/>
    <w:rsid w:val="00A163A2"/>
    <w:rsid w:val="00A164C8"/>
    <w:rsid w:val="00A1653A"/>
    <w:rsid w:val="00A165C4"/>
    <w:rsid w:val="00A16616"/>
    <w:rsid w:val="00A1664A"/>
    <w:rsid w:val="00A16666"/>
    <w:rsid w:val="00A168FB"/>
    <w:rsid w:val="00A16A09"/>
    <w:rsid w:val="00A16A11"/>
    <w:rsid w:val="00A16A15"/>
    <w:rsid w:val="00A16B8D"/>
    <w:rsid w:val="00A16D60"/>
    <w:rsid w:val="00A16E58"/>
    <w:rsid w:val="00A1721F"/>
    <w:rsid w:val="00A17405"/>
    <w:rsid w:val="00A17865"/>
    <w:rsid w:val="00A1787B"/>
    <w:rsid w:val="00A178CD"/>
    <w:rsid w:val="00A1797C"/>
    <w:rsid w:val="00A17B35"/>
    <w:rsid w:val="00A2036F"/>
    <w:rsid w:val="00A203B6"/>
    <w:rsid w:val="00A2048D"/>
    <w:rsid w:val="00A20DB9"/>
    <w:rsid w:val="00A20DF8"/>
    <w:rsid w:val="00A20FFF"/>
    <w:rsid w:val="00A211E4"/>
    <w:rsid w:val="00A21236"/>
    <w:rsid w:val="00A212C3"/>
    <w:rsid w:val="00A212D3"/>
    <w:rsid w:val="00A21331"/>
    <w:rsid w:val="00A213E0"/>
    <w:rsid w:val="00A21403"/>
    <w:rsid w:val="00A21438"/>
    <w:rsid w:val="00A21463"/>
    <w:rsid w:val="00A2149D"/>
    <w:rsid w:val="00A2176D"/>
    <w:rsid w:val="00A219A2"/>
    <w:rsid w:val="00A219AF"/>
    <w:rsid w:val="00A21DED"/>
    <w:rsid w:val="00A21FED"/>
    <w:rsid w:val="00A22111"/>
    <w:rsid w:val="00A22214"/>
    <w:rsid w:val="00A22284"/>
    <w:rsid w:val="00A22385"/>
    <w:rsid w:val="00A226CB"/>
    <w:rsid w:val="00A2284C"/>
    <w:rsid w:val="00A22D77"/>
    <w:rsid w:val="00A22E2D"/>
    <w:rsid w:val="00A22FD0"/>
    <w:rsid w:val="00A231E3"/>
    <w:rsid w:val="00A232E9"/>
    <w:rsid w:val="00A23382"/>
    <w:rsid w:val="00A23871"/>
    <w:rsid w:val="00A239AC"/>
    <w:rsid w:val="00A23D83"/>
    <w:rsid w:val="00A23E49"/>
    <w:rsid w:val="00A2402D"/>
    <w:rsid w:val="00A24385"/>
    <w:rsid w:val="00A246B3"/>
    <w:rsid w:val="00A24971"/>
    <w:rsid w:val="00A24AAF"/>
    <w:rsid w:val="00A24B58"/>
    <w:rsid w:val="00A2505B"/>
    <w:rsid w:val="00A25098"/>
    <w:rsid w:val="00A252F3"/>
    <w:rsid w:val="00A255C8"/>
    <w:rsid w:val="00A2571B"/>
    <w:rsid w:val="00A25775"/>
    <w:rsid w:val="00A25783"/>
    <w:rsid w:val="00A25847"/>
    <w:rsid w:val="00A258C7"/>
    <w:rsid w:val="00A25A33"/>
    <w:rsid w:val="00A25C2D"/>
    <w:rsid w:val="00A25F6C"/>
    <w:rsid w:val="00A26022"/>
    <w:rsid w:val="00A26037"/>
    <w:rsid w:val="00A26081"/>
    <w:rsid w:val="00A260EE"/>
    <w:rsid w:val="00A26446"/>
    <w:rsid w:val="00A26497"/>
    <w:rsid w:val="00A26A35"/>
    <w:rsid w:val="00A26B2C"/>
    <w:rsid w:val="00A26E78"/>
    <w:rsid w:val="00A26F7E"/>
    <w:rsid w:val="00A27226"/>
    <w:rsid w:val="00A2730D"/>
    <w:rsid w:val="00A27A94"/>
    <w:rsid w:val="00A27C09"/>
    <w:rsid w:val="00A27D57"/>
    <w:rsid w:val="00A300E4"/>
    <w:rsid w:val="00A300F8"/>
    <w:rsid w:val="00A30246"/>
    <w:rsid w:val="00A3026D"/>
    <w:rsid w:val="00A303F8"/>
    <w:rsid w:val="00A3046A"/>
    <w:rsid w:val="00A305C4"/>
    <w:rsid w:val="00A30685"/>
    <w:rsid w:val="00A306D1"/>
    <w:rsid w:val="00A30808"/>
    <w:rsid w:val="00A30AF2"/>
    <w:rsid w:val="00A30CC7"/>
    <w:rsid w:val="00A30E15"/>
    <w:rsid w:val="00A30F15"/>
    <w:rsid w:val="00A31093"/>
    <w:rsid w:val="00A31122"/>
    <w:rsid w:val="00A311C1"/>
    <w:rsid w:val="00A3126D"/>
    <w:rsid w:val="00A3129E"/>
    <w:rsid w:val="00A313C3"/>
    <w:rsid w:val="00A31797"/>
    <w:rsid w:val="00A31A14"/>
    <w:rsid w:val="00A31DB4"/>
    <w:rsid w:val="00A320D9"/>
    <w:rsid w:val="00A32234"/>
    <w:rsid w:val="00A3278A"/>
    <w:rsid w:val="00A32AD2"/>
    <w:rsid w:val="00A32F7B"/>
    <w:rsid w:val="00A332B4"/>
    <w:rsid w:val="00A3340F"/>
    <w:rsid w:val="00A3341D"/>
    <w:rsid w:val="00A339E9"/>
    <w:rsid w:val="00A33A34"/>
    <w:rsid w:val="00A33D45"/>
    <w:rsid w:val="00A33E18"/>
    <w:rsid w:val="00A33FC4"/>
    <w:rsid w:val="00A34060"/>
    <w:rsid w:val="00A34286"/>
    <w:rsid w:val="00A34828"/>
    <w:rsid w:val="00A34930"/>
    <w:rsid w:val="00A34C4A"/>
    <w:rsid w:val="00A35194"/>
    <w:rsid w:val="00A35319"/>
    <w:rsid w:val="00A3536D"/>
    <w:rsid w:val="00A353FD"/>
    <w:rsid w:val="00A3541E"/>
    <w:rsid w:val="00A35533"/>
    <w:rsid w:val="00A3558D"/>
    <w:rsid w:val="00A35916"/>
    <w:rsid w:val="00A35943"/>
    <w:rsid w:val="00A35952"/>
    <w:rsid w:val="00A360D5"/>
    <w:rsid w:val="00A362CE"/>
    <w:rsid w:val="00A363A6"/>
    <w:rsid w:val="00A363BB"/>
    <w:rsid w:val="00A36787"/>
    <w:rsid w:val="00A36806"/>
    <w:rsid w:val="00A36A84"/>
    <w:rsid w:val="00A36A96"/>
    <w:rsid w:val="00A3721D"/>
    <w:rsid w:val="00A374B9"/>
    <w:rsid w:val="00A376B2"/>
    <w:rsid w:val="00A37D77"/>
    <w:rsid w:val="00A37EDC"/>
    <w:rsid w:val="00A37F24"/>
    <w:rsid w:val="00A400EE"/>
    <w:rsid w:val="00A40147"/>
    <w:rsid w:val="00A40452"/>
    <w:rsid w:val="00A406FC"/>
    <w:rsid w:val="00A407A8"/>
    <w:rsid w:val="00A409AE"/>
    <w:rsid w:val="00A409F5"/>
    <w:rsid w:val="00A40B06"/>
    <w:rsid w:val="00A40E7D"/>
    <w:rsid w:val="00A41041"/>
    <w:rsid w:val="00A41194"/>
    <w:rsid w:val="00A4125B"/>
    <w:rsid w:val="00A4180F"/>
    <w:rsid w:val="00A419A7"/>
    <w:rsid w:val="00A41B32"/>
    <w:rsid w:val="00A41BFF"/>
    <w:rsid w:val="00A41C43"/>
    <w:rsid w:val="00A41C67"/>
    <w:rsid w:val="00A41F28"/>
    <w:rsid w:val="00A41F46"/>
    <w:rsid w:val="00A4202C"/>
    <w:rsid w:val="00A4209A"/>
    <w:rsid w:val="00A4270F"/>
    <w:rsid w:val="00A42AD9"/>
    <w:rsid w:val="00A42BAC"/>
    <w:rsid w:val="00A434BA"/>
    <w:rsid w:val="00A435BD"/>
    <w:rsid w:val="00A438E0"/>
    <w:rsid w:val="00A43A0E"/>
    <w:rsid w:val="00A43B39"/>
    <w:rsid w:val="00A43C50"/>
    <w:rsid w:val="00A43D5C"/>
    <w:rsid w:val="00A43E8E"/>
    <w:rsid w:val="00A43F06"/>
    <w:rsid w:val="00A43F8B"/>
    <w:rsid w:val="00A441FE"/>
    <w:rsid w:val="00A44395"/>
    <w:rsid w:val="00A445D1"/>
    <w:rsid w:val="00A4467D"/>
    <w:rsid w:val="00A447A5"/>
    <w:rsid w:val="00A44B4A"/>
    <w:rsid w:val="00A44BB3"/>
    <w:rsid w:val="00A44BD9"/>
    <w:rsid w:val="00A44D27"/>
    <w:rsid w:val="00A44DFC"/>
    <w:rsid w:val="00A44EBE"/>
    <w:rsid w:val="00A44EC4"/>
    <w:rsid w:val="00A44EF1"/>
    <w:rsid w:val="00A44EFF"/>
    <w:rsid w:val="00A4536E"/>
    <w:rsid w:val="00A4540A"/>
    <w:rsid w:val="00A45956"/>
    <w:rsid w:val="00A45BAA"/>
    <w:rsid w:val="00A45EF6"/>
    <w:rsid w:val="00A461B8"/>
    <w:rsid w:val="00A46353"/>
    <w:rsid w:val="00A46382"/>
    <w:rsid w:val="00A46427"/>
    <w:rsid w:val="00A46770"/>
    <w:rsid w:val="00A468D9"/>
    <w:rsid w:val="00A4696B"/>
    <w:rsid w:val="00A4726D"/>
    <w:rsid w:val="00A47405"/>
    <w:rsid w:val="00A4742A"/>
    <w:rsid w:val="00A475BD"/>
    <w:rsid w:val="00A476D2"/>
    <w:rsid w:val="00A4779E"/>
    <w:rsid w:val="00A47A51"/>
    <w:rsid w:val="00A47C9E"/>
    <w:rsid w:val="00A47E53"/>
    <w:rsid w:val="00A47F49"/>
    <w:rsid w:val="00A500D1"/>
    <w:rsid w:val="00A50113"/>
    <w:rsid w:val="00A5028B"/>
    <w:rsid w:val="00A50291"/>
    <w:rsid w:val="00A502EE"/>
    <w:rsid w:val="00A50B82"/>
    <w:rsid w:val="00A50C1C"/>
    <w:rsid w:val="00A5114D"/>
    <w:rsid w:val="00A51187"/>
    <w:rsid w:val="00A5132D"/>
    <w:rsid w:val="00A513AE"/>
    <w:rsid w:val="00A51577"/>
    <w:rsid w:val="00A51C26"/>
    <w:rsid w:val="00A51EBA"/>
    <w:rsid w:val="00A51F41"/>
    <w:rsid w:val="00A51F6F"/>
    <w:rsid w:val="00A52019"/>
    <w:rsid w:val="00A523C0"/>
    <w:rsid w:val="00A524FF"/>
    <w:rsid w:val="00A5264E"/>
    <w:rsid w:val="00A52744"/>
    <w:rsid w:val="00A52C77"/>
    <w:rsid w:val="00A52CB4"/>
    <w:rsid w:val="00A52D90"/>
    <w:rsid w:val="00A52E12"/>
    <w:rsid w:val="00A5335D"/>
    <w:rsid w:val="00A53434"/>
    <w:rsid w:val="00A5356E"/>
    <w:rsid w:val="00A537DE"/>
    <w:rsid w:val="00A53B14"/>
    <w:rsid w:val="00A53BF5"/>
    <w:rsid w:val="00A53D1F"/>
    <w:rsid w:val="00A53E69"/>
    <w:rsid w:val="00A53F25"/>
    <w:rsid w:val="00A5423C"/>
    <w:rsid w:val="00A543D9"/>
    <w:rsid w:val="00A5456F"/>
    <w:rsid w:val="00A54D5F"/>
    <w:rsid w:val="00A54DB9"/>
    <w:rsid w:val="00A5536E"/>
    <w:rsid w:val="00A553EE"/>
    <w:rsid w:val="00A554BC"/>
    <w:rsid w:val="00A557F5"/>
    <w:rsid w:val="00A5592E"/>
    <w:rsid w:val="00A559BA"/>
    <w:rsid w:val="00A55A14"/>
    <w:rsid w:val="00A562EB"/>
    <w:rsid w:val="00A564E9"/>
    <w:rsid w:val="00A5651C"/>
    <w:rsid w:val="00A56676"/>
    <w:rsid w:val="00A5679E"/>
    <w:rsid w:val="00A56E29"/>
    <w:rsid w:val="00A56E86"/>
    <w:rsid w:val="00A57354"/>
    <w:rsid w:val="00A57417"/>
    <w:rsid w:val="00A57773"/>
    <w:rsid w:val="00A57972"/>
    <w:rsid w:val="00A579BC"/>
    <w:rsid w:val="00A57A96"/>
    <w:rsid w:val="00A57C3D"/>
    <w:rsid w:val="00A57EFD"/>
    <w:rsid w:val="00A601E0"/>
    <w:rsid w:val="00A6069B"/>
    <w:rsid w:val="00A6089F"/>
    <w:rsid w:val="00A60C7E"/>
    <w:rsid w:val="00A60D6C"/>
    <w:rsid w:val="00A60D8F"/>
    <w:rsid w:val="00A60E5A"/>
    <w:rsid w:val="00A60ECF"/>
    <w:rsid w:val="00A610A8"/>
    <w:rsid w:val="00A610EE"/>
    <w:rsid w:val="00A6152A"/>
    <w:rsid w:val="00A615C2"/>
    <w:rsid w:val="00A61763"/>
    <w:rsid w:val="00A61855"/>
    <w:rsid w:val="00A61B5C"/>
    <w:rsid w:val="00A62216"/>
    <w:rsid w:val="00A62625"/>
    <w:rsid w:val="00A62837"/>
    <w:rsid w:val="00A62FE8"/>
    <w:rsid w:val="00A632FA"/>
    <w:rsid w:val="00A6347C"/>
    <w:rsid w:val="00A635A3"/>
    <w:rsid w:val="00A6388E"/>
    <w:rsid w:val="00A63A6A"/>
    <w:rsid w:val="00A63AA3"/>
    <w:rsid w:val="00A63E8A"/>
    <w:rsid w:val="00A64026"/>
    <w:rsid w:val="00A64059"/>
    <w:rsid w:val="00A64097"/>
    <w:rsid w:val="00A6450C"/>
    <w:rsid w:val="00A647F1"/>
    <w:rsid w:val="00A648EC"/>
    <w:rsid w:val="00A64A29"/>
    <w:rsid w:val="00A64DEB"/>
    <w:rsid w:val="00A64F16"/>
    <w:rsid w:val="00A651F3"/>
    <w:rsid w:val="00A6528C"/>
    <w:rsid w:val="00A6544B"/>
    <w:rsid w:val="00A655D1"/>
    <w:rsid w:val="00A65746"/>
    <w:rsid w:val="00A65878"/>
    <w:rsid w:val="00A658C1"/>
    <w:rsid w:val="00A65A61"/>
    <w:rsid w:val="00A65AE6"/>
    <w:rsid w:val="00A65C3F"/>
    <w:rsid w:val="00A65DC9"/>
    <w:rsid w:val="00A6612A"/>
    <w:rsid w:val="00A6621C"/>
    <w:rsid w:val="00A66327"/>
    <w:rsid w:val="00A6634E"/>
    <w:rsid w:val="00A6639C"/>
    <w:rsid w:val="00A663BA"/>
    <w:rsid w:val="00A664A2"/>
    <w:rsid w:val="00A66820"/>
    <w:rsid w:val="00A66B0F"/>
    <w:rsid w:val="00A66C7D"/>
    <w:rsid w:val="00A66CA5"/>
    <w:rsid w:val="00A66CF1"/>
    <w:rsid w:val="00A66D46"/>
    <w:rsid w:val="00A673C1"/>
    <w:rsid w:val="00A67418"/>
    <w:rsid w:val="00A67505"/>
    <w:rsid w:val="00A6771E"/>
    <w:rsid w:val="00A6773E"/>
    <w:rsid w:val="00A67743"/>
    <w:rsid w:val="00A6790F"/>
    <w:rsid w:val="00A67A0C"/>
    <w:rsid w:val="00A67BDA"/>
    <w:rsid w:val="00A70121"/>
    <w:rsid w:val="00A70179"/>
    <w:rsid w:val="00A705EF"/>
    <w:rsid w:val="00A70776"/>
    <w:rsid w:val="00A70887"/>
    <w:rsid w:val="00A70924"/>
    <w:rsid w:val="00A70ABC"/>
    <w:rsid w:val="00A70BBA"/>
    <w:rsid w:val="00A70C8B"/>
    <w:rsid w:val="00A70CB0"/>
    <w:rsid w:val="00A70E7C"/>
    <w:rsid w:val="00A70EC6"/>
    <w:rsid w:val="00A70F6D"/>
    <w:rsid w:val="00A71183"/>
    <w:rsid w:val="00A713FD"/>
    <w:rsid w:val="00A716E6"/>
    <w:rsid w:val="00A717C6"/>
    <w:rsid w:val="00A71872"/>
    <w:rsid w:val="00A71B28"/>
    <w:rsid w:val="00A71C10"/>
    <w:rsid w:val="00A71CEA"/>
    <w:rsid w:val="00A7224F"/>
    <w:rsid w:val="00A7252D"/>
    <w:rsid w:val="00A725DC"/>
    <w:rsid w:val="00A72679"/>
    <w:rsid w:val="00A728E3"/>
    <w:rsid w:val="00A72A21"/>
    <w:rsid w:val="00A72B3F"/>
    <w:rsid w:val="00A72FB6"/>
    <w:rsid w:val="00A7305C"/>
    <w:rsid w:val="00A730A9"/>
    <w:rsid w:val="00A730B1"/>
    <w:rsid w:val="00A73112"/>
    <w:rsid w:val="00A731AA"/>
    <w:rsid w:val="00A731DC"/>
    <w:rsid w:val="00A731E5"/>
    <w:rsid w:val="00A733BE"/>
    <w:rsid w:val="00A733E6"/>
    <w:rsid w:val="00A73DD4"/>
    <w:rsid w:val="00A73F59"/>
    <w:rsid w:val="00A74085"/>
    <w:rsid w:val="00A74185"/>
    <w:rsid w:val="00A74335"/>
    <w:rsid w:val="00A745E4"/>
    <w:rsid w:val="00A74726"/>
    <w:rsid w:val="00A749B0"/>
    <w:rsid w:val="00A74A43"/>
    <w:rsid w:val="00A74C9F"/>
    <w:rsid w:val="00A74D58"/>
    <w:rsid w:val="00A74E3A"/>
    <w:rsid w:val="00A74F6B"/>
    <w:rsid w:val="00A74F6C"/>
    <w:rsid w:val="00A750AF"/>
    <w:rsid w:val="00A75AAB"/>
    <w:rsid w:val="00A75DA3"/>
    <w:rsid w:val="00A76000"/>
    <w:rsid w:val="00A76453"/>
    <w:rsid w:val="00A76492"/>
    <w:rsid w:val="00A76982"/>
    <w:rsid w:val="00A76990"/>
    <w:rsid w:val="00A76A73"/>
    <w:rsid w:val="00A76BF6"/>
    <w:rsid w:val="00A76C51"/>
    <w:rsid w:val="00A7786D"/>
    <w:rsid w:val="00A77950"/>
    <w:rsid w:val="00A779C6"/>
    <w:rsid w:val="00A77A83"/>
    <w:rsid w:val="00A800B6"/>
    <w:rsid w:val="00A8023A"/>
    <w:rsid w:val="00A80260"/>
    <w:rsid w:val="00A80444"/>
    <w:rsid w:val="00A8055A"/>
    <w:rsid w:val="00A8069F"/>
    <w:rsid w:val="00A80745"/>
    <w:rsid w:val="00A808F2"/>
    <w:rsid w:val="00A80926"/>
    <w:rsid w:val="00A80DC5"/>
    <w:rsid w:val="00A80EDF"/>
    <w:rsid w:val="00A8102E"/>
    <w:rsid w:val="00A81222"/>
    <w:rsid w:val="00A81496"/>
    <w:rsid w:val="00A81582"/>
    <w:rsid w:val="00A81616"/>
    <w:rsid w:val="00A816B8"/>
    <w:rsid w:val="00A81ED4"/>
    <w:rsid w:val="00A81F6C"/>
    <w:rsid w:val="00A820DD"/>
    <w:rsid w:val="00A82116"/>
    <w:rsid w:val="00A82143"/>
    <w:rsid w:val="00A826BA"/>
    <w:rsid w:val="00A827E1"/>
    <w:rsid w:val="00A82888"/>
    <w:rsid w:val="00A82A1E"/>
    <w:rsid w:val="00A82DC0"/>
    <w:rsid w:val="00A82E34"/>
    <w:rsid w:val="00A8322C"/>
    <w:rsid w:val="00A83300"/>
    <w:rsid w:val="00A835B2"/>
    <w:rsid w:val="00A8360F"/>
    <w:rsid w:val="00A8389E"/>
    <w:rsid w:val="00A83AA8"/>
    <w:rsid w:val="00A83CF1"/>
    <w:rsid w:val="00A83E3E"/>
    <w:rsid w:val="00A83E97"/>
    <w:rsid w:val="00A83ECC"/>
    <w:rsid w:val="00A83FD7"/>
    <w:rsid w:val="00A83FFF"/>
    <w:rsid w:val="00A84072"/>
    <w:rsid w:val="00A844DE"/>
    <w:rsid w:val="00A84677"/>
    <w:rsid w:val="00A84909"/>
    <w:rsid w:val="00A84A60"/>
    <w:rsid w:val="00A84ABD"/>
    <w:rsid w:val="00A84FB1"/>
    <w:rsid w:val="00A84FFE"/>
    <w:rsid w:val="00A85084"/>
    <w:rsid w:val="00A856C6"/>
    <w:rsid w:val="00A856E9"/>
    <w:rsid w:val="00A858C2"/>
    <w:rsid w:val="00A858ED"/>
    <w:rsid w:val="00A85927"/>
    <w:rsid w:val="00A85B7B"/>
    <w:rsid w:val="00A86151"/>
    <w:rsid w:val="00A861EC"/>
    <w:rsid w:val="00A865AB"/>
    <w:rsid w:val="00A8674A"/>
    <w:rsid w:val="00A868DC"/>
    <w:rsid w:val="00A869A2"/>
    <w:rsid w:val="00A86A42"/>
    <w:rsid w:val="00A86A8D"/>
    <w:rsid w:val="00A86D61"/>
    <w:rsid w:val="00A86E2E"/>
    <w:rsid w:val="00A86FC1"/>
    <w:rsid w:val="00A87280"/>
    <w:rsid w:val="00A872A6"/>
    <w:rsid w:val="00A87436"/>
    <w:rsid w:val="00A875E5"/>
    <w:rsid w:val="00A879B5"/>
    <w:rsid w:val="00A87E73"/>
    <w:rsid w:val="00A87E9C"/>
    <w:rsid w:val="00A87ED8"/>
    <w:rsid w:val="00A87F99"/>
    <w:rsid w:val="00A9014D"/>
    <w:rsid w:val="00A903BB"/>
    <w:rsid w:val="00A90404"/>
    <w:rsid w:val="00A90489"/>
    <w:rsid w:val="00A90555"/>
    <w:rsid w:val="00A9064A"/>
    <w:rsid w:val="00A90725"/>
    <w:rsid w:val="00A907C8"/>
    <w:rsid w:val="00A90B1C"/>
    <w:rsid w:val="00A90C1D"/>
    <w:rsid w:val="00A90CC6"/>
    <w:rsid w:val="00A90D74"/>
    <w:rsid w:val="00A90E45"/>
    <w:rsid w:val="00A9115C"/>
    <w:rsid w:val="00A911AA"/>
    <w:rsid w:val="00A9125A"/>
    <w:rsid w:val="00A91635"/>
    <w:rsid w:val="00A9177C"/>
    <w:rsid w:val="00A91912"/>
    <w:rsid w:val="00A91A99"/>
    <w:rsid w:val="00A91C82"/>
    <w:rsid w:val="00A91D7A"/>
    <w:rsid w:val="00A91E25"/>
    <w:rsid w:val="00A920DA"/>
    <w:rsid w:val="00A9210E"/>
    <w:rsid w:val="00A9222A"/>
    <w:rsid w:val="00A922EB"/>
    <w:rsid w:val="00A923F0"/>
    <w:rsid w:val="00A92402"/>
    <w:rsid w:val="00A92527"/>
    <w:rsid w:val="00A92769"/>
    <w:rsid w:val="00A92AC2"/>
    <w:rsid w:val="00A92EFE"/>
    <w:rsid w:val="00A93056"/>
    <w:rsid w:val="00A93300"/>
    <w:rsid w:val="00A93726"/>
    <w:rsid w:val="00A93850"/>
    <w:rsid w:val="00A93909"/>
    <w:rsid w:val="00A93DD9"/>
    <w:rsid w:val="00A93E12"/>
    <w:rsid w:val="00A93F1A"/>
    <w:rsid w:val="00A940D4"/>
    <w:rsid w:val="00A940D7"/>
    <w:rsid w:val="00A94364"/>
    <w:rsid w:val="00A9488B"/>
    <w:rsid w:val="00A94A3C"/>
    <w:rsid w:val="00A94B11"/>
    <w:rsid w:val="00A94C05"/>
    <w:rsid w:val="00A94DBA"/>
    <w:rsid w:val="00A95396"/>
    <w:rsid w:val="00A95473"/>
    <w:rsid w:val="00A959E1"/>
    <w:rsid w:val="00A95A9A"/>
    <w:rsid w:val="00A95B65"/>
    <w:rsid w:val="00A95BE6"/>
    <w:rsid w:val="00A95EC8"/>
    <w:rsid w:val="00A95F86"/>
    <w:rsid w:val="00A96318"/>
    <w:rsid w:val="00A963E7"/>
    <w:rsid w:val="00A9654F"/>
    <w:rsid w:val="00A96645"/>
    <w:rsid w:val="00A967D8"/>
    <w:rsid w:val="00A96FD3"/>
    <w:rsid w:val="00A97228"/>
    <w:rsid w:val="00A972C2"/>
    <w:rsid w:val="00A97393"/>
    <w:rsid w:val="00A97D11"/>
    <w:rsid w:val="00AA00CE"/>
    <w:rsid w:val="00AA014F"/>
    <w:rsid w:val="00AA034E"/>
    <w:rsid w:val="00AA072F"/>
    <w:rsid w:val="00AA074A"/>
    <w:rsid w:val="00AA0A01"/>
    <w:rsid w:val="00AA0E08"/>
    <w:rsid w:val="00AA0ED4"/>
    <w:rsid w:val="00AA0F13"/>
    <w:rsid w:val="00AA104F"/>
    <w:rsid w:val="00AA12E1"/>
    <w:rsid w:val="00AA1534"/>
    <w:rsid w:val="00AA15B2"/>
    <w:rsid w:val="00AA1772"/>
    <w:rsid w:val="00AA184D"/>
    <w:rsid w:val="00AA1999"/>
    <w:rsid w:val="00AA1A7F"/>
    <w:rsid w:val="00AA1CAA"/>
    <w:rsid w:val="00AA1D4D"/>
    <w:rsid w:val="00AA1E66"/>
    <w:rsid w:val="00AA2080"/>
    <w:rsid w:val="00AA2194"/>
    <w:rsid w:val="00AA2233"/>
    <w:rsid w:val="00AA2331"/>
    <w:rsid w:val="00AA2400"/>
    <w:rsid w:val="00AA25B3"/>
    <w:rsid w:val="00AA25C5"/>
    <w:rsid w:val="00AA2604"/>
    <w:rsid w:val="00AA263F"/>
    <w:rsid w:val="00AA2640"/>
    <w:rsid w:val="00AA26CE"/>
    <w:rsid w:val="00AA27F7"/>
    <w:rsid w:val="00AA2889"/>
    <w:rsid w:val="00AA2A33"/>
    <w:rsid w:val="00AA2B9C"/>
    <w:rsid w:val="00AA2CC5"/>
    <w:rsid w:val="00AA2D7D"/>
    <w:rsid w:val="00AA2F0B"/>
    <w:rsid w:val="00AA300F"/>
    <w:rsid w:val="00AA3028"/>
    <w:rsid w:val="00AA33E2"/>
    <w:rsid w:val="00AA343E"/>
    <w:rsid w:val="00AA381F"/>
    <w:rsid w:val="00AA3994"/>
    <w:rsid w:val="00AA3B30"/>
    <w:rsid w:val="00AA3C56"/>
    <w:rsid w:val="00AA3EE7"/>
    <w:rsid w:val="00AA3F71"/>
    <w:rsid w:val="00AA3F87"/>
    <w:rsid w:val="00AA4079"/>
    <w:rsid w:val="00AA429B"/>
    <w:rsid w:val="00AA4474"/>
    <w:rsid w:val="00AA47C4"/>
    <w:rsid w:val="00AA487B"/>
    <w:rsid w:val="00AA48C8"/>
    <w:rsid w:val="00AA48E8"/>
    <w:rsid w:val="00AA499A"/>
    <w:rsid w:val="00AA49A9"/>
    <w:rsid w:val="00AA4A73"/>
    <w:rsid w:val="00AA4EBF"/>
    <w:rsid w:val="00AA515A"/>
    <w:rsid w:val="00AA56A6"/>
    <w:rsid w:val="00AA56FE"/>
    <w:rsid w:val="00AA57E6"/>
    <w:rsid w:val="00AA5961"/>
    <w:rsid w:val="00AA5D1E"/>
    <w:rsid w:val="00AA5D21"/>
    <w:rsid w:val="00AA5FC3"/>
    <w:rsid w:val="00AA606B"/>
    <w:rsid w:val="00AA6257"/>
    <w:rsid w:val="00AA626B"/>
    <w:rsid w:val="00AA629B"/>
    <w:rsid w:val="00AA6358"/>
    <w:rsid w:val="00AA6535"/>
    <w:rsid w:val="00AA6678"/>
    <w:rsid w:val="00AA67BA"/>
    <w:rsid w:val="00AA6835"/>
    <w:rsid w:val="00AA6A84"/>
    <w:rsid w:val="00AA6BAC"/>
    <w:rsid w:val="00AA6CF7"/>
    <w:rsid w:val="00AA6E14"/>
    <w:rsid w:val="00AA6E97"/>
    <w:rsid w:val="00AA6EB2"/>
    <w:rsid w:val="00AA6EDA"/>
    <w:rsid w:val="00AA718F"/>
    <w:rsid w:val="00AA754B"/>
    <w:rsid w:val="00AA75DF"/>
    <w:rsid w:val="00AA7625"/>
    <w:rsid w:val="00AA7843"/>
    <w:rsid w:val="00AA78AF"/>
    <w:rsid w:val="00AA7DDF"/>
    <w:rsid w:val="00AB055D"/>
    <w:rsid w:val="00AB05B4"/>
    <w:rsid w:val="00AB0632"/>
    <w:rsid w:val="00AB0749"/>
    <w:rsid w:val="00AB07C4"/>
    <w:rsid w:val="00AB0D40"/>
    <w:rsid w:val="00AB0E70"/>
    <w:rsid w:val="00AB1370"/>
    <w:rsid w:val="00AB166F"/>
    <w:rsid w:val="00AB19D1"/>
    <w:rsid w:val="00AB1A54"/>
    <w:rsid w:val="00AB1C78"/>
    <w:rsid w:val="00AB1C7E"/>
    <w:rsid w:val="00AB1C83"/>
    <w:rsid w:val="00AB1D39"/>
    <w:rsid w:val="00AB21D0"/>
    <w:rsid w:val="00AB2584"/>
    <w:rsid w:val="00AB2745"/>
    <w:rsid w:val="00AB2876"/>
    <w:rsid w:val="00AB2FA2"/>
    <w:rsid w:val="00AB3282"/>
    <w:rsid w:val="00AB3510"/>
    <w:rsid w:val="00AB359C"/>
    <w:rsid w:val="00AB3651"/>
    <w:rsid w:val="00AB375F"/>
    <w:rsid w:val="00AB3832"/>
    <w:rsid w:val="00AB3A27"/>
    <w:rsid w:val="00AB3D25"/>
    <w:rsid w:val="00AB3E79"/>
    <w:rsid w:val="00AB3FBC"/>
    <w:rsid w:val="00AB437A"/>
    <w:rsid w:val="00AB44B9"/>
    <w:rsid w:val="00AB4687"/>
    <w:rsid w:val="00AB4762"/>
    <w:rsid w:val="00AB4833"/>
    <w:rsid w:val="00AB4C31"/>
    <w:rsid w:val="00AB4D8D"/>
    <w:rsid w:val="00AB4E49"/>
    <w:rsid w:val="00AB5285"/>
    <w:rsid w:val="00AB544E"/>
    <w:rsid w:val="00AB5658"/>
    <w:rsid w:val="00AB56B8"/>
    <w:rsid w:val="00AB570F"/>
    <w:rsid w:val="00AB5764"/>
    <w:rsid w:val="00AB57BD"/>
    <w:rsid w:val="00AB5A7D"/>
    <w:rsid w:val="00AB5A82"/>
    <w:rsid w:val="00AB5E71"/>
    <w:rsid w:val="00AB5EFD"/>
    <w:rsid w:val="00AB5FE5"/>
    <w:rsid w:val="00AB64C7"/>
    <w:rsid w:val="00AB66E5"/>
    <w:rsid w:val="00AB6956"/>
    <w:rsid w:val="00AB699E"/>
    <w:rsid w:val="00AB6C00"/>
    <w:rsid w:val="00AB6EFF"/>
    <w:rsid w:val="00AB7041"/>
    <w:rsid w:val="00AB70C6"/>
    <w:rsid w:val="00AB728D"/>
    <w:rsid w:val="00AB72A8"/>
    <w:rsid w:val="00AB7556"/>
    <w:rsid w:val="00AB75BD"/>
    <w:rsid w:val="00AB76DA"/>
    <w:rsid w:val="00AB7AFF"/>
    <w:rsid w:val="00AB7BC9"/>
    <w:rsid w:val="00AB7FD2"/>
    <w:rsid w:val="00AC07AA"/>
    <w:rsid w:val="00AC083B"/>
    <w:rsid w:val="00AC089E"/>
    <w:rsid w:val="00AC0936"/>
    <w:rsid w:val="00AC0A5A"/>
    <w:rsid w:val="00AC0C4F"/>
    <w:rsid w:val="00AC0D82"/>
    <w:rsid w:val="00AC0E29"/>
    <w:rsid w:val="00AC0F88"/>
    <w:rsid w:val="00AC1072"/>
    <w:rsid w:val="00AC1303"/>
    <w:rsid w:val="00AC13AA"/>
    <w:rsid w:val="00AC1461"/>
    <w:rsid w:val="00AC153E"/>
    <w:rsid w:val="00AC1A69"/>
    <w:rsid w:val="00AC1E34"/>
    <w:rsid w:val="00AC1E6A"/>
    <w:rsid w:val="00AC1EE0"/>
    <w:rsid w:val="00AC211A"/>
    <w:rsid w:val="00AC2497"/>
    <w:rsid w:val="00AC26ED"/>
    <w:rsid w:val="00AC2845"/>
    <w:rsid w:val="00AC2CDB"/>
    <w:rsid w:val="00AC3166"/>
    <w:rsid w:val="00AC33AF"/>
    <w:rsid w:val="00AC33DD"/>
    <w:rsid w:val="00AC34F4"/>
    <w:rsid w:val="00AC376B"/>
    <w:rsid w:val="00AC378C"/>
    <w:rsid w:val="00AC37AA"/>
    <w:rsid w:val="00AC3874"/>
    <w:rsid w:val="00AC38F3"/>
    <w:rsid w:val="00AC3B6F"/>
    <w:rsid w:val="00AC3F1B"/>
    <w:rsid w:val="00AC41B1"/>
    <w:rsid w:val="00AC4327"/>
    <w:rsid w:val="00AC4385"/>
    <w:rsid w:val="00AC4455"/>
    <w:rsid w:val="00AC481B"/>
    <w:rsid w:val="00AC49D3"/>
    <w:rsid w:val="00AC49E7"/>
    <w:rsid w:val="00AC4A9F"/>
    <w:rsid w:val="00AC4F24"/>
    <w:rsid w:val="00AC4F68"/>
    <w:rsid w:val="00AC5005"/>
    <w:rsid w:val="00AC5135"/>
    <w:rsid w:val="00AC5189"/>
    <w:rsid w:val="00AC5219"/>
    <w:rsid w:val="00AC5899"/>
    <w:rsid w:val="00AC5B04"/>
    <w:rsid w:val="00AC5B34"/>
    <w:rsid w:val="00AC5CCF"/>
    <w:rsid w:val="00AC5CF0"/>
    <w:rsid w:val="00AC5E5A"/>
    <w:rsid w:val="00AC5E85"/>
    <w:rsid w:val="00AC5EA7"/>
    <w:rsid w:val="00AC5EF7"/>
    <w:rsid w:val="00AC61FC"/>
    <w:rsid w:val="00AC650A"/>
    <w:rsid w:val="00AC664B"/>
    <w:rsid w:val="00AC6DE9"/>
    <w:rsid w:val="00AC6EBD"/>
    <w:rsid w:val="00AC6FBB"/>
    <w:rsid w:val="00AC7295"/>
    <w:rsid w:val="00AC7332"/>
    <w:rsid w:val="00AC7449"/>
    <w:rsid w:val="00AC75FF"/>
    <w:rsid w:val="00AC7610"/>
    <w:rsid w:val="00AC7728"/>
    <w:rsid w:val="00AC78A9"/>
    <w:rsid w:val="00AC7ABA"/>
    <w:rsid w:val="00AC7B31"/>
    <w:rsid w:val="00AC7E4F"/>
    <w:rsid w:val="00AC7E97"/>
    <w:rsid w:val="00AD0175"/>
    <w:rsid w:val="00AD0206"/>
    <w:rsid w:val="00AD0232"/>
    <w:rsid w:val="00AD038F"/>
    <w:rsid w:val="00AD03EB"/>
    <w:rsid w:val="00AD0574"/>
    <w:rsid w:val="00AD05AB"/>
    <w:rsid w:val="00AD0AB9"/>
    <w:rsid w:val="00AD0C33"/>
    <w:rsid w:val="00AD0DC2"/>
    <w:rsid w:val="00AD103D"/>
    <w:rsid w:val="00AD10EE"/>
    <w:rsid w:val="00AD1439"/>
    <w:rsid w:val="00AD16A0"/>
    <w:rsid w:val="00AD188E"/>
    <w:rsid w:val="00AD1BBA"/>
    <w:rsid w:val="00AD2086"/>
    <w:rsid w:val="00AD214D"/>
    <w:rsid w:val="00AD22B6"/>
    <w:rsid w:val="00AD25CF"/>
    <w:rsid w:val="00AD26A0"/>
    <w:rsid w:val="00AD29D8"/>
    <w:rsid w:val="00AD2A57"/>
    <w:rsid w:val="00AD2AB8"/>
    <w:rsid w:val="00AD2B1F"/>
    <w:rsid w:val="00AD2B8F"/>
    <w:rsid w:val="00AD2EC9"/>
    <w:rsid w:val="00AD2FA4"/>
    <w:rsid w:val="00AD3275"/>
    <w:rsid w:val="00AD33F1"/>
    <w:rsid w:val="00AD33FB"/>
    <w:rsid w:val="00AD3627"/>
    <w:rsid w:val="00AD3B43"/>
    <w:rsid w:val="00AD3C0B"/>
    <w:rsid w:val="00AD3DB5"/>
    <w:rsid w:val="00AD40DA"/>
    <w:rsid w:val="00AD41A0"/>
    <w:rsid w:val="00AD41E5"/>
    <w:rsid w:val="00AD43E7"/>
    <w:rsid w:val="00AD47FF"/>
    <w:rsid w:val="00AD49F8"/>
    <w:rsid w:val="00AD4AA1"/>
    <w:rsid w:val="00AD4CAD"/>
    <w:rsid w:val="00AD4CD2"/>
    <w:rsid w:val="00AD4F04"/>
    <w:rsid w:val="00AD5201"/>
    <w:rsid w:val="00AD5495"/>
    <w:rsid w:val="00AD5496"/>
    <w:rsid w:val="00AD55A7"/>
    <w:rsid w:val="00AD5667"/>
    <w:rsid w:val="00AD5AD8"/>
    <w:rsid w:val="00AD5ADE"/>
    <w:rsid w:val="00AD5E66"/>
    <w:rsid w:val="00AD6796"/>
    <w:rsid w:val="00AD67D9"/>
    <w:rsid w:val="00AD6842"/>
    <w:rsid w:val="00AD690C"/>
    <w:rsid w:val="00AD6BE8"/>
    <w:rsid w:val="00AD6C7C"/>
    <w:rsid w:val="00AD6E0B"/>
    <w:rsid w:val="00AD6E3A"/>
    <w:rsid w:val="00AD70B4"/>
    <w:rsid w:val="00AD7193"/>
    <w:rsid w:val="00AD7212"/>
    <w:rsid w:val="00AD73AE"/>
    <w:rsid w:val="00AD73CA"/>
    <w:rsid w:val="00AD748C"/>
    <w:rsid w:val="00AD7AD9"/>
    <w:rsid w:val="00AD7BD9"/>
    <w:rsid w:val="00AD7C9F"/>
    <w:rsid w:val="00AD7F57"/>
    <w:rsid w:val="00AE01BB"/>
    <w:rsid w:val="00AE0326"/>
    <w:rsid w:val="00AE042B"/>
    <w:rsid w:val="00AE05BC"/>
    <w:rsid w:val="00AE05FD"/>
    <w:rsid w:val="00AE069F"/>
    <w:rsid w:val="00AE0827"/>
    <w:rsid w:val="00AE0AB5"/>
    <w:rsid w:val="00AE0B6B"/>
    <w:rsid w:val="00AE0EB7"/>
    <w:rsid w:val="00AE107C"/>
    <w:rsid w:val="00AE1158"/>
    <w:rsid w:val="00AE12D5"/>
    <w:rsid w:val="00AE144E"/>
    <w:rsid w:val="00AE1490"/>
    <w:rsid w:val="00AE167A"/>
    <w:rsid w:val="00AE1692"/>
    <w:rsid w:val="00AE17E0"/>
    <w:rsid w:val="00AE1950"/>
    <w:rsid w:val="00AE1A46"/>
    <w:rsid w:val="00AE1BEF"/>
    <w:rsid w:val="00AE1CF3"/>
    <w:rsid w:val="00AE1D8A"/>
    <w:rsid w:val="00AE22D8"/>
    <w:rsid w:val="00AE24D3"/>
    <w:rsid w:val="00AE25AD"/>
    <w:rsid w:val="00AE261C"/>
    <w:rsid w:val="00AE2690"/>
    <w:rsid w:val="00AE2DBD"/>
    <w:rsid w:val="00AE3178"/>
    <w:rsid w:val="00AE3380"/>
    <w:rsid w:val="00AE353E"/>
    <w:rsid w:val="00AE36D8"/>
    <w:rsid w:val="00AE3721"/>
    <w:rsid w:val="00AE3934"/>
    <w:rsid w:val="00AE39F2"/>
    <w:rsid w:val="00AE3A2D"/>
    <w:rsid w:val="00AE3BBD"/>
    <w:rsid w:val="00AE3FF0"/>
    <w:rsid w:val="00AE403B"/>
    <w:rsid w:val="00AE4088"/>
    <w:rsid w:val="00AE413C"/>
    <w:rsid w:val="00AE43AA"/>
    <w:rsid w:val="00AE448C"/>
    <w:rsid w:val="00AE44F9"/>
    <w:rsid w:val="00AE468E"/>
    <w:rsid w:val="00AE4912"/>
    <w:rsid w:val="00AE4ABE"/>
    <w:rsid w:val="00AE4E46"/>
    <w:rsid w:val="00AE4EA5"/>
    <w:rsid w:val="00AE4FD2"/>
    <w:rsid w:val="00AE54B2"/>
    <w:rsid w:val="00AE5900"/>
    <w:rsid w:val="00AE5D82"/>
    <w:rsid w:val="00AE5F87"/>
    <w:rsid w:val="00AE6234"/>
    <w:rsid w:val="00AE6508"/>
    <w:rsid w:val="00AE6560"/>
    <w:rsid w:val="00AE65D8"/>
    <w:rsid w:val="00AE6624"/>
    <w:rsid w:val="00AE6A7D"/>
    <w:rsid w:val="00AE6ADE"/>
    <w:rsid w:val="00AE6B7C"/>
    <w:rsid w:val="00AE6D7D"/>
    <w:rsid w:val="00AE7203"/>
    <w:rsid w:val="00AE7236"/>
    <w:rsid w:val="00AE755A"/>
    <w:rsid w:val="00AE7632"/>
    <w:rsid w:val="00AE770F"/>
    <w:rsid w:val="00AE7711"/>
    <w:rsid w:val="00AE773C"/>
    <w:rsid w:val="00AE7A29"/>
    <w:rsid w:val="00AE7B19"/>
    <w:rsid w:val="00AE7B84"/>
    <w:rsid w:val="00AE7CDD"/>
    <w:rsid w:val="00AE7FF5"/>
    <w:rsid w:val="00AF0302"/>
    <w:rsid w:val="00AF04B6"/>
    <w:rsid w:val="00AF0BE0"/>
    <w:rsid w:val="00AF0D40"/>
    <w:rsid w:val="00AF0FBF"/>
    <w:rsid w:val="00AF127F"/>
    <w:rsid w:val="00AF1349"/>
    <w:rsid w:val="00AF16E4"/>
    <w:rsid w:val="00AF195E"/>
    <w:rsid w:val="00AF1B82"/>
    <w:rsid w:val="00AF1B95"/>
    <w:rsid w:val="00AF1F8F"/>
    <w:rsid w:val="00AF1FAB"/>
    <w:rsid w:val="00AF2209"/>
    <w:rsid w:val="00AF230F"/>
    <w:rsid w:val="00AF2390"/>
    <w:rsid w:val="00AF2887"/>
    <w:rsid w:val="00AF2E8D"/>
    <w:rsid w:val="00AF39C7"/>
    <w:rsid w:val="00AF3AE6"/>
    <w:rsid w:val="00AF3C64"/>
    <w:rsid w:val="00AF3EC2"/>
    <w:rsid w:val="00AF3F61"/>
    <w:rsid w:val="00AF3FF4"/>
    <w:rsid w:val="00AF4043"/>
    <w:rsid w:val="00AF4072"/>
    <w:rsid w:val="00AF40A9"/>
    <w:rsid w:val="00AF4216"/>
    <w:rsid w:val="00AF437A"/>
    <w:rsid w:val="00AF482A"/>
    <w:rsid w:val="00AF497C"/>
    <w:rsid w:val="00AF4B85"/>
    <w:rsid w:val="00AF4F1C"/>
    <w:rsid w:val="00AF4F6A"/>
    <w:rsid w:val="00AF50D1"/>
    <w:rsid w:val="00AF50D8"/>
    <w:rsid w:val="00AF53D3"/>
    <w:rsid w:val="00AF5428"/>
    <w:rsid w:val="00AF56CB"/>
    <w:rsid w:val="00AF5A64"/>
    <w:rsid w:val="00AF5FB0"/>
    <w:rsid w:val="00AF5FDC"/>
    <w:rsid w:val="00AF62C3"/>
    <w:rsid w:val="00AF6659"/>
    <w:rsid w:val="00AF668D"/>
    <w:rsid w:val="00AF670C"/>
    <w:rsid w:val="00AF672B"/>
    <w:rsid w:val="00AF67F9"/>
    <w:rsid w:val="00AF692E"/>
    <w:rsid w:val="00AF6A50"/>
    <w:rsid w:val="00AF6B4C"/>
    <w:rsid w:val="00AF6C62"/>
    <w:rsid w:val="00AF6E52"/>
    <w:rsid w:val="00AF6EE7"/>
    <w:rsid w:val="00AF703F"/>
    <w:rsid w:val="00AF704E"/>
    <w:rsid w:val="00AF717B"/>
    <w:rsid w:val="00AF73ED"/>
    <w:rsid w:val="00AF73F7"/>
    <w:rsid w:val="00AF7510"/>
    <w:rsid w:val="00AF75F9"/>
    <w:rsid w:val="00AF7BD2"/>
    <w:rsid w:val="00AF7D75"/>
    <w:rsid w:val="00AF7E26"/>
    <w:rsid w:val="00B00481"/>
    <w:rsid w:val="00B0094F"/>
    <w:rsid w:val="00B00A41"/>
    <w:rsid w:val="00B00ABF"/>
    <w:rsid w:val="00B00B0C"/>
    <w:rsid w:val="00B00B2E"/>
    <w:rsid w:val="00B00C06"/>
    <w:rsid w:val="00B00DCA"/>
    <w:rsid w:val="00B010F7"/>
    <w:rsid w:val="00B01284"/>
    <w:rsid w:val="00B01334"/>
    <w:rsid w:val="00B01347"/>
    <w:rsid w:val="00B01504"/>
    <w:rsid w:val="00B01813"/>
    <w:rsid w:val="00B018AF"/>
    <w:rsid w:val="00B01BE5"/>
    <w:rsid w:val="00B01EEB"/>
    <w:rsid w:val="00B020FA"/>
    <w:rsid w:val="00B02531"/>
    <w:rsid w:val="00B02698"/>
    <w:rsid w:val="00B026A7"/>
    <w:rsid w:val="00B0271F"/>
    <w:rsid w:val="00B02BE5"/>
    <w:rsid w:val="00B02C41"/>
    <w:rsid w:val="00B02FBC"/>
    <w:rsid w:val="00B0315D"/>
    <w:rsid w:val="00B0328E"/>
    <w:rsid w:val="00B0344A"/>
    <w:rsid w:val="00B034C9"/>
    <w:rsid w:val="00B0359D"/>
    <w:rsid w:val="00B035B7"/>
    <w:rsid w:val="00B0385A"/>
    <w:rsid w:val="00B039F1"/>
    <w:rsid w:val="00B03A87"/>
    <w:rsid w:val="00B03D30"/>
    <w:rsid w:val="00B03E14"/>
    <w:rsid w:val="00B03FE0"/>
    <w:rsid w:val="00B04067"/>
    <w:rsid w:val="00B04236"/>
    <w:rsid w:val="00B045CF"/>
    <w:rsid w:val="00B04738"/>
    <w:rsid w:val="00B04BDE"/>
    <w:rsid w:val="00B04CAA"/>
    <w:rsid w:val="00B04D9D"/>
    <w:rsid w:val="00B04EB1"/>
    <w:rsid w:val="00B050B5"/>
    <w:rsid w:val="00B05388"/>
    <w:rsid w:val="00B05E27"/>
    <w:rsid w:val="00B06098"/>
    <w:rsid w:val="00B067B3"/>
    <w:rsid w:val="00B0691C"/>
    <w:rsid w:val="00B06A0C"/>
    <w:rsid w:val="00B06A1A"/>
    <w:rsid w:val="00B06BEC"/>
    <w:rsid w:val="00B06F03"/>
    <w:rsid w:val="00B0707F"/>
    <w:rsid w:val="00B070D5"/>
    <w:rsid w:val="00B077E3"/>
    <w:rsid w:val="00B0798E"/>
    <w:rsid w:val="00B07AD1"/>
    <w:rsid w:val="00B07B7F"/>
    <w:rsid w:val="00B07DF0"/>
    <w:rsid w:val="00B07F28"/>
    <w:rsid w:val="00B10069"/>
    <w:rsid w:val="00B10363"/>
    <w:rsid w:val="00B103C9"/>
    <w:rsid w:val="00B10570"/>
    <w:rsid w:val="00B1066A"/>
    <w:rsid w:val="00B10725"/>
    <w:rsid w:val="00B1076F"/>
    <w:rsid w:val="00B108AA"/>
    <w:rsid w:val="00B10927"/>
    <w:rsid w:val="00B109A2"/>
    <w:rsid w:val="00B109B7"/>
    <w:rsid w:val="00B10A20"/>
    <w:rsid w:val="00B10A2B"/>
    <w:rsid w:val="00B10D6F"/>
    <w:rsid w:val="00B10EF0"/>
    <w:rsid w:val="00B10F69"/>
    <w:rsid w:val="00B111EA"/>
    <w:rsid w:val="00B11503"/>
    <w:rsid w:val="00B116A1"/>
    <w:rsid w:val="00B117D8"/>
    <w:rsid w:val="00B11A5B"/>
    <w:rsid w:val="00B11A7B"/>
    <w:rsid w:val="00B11A8E"/>
    <w:rsid w:val="00B11CDD"/>
    <w:rsid w:val="00B11FA4"/>
    <w:rsid w:val="00B1209B"/>
    <w:rsid w:val="00B12115"/>
    <w:rsid w:val="00B12116"/>
    <w:rsid w:val="00B12221"/>
    <w:rsid w:val="00B12274"/>
    <w:rsid w:val="00B12570"/>
    <w:rsid w:val="00B125D2"/>
    <w:rsid w:val="00B129A7"/>
    <w:rsid w:val="00B12B12"/>
    <w:rsid w:val="00B12B21"/>
    <w:rsid w:val="00B12C34"/>
    <w:rsid w:val="00B12DAA"/>
    <w:rsid w:val="00B12E3C"/>
    <w:rsid w:val="00B12E49"/>
    <w:rsid w:val="00B12FC2"/>
    <w:rsid w:val="00B1317E"/>
    <w:rsid w:val="00B131EA"/>
    <w:rsid w:val="00B132A6"/>
    <w:rsid w:val="00B132F5"/>
    <w:rsid w:val="00B1335D"/>
    <w:rsid w:val="00B135DE"/>
    <w:rsid w:val="00B13600"/>
    <w:rsid w:val="00B13618"/>
    <w:rsid w:val="00B13640"/>
    <w:rsid w:val="00B137C4"/>
    <w:rsid w:val="00B1382A"/>
    <w:rsid w:val="00B13C59"/>
    <w:rsid w:val="00B13EA2"/>
    <w:rsid w:val="00B14060"/>
    <w:rsid w:val="00B14409"/>
    <w:rsid w:val="00B149CF"/>
    <w:rsid w:val="00B14A9B"/>
    <w:rsid w:val="00B14B58"/>
    <w:rsid w:val="00B14B78"/>
    <w:rsid w:val="00B14BC2"/>
    <w:rsid w:val="00B14F3C"/>
    <w:rsid w:val="00B1514F"/>
    <w:rsid w:val="00B1523C"/>
    <w:rsid w:val="00B15412"/>
    <w:rsid w:val="00B1544F"/>
    <w:rsid w:val="00B15498"/>
    <w:rsid w:val="00B1555C"/>
    <w:rsid w:val="00B156B1"/>
    <w:rsid w:val="00B159E8"/>
    <w:rsid w:val="00B15E0B"/>
    <w:rsid w:val="00B15FE3"/>
    <w:rsid w:val="00B1619F"/>
    <w:rsid w:val="00B16270"/>
    <w:rsid w:val="00B16361"/>
    <w:rsid w:val="00B166E3"/>
    <w:rsid w:val="00B16B65"/>
    <w:rsid w:val="00B16DFE"/>
    <w:rsid w:val="00B16E80"/>
    <w:rsid w:val="00B1708C"/>
    <w:rsid w:val="00B173D5"/>
    <w:rsid w:val="00B178EC"/>
    <w:rsid w:val="00B17C3F"/>
    <w:rsid w:val="00B17CBF"/>
    <w:rsid w:val="00B17EAA"/>
    <w:rsid w:val="00B2017E"/>
    <w:rsid w:val="00B20197"/>
    <w:rsid w:val="00B201AE"/>
    <w:rsid w:val="00B201C1"/>
    <w:rsid w:val="00B20ABB"/>
    <w:rsid w:val="00B20CB9"/>
    <w:rsid w:val="00B20EC9"/>
    <w:rsid w:val="00B21081"/>
    <w:rsid w:val="00B211B3"/>
    <w:rsid w:val="00B213AF"/>
    <w:rsid w:val="00B213C1"/>
    <w:rsid w:val="00B214D8"/>
    <w:rsid w:val="00B214DF"/>
    <w:rsid w:val="00B2160D"/>
    <w:rsid w:val="00B21612"/>
    <w:rsid w:val="00B216E1"/>
    <w:rsid w:val="00B21722"/>
    <w:rsid w:val="00B21C11"/>
    <w:rsid w:val="00B21FEE"/>
    <w:rsid w:val="00B220F7"/>
    <w:rsid w:val="00B223A9"/>
    <w:rsid w:val="00B22487"/>
    <w:rsid w:val="00B22491"/>
    <w:rsid w:val="00B2288C"/>
    <w:rsid w:val="00B22CAC"/>
    <w:rsid w:val="00B22D10"/>
    <w:rsid w:val="00B2337F"/>
    <w:rsid w:val="00B23632"/>
    <w:rsid w:val="00B2368C"/>
    <w:rsid w:val="00B236B1"/>
    <w:rsid w:val="00B239C8"/>
    <w:rsid w:val="00B23AB0"/>
    <w:rsid w:val="00B23C8D"/>
    <w:rsid w:val="00B23D9A"/>
    <w:rsid w:val="00B23EAB"/>
    <w:rsid w:val="00B24130"/>
    <w:rsid w:val="00B24162"/>
    <w:rsid w:val="00B243F1"/>
    <w:rsid w:val="00B246FF"/>
    <w:rsid w:val="00B24A6C"/>
    <w:rsid w:val="00B24A7A"/>
    <w:rsid w:val="00B251D1"/>
    <w:rsid w:val="00B2541B"/>
    <w:rsid w:val="00B25559"/>
    <w:rsid w:val="00B25661"/>
    <w:rsid w:val="00B2577A"/>
    <w:rsid w:val="00B258C1"/>
    <w:rsid w:val="00B26259"/>
    <w:rsid w:val="00B262C4"/>
    <w:rsid w:val="00B26401"/>
    <w:rsid w:val="00B266AF"/>
    <w:rsid w:val="00B26787"/>
    <w:rsid w:val="00B26988"/>
    <w:rsid w:val="00B26D0A"/>
    <w:rsid w:val="00B26E93"/>
    <w:rsid w:val="00B26F7D"/>
    <w:rsid w:val="00B27123"/>
    <w:rsid w:val="00B27383"/>
    <w:rsid w:val="00B27454"/>
    <w:rsid w:val="00B27553"/>
    <w:rsid w:val="00B2771E"/>
    <w:rsid w:val="00B27748"/>
    <w:rsid w:val="00B278C4"/>
    <w:rsid w:val="00B27993"/>
    <w:rsid w:val="00B27F84"/>
    <w:rsid w:val="00B302E8"/>
    <w:rsid w:val="00B302F3"/>
    <w:rsid w:val="00B30554"/>
    <w:rsid w:val="00B30715"/>
    <w:rsid w:val="00B30A05"/>
    <w:rsid w:val="00B30DBB"/>
    <w:rsid w:val="00B30EB9"/>
    <w:rsid w:val="00B310B1"/>
    <w:rsid w:val="00B31252"/>
    <w:rsid w:val="00B31420"/>
    <w:rsid w:val="00B31621"/>
    <w:rsid w:val="00B318EB"/>
    <w:rsid w:val="00B31AA8"/>
    <w:rsid w:val="00B31B5A"/>
    <w:rsid w:val="00B3210B"/>
    <w:rsid w:val="00B32150"/>
    <w:rsid w:val="00B32208"/>
    <w:rsid w:val="00B323B5"/>
    <w:rsid w:val="00B324C9"/>
    <w:rsid w:val="00B324D2"/>
    <w:rsid w:val="00B32602"/>
    <w:rsid w:val="00B326AC"/>
    <w:rsid w:val="00B32B2C"/>
    <w:rsid w:val="00B335CC"/>
    <w:rsid w:val="00B3364C"/>
    <w:rsid w:val="00B33712"/>
    <w:rsid w:val="00B337BF"/>
    <w:rsid w:val="00B33877"/>
    <w:rsid w:val="00B339FD"/>
    <w:rsid w:val="00B33A0F"/>
    <w:rsid w:val="00B33C35"/>
    <w:rsid w:val="00B3454A"/>
    <w:rsid w:val="00B34567"/>
    <w:rsid w:val="00B345ED"/>
    <w:rsid w:val="00B346A9"/>
    <w:rsid w:val="00B34730"/>
    <w:rsid w:val="00B34788"/>
    <w:rsid w:val="00B34944"/>
    <w:rsid w:val="00B34B3F"/>
    <w:rsid w:val="00B34BB5"/>
    <w:rsid w:val="00B34F06"/>
    <w:rsid w:val="00B34F7E"/>
    <w:rsid w:val="00B35149"/>
    <w:rsid w:val="00B35366"/>
    <w:rsid w:val="00B35423"/>
    <w:rsid w:val="00B3553C"/>
    <w:rsid w:val="00B35629"/>
    <w:rsid w:val="00B356FE"/>
    <w:rsid w:val="00B35828"/>
    <w:rsid w:val="00B359AB"/>
    <w:rsid w:val="00B35C20"/>
    <w:rsid w:val="00B361E9"/>
    <w:rsid w:val="00B363CE"/>
    <w:rsid w:val="00B365D9"/>
    <w:rsid w:val="00B368F9"/>
    <w:rsid w:val="00B36A42"/>
    <w:rsid w:val="00B36B28"/>
    <w:rsid w:val="00B36C92"/>
    <w:rsid w:val="00B372FE"/>
    <w:rsid w:val="00B3799C"/>
    <w:rsid w:val="00B37D08"/>
    <w:rsid w:val="00B37D68"/>
    <w:rsid w:val="00B37DE1"/>
    <w:rsid w:val="00B37F3C"/>
    <w:rsid w:val="00B40116"/>
    <w:rsid w:val="00B40292"/>
    <w:rsid w:val="00B402A6"/>
    <w:rsid w:val="00B4032D"/>
    <w:rsid w:val="00B406DA"/>
    <w:rsid w:val="00B40945"/>
    <w:rsid w:val="00B40A5A"/>
    <w:rsid w:val="00B40B00"/>
    <w:rsid w:val="00B40DC9"/>
    <w:rsid w:val="00B40ED4"/>
    <w:rsid w:val="00B415A1"/>
    <w:rsid w:val="00B415FD"/>
    <w:rsid w:val="00B41791"/>
    <w:rsid w:val="00B418BC"/>
    <w:rsid w:val="00B41A35"/>
    <w:rsid w:val="00B41A4C"/>
    <w:rsid w:val="00B41B20"/>
    <w:rsid w:val="00B41BFD"/>
    <w:rsid w:val="00B41C2F"/>
    <w:rsid w:val="00B41D5A"/>
    <w:rsid w:val="00B420DE"/>
    <w:rsid w:val="00B4212E"/>
    <w:rsid w:val="00B422BF"/>
    <w:rsid w:val="00B422EE"/>
    <w:rsid w:val="00B4260E"/>
    <w:rsid w:val="00B42875"/>
    <w:rsid w:val="00B42A33"/>
    <w:rsid w:val="00B42A5C"/>
    <w:rsid w:val="00B42B33"/>
    <w:rsid w:val="00B42B55"/>
    <w:rsid w:val="00B42BA8"/>
    <w:rsid w:val="00B42E26"/>
    <w:rsid w:val="00B42F53"/>
    <w:rsid w:val="00B43130"/>
    <w:rsid w:val="00B432FD"/>
    <w:rsid w:val="00B43365"/>
    <w:rsid w:val="00B433C1"/>
    <w:rsid w:val="00B43534"/>
    <w:rsid w:val="00B43686"/>
    <w:rsid w:val="00B43A39"/>
    <w:rsid w:val="00B43BF4"/>
    <w:rsid w:val="00B43C2A"/>
    <w:rsid w:val="00B43C8E"/>
    <w:rsid w:val="00B43F7D"/>
    <w:rsid w:val="00B444B4"/>
    <w:rsid w:val="00B445B7"/>
    <w:rsid w:val="00B446D2"/>
    <w:rsid w:val="00B4477F"/>
    <w:rsid w:val="00B4499F"/>
    <w:rsid w:val="00B44D15"/>
    <w:rsid w:val="00B45319"/>
    <w:rsid w:val="00B4554B"/>
    <w:rsid w:val="00B455A2"/>
    <w:rsid w:val="00B455B8"/>
    <w:rsid w:val="00B45797"/>
    <w:rsid w:val="00B45919"/>
    <w:rsid w:val="00B45A13"/>
    <w:rsid w:val="00B45EDF"/>
    <w:rsid w:val="00B45FF2"/>
    <w:rsid w:val="00B46564"/>
    <w:rsid w:val="00B4664B"/>
    <w:rsid w:val="00B46723"/>
    <w:rsid w:val="00B46751"/>
    <w:rsid w:val="00B46766"/>
    <w:rsid w:val="00B468A4"/>
    <w:rsid w:val="00B46902"/>
    <w:rsid w:val="00B4695C"/>
    <w:rsid w:val="00B469E3"/>
    <w:rsid w:val="00B46A72"/>
    <w:rsid w:val="00B46FCA"/>
    <w:rsid w:val="00B47031"/>
    <w:rsid w:val="00B470FE"/>
    <w:rsid w:val="00B472A1"/>
    <w:rsid w:val="00B472EA"/>
    <w:rsid w:val="00B473B6"/>
    <w:rsid w:val="00B47491"/>
    <w:rsid w:val="00B47C6A"/>
    <w:rsid w:val="00B5030E"/>
    <w:rsid w:val="00B503F5"/>
    <w:rsid w:val="00B504C4"/>
    <w:rsid w:val="00B506AB"/>
    <w:rsid w:val="00B506C2"/>
    <w:rsid w:val="00B507AC"/>
    <w:rsid w:val="00B50A8F"/>
    <w:rsid w:val="00B50BA7"/>
    <w:rsid w:val="00B50CEF"/>
    <w:rsid w:val="00B50F5E"/>
    <w:rsid w:val="00B50F6C"/>
    <w:rsid w:val="00B50FDD"/>
    <w:rsid w:val="00B50FEA"/>
    <w:rsid w:val="00B51007"/>
    <w:rsid w:val="00B51177"/>
    <w:rsid w:val="00B51260"/>
    <w:rsid w:val="00B5131D"/>
    <w:rsid w:val="00B51329"/>
    <w:rsid w:val="00B5135D"/>
    <w:rsid w:val="00B51384"/>
    <w:rsid w:val="00B51412"/>
    <w:rsid w:val="00B5156B"/>
    <w:rsid w:val="00B51589"/>
    <w:rsid w:val="00B515B5"/>
    <w:rsid w:val="00B51663"/>
    <w:rsid w:val="00B518C7"/>
    <w:rsid w:val="00B51AEF"/>
    <w:rsid w:val="00B51BD3"/>
    <w:rsid w:val="00B51C13"/>
    <w:rsid w:val="00B51C21"/>
    <w:rsid w:val="00B51E4B"/>
    <w:rsid w:val="00B51ECB"/>
    <w:rsid w:val="00B51FD2"/>
    <w:rsid w:val="00B52492"/>
    <w:rsid w:val="00B52687"/>
    <w:rsid w:val="00B52850"/>
    <w:rsid w:val="00B529DF"/>
    <w:rsid w:val="00B52F43"/>
    <w:rsid w:val="00B531B5"/>
    <w:rsid w:val="00B531E9"/>
    <w:rsid w:val="00B5328A"/>
    <w:rsid w:val="00B53375"/>
    <w:rsid w:val="00B536F1"/>
    <w:rsid w:val="00B53856"/>
    <w:rsid w:val="00B538CD"/>
    <w:rsid w:val="00B53C6D"/>
    <w:rsid w:val="00B53D32"/>
    <w:rsid w:val="00B53E7A"/>
    <w:rsid w:val="00B53EBB"/>
    <w:rsid w:val="00B53EC6"/>
    <w:rsid w:val="00B541D9"/>
    <w:rsid w:val="00B545F4"/>
    <w:rsid w:val="00B5463D"/>
    <w:rsid w:val="00B54694"/>
    <w:rsid w:val="00B54998"/>
    <w:rsid w:val="00B54A4A"/>
    <w:rsid w:val="00B54C12"/>
    <w:rsid w:val="00B54D61"/>
    <w:rsid w:val="00B54FF7"/>
    <w:rsid w:val="00B551B1"/>
    <w:rsid w:val="00B551BF"/>
    <w:rsid w:val="00B5579B"/>
    <w:rsid w:val="00B5580D"/>
    <w:rsid w:val="00B55811"/>
    <w:rsid w:val="00B55A74"/>
    <w:rsid w:val="00B55EF7"/>
    <w:rsid w:val="00B55F84"/>
    <w:rsid w:val="00B560A9"/>
    <w:rsid w:val="00B56259"/>
    <w:rsid w:val="00B5659D"/>
    <w:rsid w:val="00B5665A"/>
    <w:rsid w:val="00B56660"/>
    <w:rsid w:val="00B56826"/>
    <w:rsid w:val="00B56970"/>
    <w:rsid w:val="00B56973"/>
    <w:rsid w:val="00B5699F"/>
    <w:rsid w:val="00B56A96"/>
    <w:rsid w:val="00B56B31"/>
    <w:rsid w:val="00B56C79"/>
    <w:rsid w:val="00B56EE1"/>
    <w:rsid w:val="00B57096"/>
    <w:rsid w:val="00B570D3"/>
    <w:rsid w:val="00B5712F"/>
    <w:rsid w:val="00B572B6"/>
    <w:rsid w:val="00B57B31"/>
    <w:rsid w:val="00B57C2E"/>
    <w:rsid w:val="00B57F7A"/>
    <w:rsid w:val="00B600A5"/>
    <w:rsid w:val="00B6020B"/>
    <w:rsid w:val="00B6037B"/>
    <w:rsid w:val="00B60536"/>
    <w:rsid w:val="00B60D1F"/>
    <w:rsid w:val="00B60D36"/>
    <w:rsid w:val="00B6131C"/>
    <w:rsid w:val="00B6139B"/>
    <w:rsid w:val="00B61727"/>
    <w:rsid w:val="00B61A58"/>
    <w:rsid w:val="00B61BB4"/>
    <w:rsid w:val="00B61E8D"/>
    <w:rsid w:val="00B62066"/>
    <w:rsid w:val="00B6239C"/>
    <w:rsid w:val="00B6254F"/>
    <w:rsid w:val="00B627BB"/>
    <w:rsid w:val="00B627E6"/>
    <w:rsid w:val="00B6280A"/>
    <w:rsid w:val="00B62AB8"/>
    <w:rsid w:val="00B62D8E"/>
    <w:rsid w:val="00B62FBD"/>
    <w:rsid w:val="00B6321C"/>
    <w:rsid w:val="00B6373B"/>
    <w:rsid w:val="00B637CF"/>
    <w:rsid w:val="00B637FD"/>
    <w:rsid w:val="00B63976"/>
    <w:rsid w:val="00B639F8"/>
    <w:rsid w:val="00B63AEC"/>
    <w:rsid w:val="00B63B0B"/>
    <w:rsid w:val="00B63B27"/>
    <w:rsid w:val="00B63D55"/>
    <w:rsid w:val="00B63FE5"/>
    <w:rsid w:val="00B64282"/>
    <w:rsid w:val="00B64387"/>
    <w:rsid w:val="00B64476"/>
    <w:rsid w:val="00B649C4"/>
    <w:rsid w:val="00B64B17"/>
    <w:rsid w:val="00B64BD1"/>
    <w:rsid w:val="00B64C9D"/>
    <w:rsid w:val="00B64CEE"/>
    <w:rsid w:val="00B64D9E"/>
    <w:rsid w:val="00B64EFB"/>
    <w:rsid w:val="00B65245"/>
    <w:rsid w:val="00B6533E"/>
    <w:rsid w:val="00B653A9"/>
    <w:rsid w:val="00B6545A"/>
    <w:rsid w:val="00B658BD"/>
    <w:rsid w:val="00B65909"/>
    <w:rsid w:val="00B65928"/>
    <w:rsid w:val="00B6596E"/>
    <w:rsid w:val="00B65CCE"/>
    <w:rsid w:val="00B65E0F"/>
    <w:rsid w:val="00B65EF8"/>
    <w:rsid w:val="00B66093"/>
    <w:rsid w:val="00B6612B"/>
    <w:rsid w:val="00B661BE"/>
    <w:rsid w:val="00B6622A"/>
    <w:rsid w:val="00B66791"/>
    <w:rsid w:val="00B66927"/>
    <w:rsid w:val="00B669C8"/>
    <w:rsid w:val="00B66DF8"/>
    <w:rsid w:val="00B66EBD"/>
    <w:rsid w:val="00B670D3"/>
    <w:rsid w:val="00B677DF"/>
    <w:rsid w:val="00B67A16"/>
    <w:rsid w:val="00B67A3D"/>
    <w:rsid w:val="00B67C90"/>
    <w:rsid w:val="00B67DE2"/>
    <w:rsid w:val="00B7001E"/>
    <w:rsid w:val="00B702B7"/>
    <w:rsid w:val="00B7031F"/>
    <w:rsid w:val="00B7035B"/>
    <w:rsid w:val="00B706C2"/>
    <w:rsid w:val="00B70735"/>
    <w:rsid w:val="00B70813"/>
    <w:rsid w:val="00B7081A"/>
    <w:rsid w:val="00B70870"/>
    <w:rsid w:val="00B70927"/>
    <w:rsid w:val="00B70940"/>
    <w:rsid w:val="00B70977"/>
    <w:rsid w:val="00B70C31"/>
    <w:rsid w:val="00B70C9B"/>
    <w:rsid w:val="00B70D71"/>
    <w:rsid w:val="00B70FBA"/>
    <w:rsid w:val="00B714AC"/>
    <w:rsid w:val="00B7172F"/>
    <w:rsid w:val="00B71960"/>
    <w:rsid w:val="00B71C94"/>
    <w:rsid w:val="00B71CDF"/>
    <w:rsid w:val="00B71DB0"/>
    <w:rsid w:val="00B7222D"/>
    <w:rsid w:val="00B72336"/>
    <w:rsid w:val="00B72385"/>
    <w:rsid w:val="00B723E2"/>
    <w:rsid w:val="00B72427"/>
    <w:rsid w:val="00B724B3"/>
    <w:rsid w:val="00B725CC"/>
    <w:rsid w:val="00B727EF"/>
    <w:rsid w:val="00B7280B"/>
    <w:rsid w:val="00B72820"/>
    <w:rsid w:val="00B72ABE"/>
    <w:rsid w:val="00B72AC0"/>
    <w:rsid w:val="00B72E28"/>
    <w:rsid w:val="00B72F34"/>
    <w:rsid w:val="00B7313F"/>
    <w:rsid w:val="00B733AD"/>
    <w:rsid w:val="00B7346F"/>
    <w:rsid w:val="00B734C8"/>
    <w:rsid w:val="00B734FA"/>
    <w:rsid w:val="00B735F8"/>
    <w:rsid w:val="00B73AF7"/>
    <w:rsid w:val="00B74378"/>
    <w:rsid w:val="00B74508"/>
    <w:rsid w:val="00B7462B"/>
    <w:rsid w:val="00B748A4"/>
    <w:rsid w:val="00B748A7"/>
    <w:rsid w:val="00B7496B"/>
    <w:rsid w:val="00B74DD0"/>
    <w:rsid w:val="00B74E11"/>
    <w:rsid w:val="00B7518D"/>
    <w:rsid w:val="00B753B7"/>
    <w:rsid w:val="00B7551A"/>
    <w:rsid w:val="00B757D6"/>
    <w:rsid w:val="00B75A75"/>
    <w:rsid w:val="00B76027"/>
    <w:rsid w:val="00B7604F"/>
    <w:rsid w:val="00B760E7"/>
    <w:rsid w:val="00B76373"/>
    <w:rsid w:val="00B76385"/>
    <w:rsid w:val="00B76C60"/>
    <w:rsid w:val="00B76CA6"/>
    <w:rsid w:val="00B76D82"/>
    <w:rsid w:val="00B76FA4"/>
    <w:rsid w:val="00B77125"/>
    <w:rsid w:val="00B7750E"/>
    <w:rsid w:val="00B7771B"/>
    <w:rsid w:val="00B7778D"/>
    <w:rsid w:val="00B77A79"/>
    <w:rsid w:val="00B77BA5"/>
    <w:rsid w:val="00B77CF6"/>
    <w:rsid w:val="00B77DA8"/>
    <w:rsid w:val="00B8003E"/>
    <w:rsid w:val="00B80060"/>
    <w:rsid w:val="00B808A1"/>
    <w:rsid w:val="00B809F4"/>
    <w:rsid w:val="00B80B45"/>
    <w:rsid w:val="00B80B8B"/>
    <w:rsid w:val="00B80F1D"/>
    <w:rsid w:val="00B81028"/>
    <w:rsid w:val="00B81076"/>
    <w:rsid w:val="00B814B2"/>
    <w:rsid w:val="00B8156E"/>
    <w:rsid w:val="00B81588"/>
    <w:rsid w:val="00B816E8"/>
    <w:rsid w:val="00B81914"/>
    <w:rsid w:val="00B81A5D"/>
    <w:rsid w:val="00B81AD4"/>
    <w:rsid w:val="00B81C1D"/>
    <w:rsid w:val="00B81D86"/>
    <w:rsid w:val="00B81EB3"/>
    <w:rsid w:val="00B81FA9"/>
    <w:rsid w:val="00B8219C"/>
    <w:rsid w:val="00B826AE"/>
    <w:rsid w:val="00B8278F"/>
    <w:rsid w:val="00B8287E"/>
    <w:rsid w:val="00B828D1"/>
    <w:rsid w:val="00B8290C"/>
    <w:rsid w:val="00B82A13"/>
    <w:rsid w:val="00B82D48"/>
    <w:rsid w:val="00B82DDC"/>
    <w:rsid w:val="00B83028"/>
    <w:rsid w:val="00B831DB"/>
    <w:rsid w:val="00B83215"/>
    <w:rsid w:val="00B83241"/>
    <w:rsid w:val="00B834EE"/>
    <w:rsid w:val="00B8357F"/>
    <w:rsid w:val="00B83652"/>
    <w:rsid w:val="00B83831"/>
    <w:rsid w:val="00B83B3D"/>
    <w:rsid w:val="00B83D47"/>
    <w:rsid w:val="00B83F46"/>
    <w:rsid w:val="00B83F61"/>
    <w:rsid w:val="00B84164"/>
    <w:rsid w:val="00B8436E"/>
    <w:rsid w:val="00B8468E"/>
    <w:rsid w:val="00B846EF"/>
    <w:rsid w:val="00B84ED1"/>
    <w:rsid w:val="00B84ED5"/>
    <w:rsid w:val="00B84F94"/>
    <w:rsid w:val="00B85091"/>
    <w:rsid w:val="00B853FE"/>
    <w:rsid w:val="00B85609"/>
    <w:rsid w:val="00B858D0"/>
    <w:rsid w:val="00B85B84"/>
    <w:rsid w:val="00B85F0A"/>
    <w:rsid w:val="00B86102"/>
    <w:rsid w:val="00B8655E"/>
    <w:rsid w:val="00B8685F"/>
    <w:rsid w:val="00B86FBF"/>
    <w:rsid w:val="00B872C5"/>
    <w:rsid w:val="00B87431"/>
    <w:rsid w:val="00B8754B"/>
    <w:rsid w:val="00B87578"/>
    <w:rsid w:val="00B876AB"/>
    <w:rsid w:val="00B8777A"/>
    <w:rsid w:val="00B87844"/>
    <w:rsid w:val="00B87888"/>
    <w:rsid w:val="00B87B08"/>
    <w:rsid w:val="00B87B1C"/>
    <w:rsid w:val="00B87B9A"/>
    <w:rsid w:val="00B87CD8"/>
    <w:rsid w:val="00B87D6C"/>
    <w:rsid w:val="00B90080"/>
    <w:rsid w:val="00B90435"/>
    <w:rsid w:val="00B9046B"/>
    <w:rsid w:val="00B904F5"/>
    <w:rsid w:val="00B906F9"/>
    <w:rsid w:val="00B910E1"/>
    <w:rsid w:val="00B912DD"/>
    <w:rsid w:val="00B917C1"/>
    <w:rsid w:val="00B91A0A"/>
    <w:rsid w:val="00B91AF0"/>
    <w:rsid w:val="00B91CB4"/>
    <w:rsid w:val="00B91E59"/>
    <w:rsid w:val="00B9200D"/>
    <w:rsid w:val="00B92151"/>
    <w:rsid w:val="00B921D9"/>
    <w:rsid w:val="00B92725"/>
    <w:rsid w:val="00B927A0"/>
    <w:rsid w:val="00B92903"/>
    <w:rsid w:val="00B92B2D"/>
    <w:rsid w:val="00B92E2E"/>
    <w:rsid w:val="00B932FC"/>
    <w:rsid w:val="00B93543"/>
    <w:rsid w:val="00B93CBA"/>
    <w:rsid w:val="00B93D0E"/>
    <w:rsid w:val="00B93E0B"/>
    <w:rsid w:val="00B944E0"/>
    <w:rsid w:val="00B946C5"/>
    <w:rsid w:val="00B94940"/>
    <w:rsid w:val="00B94C94"/>
    <w:rsid w:val="00B94CF2"/>
    <w:rsid w:val="00B94E01"/>
    <w:rsid w:val="00B95346"/>
    <w:rsid w:val="00B95452"/>
    <w:rsid w:val="00B9578A"/>
    <w:rsid w:val="00B958CE"/>
    <w:rsid w:val="00B9593E"/>
    <w:rsid w:val="00B95C18"/>
    <w:rsid w:val="00B95C24"/>
    <w:rsid w:val="00B960B1"/>
    <w:rsid w:val="00B96116"/>
    <w:rsid w:val="00B96151"/>
    <w:rsid w:val="00B9615E"/>
    <w:rsid w:val="00B9617A"/>
    <w:rsid w:val="00B962E0"/>
    <w:rsid w:val="00B9633F"/>
    <w:rsid w:val="00B963AC"/>
    <w:rsid w:val="00B9668A"/>
    <w:rsid w:val="00B96710"/>
    <w:rsid w:val="00B96713"/>
    <w:rsid w:val="00B9679B"/>
    <w:rsid w:val="00B96AD2"/>
    <w:rsid w:val="00B96AF4"/>
    <w:rsid w:val="00B96B0C"/>
    <w:rsid w:val="00B96BF0"/>
    <w:rsid w:val="00B96C6C"/>
    <w:rsid w:val="00B96F66"/>
    <w:rsid w:val="00B9722B"/>
    <w:rsid w:val="00B9736F"/>
    <w:rsid w:val="00B973FA"/>
    <w:rsid w:val="00B974CC"/>
    <w:rsid w:val="00B976D0"/>
    <w:rsid w:val="00B97A9D"/>
    <w:rsid w:val="00B97CB4"/>
    <w:rsid w:val="00B97DF9"/>
    <w:rsid w:val="00B97FB9"/>
    <w:rsid w:val="00BA003D"/>
    <w:rsid w:val="00BA00C8"/>
    <w:rsid w:val="00BA0108"/>
    <w:rsid w:val="00BA024B"/>
    <w:rsid w:val="00BA02FF"/>
    <w:rsid w:val="00BA0301"/>
    <w:rsid w:val="00BA05E6"/>
    <w:rsid w:val="00BA0A9E"/>
    <w:rsid w:val="00BA0AE4"/>
    <w:rsid w:val="00BA0B9F"/>
    <w:rsid w:val="00BA0E42"/>
    <w:rsid w:val="00BA118B"/>
    <w:rsid w:val="00BA14BD"/>
    <w:rsid w:val="00BA1800"/>
    <w:rsid w:val="00BA1AB7"/>
    <w:rsid w:val="00BA2089"/>
    <w:rsid w:val="00BA2161"/>
    <w:rsid w:val="00BA2234"/>
    <w:rsid w:val="00BA26CE"/>
    <w:rsid w:val="00BA2926"/>
    <w:rsid w:val="00BA2C91"/>
    <w:rsid w:val="00BA2CFB"/>
    <w:rsid w:val="00BA2FD7"/>
    <w:rsid w:val="00BA2FEE"/>
    <w:rsid w:val="00BA39AC"/>
    <w:rsid w:val="00BA3C77"/>
    <w:rsid w:val="00BA3FBE"/>
    <w:rsid w:val="00BA3FF0"/>
    <w:rsid w:val="00BA40BD"/>
    <w:rsid w:val="00BA4176"/>
    <w:rsid w:val="00BA41E7"/>
    <w:rsid w:val="00BA4217"/>
    <w:rsid w:val="00BA43C5"/>
    <w:rsid w:val="00BA44EE"/>
    <w:rsid w:val="00BA4666"/>
    <w:rsid w:val="00BA4927"/>
    <w:rsid w:val="00BA4F18"/>
    <w:rsid w:val="00BA4F74"/>
    <w:rsid w:val="00BA4FEF"/>
    <w:rsid w:val="00BA5097"/>
    <w:rsid w:val="00BA5121"/>
    <w:rsid w:val="00BA52AC"/>
    <w:rsid w:val="00BA551F"/>
    <w:rsid w:val="00BA5A22"/>
    <w:rsid w:val="00BA5BC0"/>
    <w:rsid w:val="00BA5E42"/>
    <w:rsid w:val="00BA6107"/>
    <w:rsid w:val="00BA62B7"/>
    <w:rsid w:val="00BA675C"/>
    <w:rsid w:val="00BA67E5"/>
    <w:rsid w:val="00BA6882"/>
    <w:rsid w:val="00BA6C7D"/>
    <w:rsid w:val="00BA6DC1"/>
    <w:rsid w:val="00BA6FDB"/>
    <w:rsid w:val="00BA7001"/>
    <w:rsid w:val="00BA724B"/>
    <w:rsid w:val="00BA72A2"/>
    <w:rsid w:val="00BA7461"/>
    <w:rsid w:val="00BA7503"/>
    <w:rsid w:val="00BA75AF"/>
    <w:rsid w:val="00BA75BF"/>
    <w:rsid w:val="00BA76B6"/>
    <w:rsid w:val="00BA7962"/>
    <w:rsid w:val="00BA7A2C"/>
    <w:rsid w:val="00BA7A3E"/>
    <w:rsid w:val="00BA7ABA"/>
    <w:rsid w:val="00BA7B34"/>
    <w:rsid w:val="00BA7DFE"/>
    <w:rsid w:val="00BA7EDF"/>
    <w:rsid w:val="00BB0226"/>
    <w:rsid w:val="00BB042A"/>
    <w:rsid w:val="00BB0526"/>
    <w:rsid w:val="00BB0612"/>
    <w:rsid w:val="00BB0944"/>
    <w:rsid w:val="00BB09FC"/>
    <w:rsid w:val="00BB0A25"/>
    <w:rsid w:val="00BB0EAE"/>
    <w:rsid w:val="00BB112D"/>
    <w:rsid w:val="00BB12B2"/>
    <w:rsid w:val="00BB1348"/>
    <w:rsid w:val="00BB157D"/>
    <w:rsid w:val="00BB174A"/>
    <w:rsid w:val="00BB1CB1"/>
    <w:rsid w:val="00BB1FBD"/>
    <w:rsid w:val="00BB1FCD"/>
    <w:rsid w:val="00BB258B"/>
    <w:rsid w:val="00BB265A"/>
    <w:rsid w:val="00BB27B6"/>
    <w:rsid w:val="00BB29AB"/>
    <w:rsid w:val="00BB2B22"/>
    <w:rsid w:val="00BB2BB3"/>
    <w:rsid w:val="00BB2BC3"/>
    <w:rsid w:val="00BB3246"/>
    <w:rsid w:val="00BB332B"/>
    <w:rsid w:val="00BB35EF"/>
    <w:rsid w:val="00BB36EE"/>
    <w:rsid w:val="00BB3774"/>
    <w:rsid w:val="00BB3820"/>
    <w:rsid w:val="00BB3999"/>
    <w:rsid w:val="00BB3B43"/>
    <w:rsid w:val="00BB3C75"/>
    <w:rsid w:val="00BB3EA3"/>
    <w:rsid w:val="00BB401A"/>
    <w:rsid w:val="00BB41E8"/>
    <w:rsid w:val="00BB43C6"/>
    <w:rsid w:val="00BB4439"/>
    <w:rsid w:val="00BB451D"/>
    <w:rsid w:val="00BB454A"/>
    <w:rsid w:val="00BB4B74"/>
    <w:rsid w:val="00BB4C09"/>
    <w:rsid w:val="00BB4C1F"/>
    <w:rsid w:val="00BB4C26"/>
    <w:rsid w:val="00BB4EAD"/>
    <w:rsid w:val="00BB4F55"/>
    <w:rsid w:val="00BB4FC7"/>
    <w:rsid w:val="00BB5063"/>
    <w:rsid w:val="00BB5154"/>
    <w:rsid w:val="00BB5319"/>
    <w:rsid w:val="00BB5726"/>
    <w:rsid w:val="00BB582E"/>
    <w:rsid w:val="00BB58C3"/>
    <w:rsid w:val="00BB58E1"/>
    <w:rsid w:val="00BB5A81"/>
    <w:rsid w:val="00BB5E1C"/>
    <w:rsid w:val="00BB5EE4"/>
    <w:rsid w:val="00BB5F44"/>
    <w:rsid w:val="00BB5FC7"/>
    <w:rsid w:val="00BB5FF8"/>
    <w:rsid w:val="00BB636A"/>
    <w:rsid w:val="00BB685E"/>
    <w:rsid w:val="00BB6A7A"/>
    <w:rsid w:val="00BB6CB2"/>
    <w:rsid w:val="00BB6CD8"/>
    <w:rsid w:val="00BB6EBB"/>
    <w:rsid w:val="00BB6F0A"/>
    <w:rsid w:val="00BB6F22"/>
    <w:rsid w:val="00BB6F63"/>
    <w:rsid w:val="00BB6F8F"/>
    <w:rsid w:val="00BB7240"/>
    <w:rsid w:val="00BB739B"/>
    <w:rsid w:val="00BB745A"/>
    <w:rsid w:val="00BB75D8"/>
    <w:rsid w:val="00BB7A72"/>
    <w:rsid w:val="00BB7A74"/>
    <w:rsid w:val="00BB7AE9"/>
    <w:rsid w:val="00BB7CEC"/>
    <w:rsid w:val="00BB7CFB"/>
    <w:rsid w:val="00BB7DA1"/>
    <w:rsid w:val="00BB7DA5"/>
    <w:rsid w:val="00BB7EAA"/>
    <w:rsid w:val="00BB7F21"/>
    <w:rsid w:val="00BC038C"/>
    <w:rsid w:val="00BC0403"/>
    <w:rsid w:val="00BC04EC"/>
    <w:rsid w:val="00BC0743"/>
    <w:rsid w:val="00BC0A3F"/>
    <w:rsid w:val="00BC0ABA"/>
    <w:rsid w:val="00BC0B1E"/>
    <w:rsid w:val="00BC1123"/>
    <w:rsid w:val="00BC1375"/>
    <w:rsid w:val="00BC13B4"/>
    <w:rsid w:val="00BC13BA"/>
    <w:rsid w:val="00BC1444"/>
    <w:rsid w:val="00BC17F0"/>
    <w:rsid w:val="00BC18E5"/>
    <w:rsid w:val="00BC1976"/>
    <w:rsid w:val="00BC1A06"/>
    <w:rsid w:val="00BC1A2E"/>
    <w:rsid w:val="00BC1A5C"/>
    <w:rsid w:val="00BC1BDB"/>
    <w:rsid w:val="00BC1CDC"/>
    <w:rsid w:val="00BC1D17"/>
    <w:rsid w:val="00BC247D"/>
    <w:rsid w:val="00BC24FC"/>
    <w:rsid w:val="00BC2568"/>
    <w:rsid w:val="00BC2664"/>
    <w:rsid w:val="00BC267C"/>
    <w:rsid w:val="00BC28DA"/>
    <w:rsid w:val="00BC2B5D"/>
    <w:rsid w:val="00BC319B"/>
    <w:rsid w:val="00BC32D8"/>
    <w:rsid w:val="00BC3338"/>
    <w:rsid w:val="00BC3439"/>
    <w:rsid w:val="00BC3834"/>
    <w:rsid w:val="00BC3872"/>
    <w:rsid w:val="00BC3C08"/>
    <w:rsid w:val="00BC3D67"/>
    <w:rsid w:val="00BC3D88"/>
    <w:rsid w:val="00BC3F42"/>
    <w:rsid w:val="00BC4168"/>
    <w:rsid w:val="00BC42AB"/>
    <w:rsid w:val="00BC4436"/>
    <w:rsid w:val="00BC4814"/>
    <w:rsid w:val="00BC4977"/>
    <w:rsid w:val="00BC49AD"/>
    <w:rsid w:val="00BC4DD6"/>
    <w:rsid w:val="00BC4E8D"/>
    <w:rsid w:val="00BC4F81"/>
    <w:rsid w:val="00BC5089"/>
    <w:rsid w:val="00BC5119"/>
    <w:rsid w:val="00BC519D"/>
    <w:rsid w:val="00BC543A"/>
    <w:rsid w:val="00BC553D"/>
    <w:rsid w:val="00BC554F"/>
    <w:rsid w:val="00BC55FF"/>
    <w:rsid w:val="00BC5827"/>
    <w:rsid w:val="00BC58B8"/>
    <w:rsid w:val="00BC594F"/>
    <w:rsid w:val="00BC5B64"/>
    <w:rsid w:val="00BC5BED"/>
    <w:rsid w:val="00BC619E"/>
    <w:rsid w:val="00BC6750"/>
    <w:rsid w:val="00BC6A5E"/>
    <w:rsid w:val="00BC6BD8"/>
    <w:rsid w:val="00BC6E77"/>
    <w:rsid w:val="00BC72AD"/>
    <w:rsid w:val="00BC7358"/>
    <w:rsid w:val="00BC74BE"/>
    <w:rsid w:val="00BC76FF"/>
    <w:rsid w:val="00BC7803"/>
    <w:rsid w:val="00BC7AB7"/>
    <w:rsid w:val="00BD025C"/>
    <w:rsid w:val="00BD033B"/>
    <w:rsid w:val="00BD060F"/>
    <w:rsid w:val="00BD064E"/>
    <w:rsid w:val="00BD06B7"/>
    <w:rsid w:val="00BD070E"/>
    <w:rsid w:val="00BD077A"/>
    <w:rsid w:val="00BD07F3"/>
    <w:rsid w:val="00BD084B"/>
    <w:rsid w:val="00BD09BA"/>
    <w:rsid w:val="00BD09D4"/>
    <w:rsid w:val="00BD0A3A"/>
    <w:rsid w:val="00BD0BBC"/>
    <w:rsid w:val="00BD0E52"/>
    <w:rsid w:val="00BD0EB7"/>
    <w:rsid w:val="00BD11D8"/>
    <w:rsid w:val="00BD1395"/>
    <w:rsid w:val="00BD1580"/>
    <w:rsid w:val="00BD19E2"/>
    <w:rsid w:val="00BD1B17"/>
    <w:rsid w:val="00BD1B96"/>
    <w:rsid w:val="00BD1BB1"/>
    <w:rsid w:val="00BD1CE1"/>
    <w:rsid w:val="00BD1E3D"/>
    <w:rsid w:val="00BD2192"/>
    <w:rsid w:val="00BD2608"/>
    <w:rsid w:val="00BD27F4"/>
    <w:rsid w:val="00BD27FE"/>
    <w:rsid w:val="00BD27FF"/>
    <w:rsid w:val="00BD28A0"/>
    <w:rsid w:val="00BD2A14"/>
    <w:rsid w:val="00BD2BAB"/>
    <w:rsid w:val="00BD2BED"/>
    <w:rsid w:val="00BD2D6C"/>
    <w:rsid w:val="00BD2DFE"/>
    <w:rsid w:val="00BD303E"/>
    <w:rsid w:val="00BD30AB"/>
    <w:rsid w:val="00BD39E7"/>
    <w:rsid w:val="00BD3B95"/>
    <w:rsid w:val="00BD3CB4"/>
    <w:rsid w:val="00BD3E3C"/>
    <w:rsid w:val="00BD4020"/>
    <w:rsid w:val="00BD4102"/>
    <w:rsid w:val="00BD413D"/>
    <w:rsid w:val="00BD41FB"/>
    <w:rsid w:val="00BD43E6"/>
    <w:rsid w:val="00BD4443"/>
    <w:rsid w:val="00BD4B14"/>
    <w:rsid w:val="00BD4EA7"/>
    <w:rsid w:val="00BD4FC9"/>
    <w:rsid w:val="00BD50F9"/>
    <w:rsid w:val="00BD5267"/>
    <w:rsid w:val="00BD5436"/>
    <w:rsid w:val="00BD5476"/>
    <w:rsid w:val="00BD598C"/>
    <w:rsid w:val="00BD5B1A"/>
    <w:rsid w:val="00BD5B39"/>
    <w:rsid w:val="00BD6035"/>
    <w:rsid w:val="00BD609C"/>
    <w:rsid w:val="00BD6348"/>
    <w:rsid w:val="00BD697B"/>
    <w:rsid w:val="00BD6BE5"/>
    <w:rsid w:val="00BD6DE1"/>
    <w:rsid w:val="00BD6E4F"/>
    <w:rsid w:val="00BD71DE"/>
    <w:rsid w:val="00BD7406"/>
    <w:rsid w:val="00BD77E9"/>
    <w:rsid w:val="00BD7813"/>
    <w:rsid w:val="00BD7BB8"/>
    <w:rsid w:val="00BD7C49"/>
    <w:rsid w:val="00BD7C6E"/>
    <w:rsid w:val="00BD7E76"/>
    <w:rsid w:val="00BE00E9"/>
    <w:rsid w:val="00BE0129"/>
    <w:rsid w:val="00BE0216"/>
    <w:rsid w:val="00BE072B"/>
    <w:rsid w:val="00BE072D"/>
    <w:rsid w:val="00BE083B"/>
    <w:rsid w:val="00BE08B5"/>
    <w:rsid w:val="00BE0BA9"/>
    <w:rsid w:val="00BE0BB1"/>
    <w:rsid w:val="00BE0E11"/>
    <w:rsid w:val="00BE0FCB"/>
    <w:rsid w:val="00BE1015"/>
    <w:rsid w:val="00BE1059"/>
    <w:rsid w:val="00BE115D"/>
    <w:rsid w:val="00BE15EE"/>
    <w:rsid w:val="00BE1A06"/>
    <w:rsid w:val="00BE2155"/>
    <w:rsid w:val="00BE21F3"/>
    <w:rsid w:val="00BE2379"/>
    <w:rsid w:val="00BE24CA"/>
    <w:rsid w:val="00BE250B"/>
    <w:rsid w:val="00BE2A68"/>
    <w:rsid w:val="00BE2B09"/>
    <w:rsid w:val="00BE2B84"/>
    <w:rsid w:val="00BE2D51"/>
    <w:rsid w:val="00BE2DC7"/>
    <w:rsid w:val="00BE2F27"/>
    <w:rsid w:val="00BE2F39"/>
    <w:rsid w:val="00BE302D"/>
    <w:rsid w:val="00BE303B"/>
    <w:rsid w:val="00BE3062"/>
    <w:rsid w:val="00BE307B"/>
    <w:rsid w:val="00BE3173"/>
    <w:rsid w:val="00BE31E8"/>
    <w:rsid w:val="00BE32E4"/>
    <w:rsid w:val="00BE33FC"/>
    <w:rsid w:val="00BE3411"/>
    <w:rsid w:val="00BE3451"/>
    <w:rsid w:val="00BE3679"/>
    <w:rsid w:val="00BE3682"/>
    <w:rsid w:val="00BE39DC"/>
    <w:rsid w:val="00BE3A69"/>
    <w:rsid w:val="00BE3B9E"/>
    <w:rsid w:val="00BE3EFF"/>
    <w:rsid w:val="00BE42F2"/>
    <w:rsid w:val="00BE4339"/>
    <w:rsid w:val="00BE46BA"/>
    <w:rsid w:val="00BE488C"/>
    <w:rsid w:val="00BE49F3"/>
    <w:rsid w:val="00BE4E02"/>
    <w:rsid w:val="00BE5087"/>
    <w:rsid w:val="00BE5322"/>
    <w:rsid w:val="00BE543B"/>
    <w:rsid w:val="00BE581B"/>
    <w:rsid w:val="00BE598C"/>
    <w:rsid w:val="00BE611E"/>
    <w:rsid w:val="00BE6571"/>
    <w:rsid w:val="00BE65B0"/>
    <w:rsid w:val="00BE6659"/>
    <w:rsid w:val="00BE6687"/>
    <w:rsid w:val="00BE6831"/>
    <w:rsid w:val="00BE684D"/>
    <w:rsid w:val="00BE6879"/>
    <w:rsid w:val="00BE69AB"/>
    <w:rsid w:val="00BE69FD"/>
    <w:rsid w:val="00BE6EE1"/>
    <w:rsid w:val="00BE6F41"/>
    <w:rsid w:val="00BE6F46"/>
    <w:rsid w:val="00BE6FF8"/>
    <w:rsid w:val="00BE726C"/>
    <w:rsid w:val="00BE7454"/>
    <w:rsid w:val="00BE78F9"/>
    <w:rsid w:val="00BE7A36"/>
    <w:rsid w:val="00BE7F4F"/>
    <w:rsid w:val="00BF00CA"/>
    <w:rsid w:val="00BF0320"/>
    <w:rsid w:val="00BF0695"/>
    <w:rsid w:val="00BF06C1"/>
    <w:rsid w:val="00BF07AF"/>
    <w:rsid w:val="00BF0D49"/>
    <w:rsid w:val="00BF0D92"/>
    <w:rsid w:val="00BF0E55"/>
    <w:rsid w:val="00BF10BA"/>
    <w:rsid w:val="00BF11C2"/>
    <w:rsid w:val="00BF1299"/>
    <w:rsid w:val="00BF130D"/>
    <w:rsid w:val="00BF1595"/>
    <w:rsid w:val="00BF15B9"/>
    <w:rsid w:val="00BF18FA"/>
    <w:rsid w:val="00BF1A37"/>
    <w:rsid w:val="00BF1C11"/>
    <w:rsid w:val="00BF1D4D"/>
    <w:rsid w:val="00BF1DF1"/>
    <w:rsid w:val="00BF1F57"/>
    <w:rsid w:val="00BF20F5"/>
    <w:rsid w:val="00BF2186"/>
    <w:rsid w:val="00BF223E"/>
    <w:rsid w:val="00BF24AC"/>
    <w:rsid w:val="00BF255F"/>
    <w:rsid w:val="00BF265E"/>
    <w:rsid w:val="00BF27EA"/>
    <w:rsid w:val="00BF29B4"/>
    <w:rsid w:val="00BF2A33"/>
    <w:rsid w:val="00BF2D9E"/>
    <w:rsid w:val="00BF2EB4"/>
    <w:rsid w:val="00BF2F7D"/>
    <w:rsid w:val="00BF3099"/>
    <w:rsid w:val="00BF324E"/>
    <w:rsid w:val="00BF358B"/>
    <w:rsid w:val="00BF3B68"/>
    <w:rsid w:val="00BF3BB1"/>
    <w:rsid w:val="00BF3DEC"/>
    <w:rsid w:val="00BF3F29"/>
    <w:rsid w:val="00BF415A"/>
    <w:rsid w:val="00BF42AC"/>
    <w:rsid w:val="00BF4307"/>
    <w:rsid w:val="00BF43C1"/>
    <w:rsid w:val="00BF4600"/>
    <w:rsid w:val="00BF48B3"/>
    <w:rsid w:val="00BF4BA5"/>
    <w:rsid w:val="00BF4C7F"/>
    <w:rsid w:val="00BF4D83"/>
    <w:rsid w:val="00BF4DAC"/>
    <w:rsid w:val="00BF4F7B"/>
    <w:rsid w:val="00BF5169"/>
    <w:rsid w:val="00BF5236"/>
    <w:rsid w:val="00BF52DB"/>
    <w:rsid w:val="00BF52E2"/>
    <w:rsid w:val="00BF53E1"/>
    <w:rsid w:val="00BF543D"/>
    <w:rsid w:val="00BF5744"/>
    <w:rsid w:val="00BF5828"/>
    <w:rsid w:val="00BF58FF"/>
    <w:rsid w:val="00BF598E"/>
    <w:rsid w:val="00BF5D55"/>
    <w:rsid w:val="00BF5DD1"/>
    <w:rsid w:val="00BF62B3"/>
    <w:rsid w:val="00BF649C"/>
    <w:rsid w:val="00BF6770"/>
    <w:rsid w:val="00BF6CA7"/>
    <w:rsid w:val="00BF6E07"/>
    <w:rsid w:val="00BF7273"/>
    <w:rsid w:val="00BF743F"/>
    <w:rsid w:val="00BF755E"/>
    <w:rsid w:val="00BF7A7A"/>
    <w:rsid w:val="00BF7E3F"/>
    <w:rsid w:val="00BF7EC6"/>
    <w:rsid w:val="00C00052"/>
    <w:rsid w:val="00C00190"/>
    <w:rsid w:val="00C003DE"/>
    <w:rsid w:val="00C0045C"/>
    <w:rsid w:val="00C0049D"/>
    <w:rsid w:val="00C0062B"/>
    <w:rsid w:val="00C006A5"/>
    <w:rsid w:val="00C00CBB"/>
    <w:rsid w:val="00C00D79"/>
    <w:rsid w:val="00C00F63"/>
    <w:rsid w:val="00C013F8"/>
    <w:rsid w:val="00C017FE"/>
    <w:rsid w:val="00C01A84"/>
    <w:rsid w:val="00C01B42"/>
    <w:rsid w:val="00C01CBB"/>
    <w:rsid w:val="00C01DB7"/>
    <w:rsid w:val="00C021CD"/>
    <w:rsid w:val="00C025A4"/>
    <w:rsid w:val="00C025C1"/>
    <w:rsid w:val="00C02A4B"/>
    <w:rsid w:val="00C02C74"/>
    <w:rsid w:val="00C02F7A"/>
    <w:rsid w:val="00C0326F"/>
    <w:rsid w:val="00C032C6"/>
    <w:rsid w:val="00C032CD"/>
    <w:rsid w:val="00C03350"/>
    <w:rsid w:val="00C0353D"/>
    <w:rsid w:val="00C03588"/>
    <w:rsid w:val="00C035A1"/>
    <w:rsid w:val="00C0362B"/>
    <w:rsid w:val="00C037E8"/>
    <w:rsid w:val="00C03854"/>
    <w:rsid w:val="00C03D13"/>
    <w:rsid w:val="00C03D56"/>
    <w:rsid w:val="00C03F64"/>
    <w:rsid w:val="00C04215"/>
    <w:rsid w:val="00C04284"/>
    <w:rsid w:val="00C043FC"/>
    <w:rsid w:val="00C04581"/>
    <w:rsid w:val="00C04797"/>
    <w:rsid w:val="00C04B54"/>
    <w:rsid w:val="00C04BC3"/>
    <w:rsid w:val="00C04DF3"/>
    <w:rsid w:val="00C04E40"/>
    <w:rsid w:val="00C050CE"/>
    <w:rsid w:val="00C05597"/>
    <w:rsid w:val="00C05764"/>
    <w:rsid w:val="00C0583A"/>
    <w:rsid w:val="00C059D7"/>
    <w:rsid w:val="00C05A20"/>
    <w:rsid w:val="00C05ACF"/>
    <w:rsid w:val="00C05BC3"/>
    <w:rsid w:val="00C06433"/>
    <w:rsid w:val="00C065C9"/>
    <w:rsid w:val="00C06656"/>
    <w:rsid w:val="00C068F6"/>
    <w:rsid w:val="00C06977"/>
    <w:rsid w:val="00C06BDB"/>
    <w:rsid w:val="00C06C18"/>
    <w:rsid w:val="00C06DD1"/>
    <w:rsid w:val="00C06F71"/>
    <w:rsid w:val="00C07325"/>
    <w:rsid w:val="00C07430"/>
    <w:rsid w:val="00C076FA"/>
    <w:rsid w:val="00C077ED"/>
    <w:rsid w:val="00C07865"/>
    <w:rsid w:val="00C07A24"/>
    <w:rsid w:val="00C07A32"/>
    <w:rsid w:val="00C07B67"/>
    <w:rsid w:val="00C07C0A"/>
    <w:rsid w:val="00C07C0D"/>
    <w:rsid w:val="00C10076"/>
    <w:rsid w:val="00C108E3"/>
    <w:rsid w:val="00C10A3C"/>
    <w:rsid w:val="00C10D18"/>
    <w:rsid w:val="00C10FB5"/>
    <w:rsid w:val="00C11186"/>
    <w:rsid w:val="00C1155B"/>
    <w:rsid w:val="00C11583"/>
    <w:rsid w:val="00C118D6"/>
    <w:rsid w:val="00C118FF"/>
    <w:rsid w:val="00C11955"/>
    <w:rsid w:val="00C11994"/>
    <w:rsid w:val="00C11996"/>
    <w:rsid w:val="00C11A6A"/>
    <w:rsid w:val="00C11B66"/>
    <w:rsid w:val="00C12660"/>
    <w:rsid w:val="00C1290A"/>
    <w:rsid w:val="00C12994"/>
    <w:rsid w:val="00C12A77"/>
    <w:rsid w:val="00C12BA5"/>
    <w:rsid w:val="00C12C1A"/>
    <w:rsid w:val="00C12DAF"/>
    <w:rsid w:val="00C12E58"/>
    <w:rsid w:val="00C13025"/>
    <w:rsid w:val="00C130B0"/>
    <w:rsid w:val="00C13123"/>
    <w:rsid w:val="00C1347A"/>
    <w:rsid w:val="00C1358F"/>
    <w:rsid w:val="00C1365B"/>
    <w:rsid w:val="00C13A62"/>
    <w:rsid w:val="00C13E7E"/>
    <w:rsid w:val="00C13ECA"/>
    <w:rsid w:val="00C14205"/>
    <w:rsid w:val="00C14266"/>
    <w:rsid w:val="00C146AE"/>
    <w:rsid w:val="00C14790"/>
    <w:rsid w:val="00C14877"/>
    <w:rsid w:val="00C14984"/>
    <w:rsid w:val="00C14AF4"/>
    <w:rsid w:val="00C14CBD"/>
    <w:rsid w:val="00C14D3B"/>
    <w:rsid w:val="00C14EC4"/>
    <w:rsid w:val="00C14F2B"/>
    <w:rsid w:val="00C14F45"/>
    <w:rsid w:val="00C15087"/>
    <w:rsid w:val="00C1509B"/>
    <w:rsid w:val="00C1534B"/>
    <w:rsid w:val="00C15406"/>
    <w:rsid w:val="00C15771"/>
    <w:rsid w:val="00C15D08"/>
    <w:rsid w:val="00C16170"/>
    <w:rsid w:val="00C16309"/>
    <w:rsid w:val="00C1667A"/>
    <w:rsid w:val="00C168F7"/>
    <w:rsid w:val="00C169D0"/>
    <w:rsid w:val="00C16E2D"/>
    <w:rsid w:val="00C16FA2"/>
    <w:rsid w:val="00C1701C"/>
    <w:rsid w:val="00C17248"/>
    <w:rsid w:val="00C174C5"/>
    <w:rsid w:val="00C175D4"/>
    <w:rsid w:val="00C176F7"/>
    <w:rsid w:val="00C17712"/>
    <w:rsid w:val="00C17BC4"/>
    <w:rsid w:val="00C17D09"/>
    <w:rsid w:val="00C17FDE"/>
    <w:rsid w:val="00C201D6"/>
    <w:rsid w:val="00C2033D"/>
    <w:rsid w:val="00C203AE"/>
    <w:rsid w:val="00C20561"/>
    <w:rsid w:val="00C207A6"/>
    <w:rsid w:val="00C20813"/>
    <w:rsid w:val="00C208E2"/>
    <w:rsid w:val="00C20B0C"/>
    <w:rsid w:val="00C20B1C"/>
    <w:rsid w:val="00C20C6F"/>
    <w:rsid w:val="00C20D65"/>
    <w:rsid w:val="00C20F36"/>
    <w:rsid w:val="00C20FCA"/>
    <w:rsid w:val="00C212E9"/>
    <w:rsid w:val="00C21338"/>
    <w:rsid w:val="00C2143E"/>
    <w:rsid w:val="00C21441"/>
    <w:rsid w:val="00C21450"/>
    <w:rsid w:val="00C214DA"/>
    <w:rsid w:val="00C21512"/>
    <w:rsid w:val="00C21697"/>
    <w:rsid w:val="00C21AF2"/>
    <w:rsid w:val="00C21B40"/>
    <w:rsid w:val="00C21C18"/>
    <w:rsid w:val="00C21C39"/>
    <w:rsid w:val="00C21CB0"/>
    <w:rsid w:val="00C21FCD"/>
    <w:rsid w:val="00C22216"/>
    <w:rsid w:val="00C2251A"/>
    <w:rsid w:val="00C22689"/>
    <w:rsid w:val="00C22711"/>
    <w:rsid w:val="00C22860"/>
    <w:rsid w:val="00C22D82"/>
    <w:rsid w:val="00C2329A"/>
    <w:rsid w:val="00C2336A"/>
    <w:rsid w:val="00C234B3"/>
    <w:rsid w:val="00C235C7"/>
    <w:rsid w:val="00C2369A"/>
    <w:rsid w:val="00C24879"/>
    <w:rsid w:val="00C25313"/>
    <w:rsid w:val="00C25322"/>
    <w:rsid w:val="00C25352"/>
    <w:rsid w:val="00C25415"/>
    <w:rsid w:val="00C254E6"/>
    <w:rsid w:val="00C25796"/>
    <w:rsid w:val="00C2599E"/>
    <w:rsid w:val="00C259ED"/>
    <w:rsid w:val="00C25AEA"/>
    <w:rsid w:val="00C25DB9"/>
    <w:rsid w:val="00C25F36"/>
    <w:rsid w:val="00C25F52"/>
    <w:rsid w:val="00C26016"/>
    <w:rsid w:val="00C2616D"/>
    <w:rsid w:val="00C26501"/>
    <w:rsid w:val="00C2659D"/>
    <w:rsid w:val="00C26713"/>
    <w:rsid w:val="00C26783"/>
    <w:rsid w:val="00C269C9"/>
    <w:rsid w:val="00C26A87"/>
    <w:rsid w:val="00C26C26"/>
    <w:rsid w:val="00C27074"/>
    <w:rsid w:val="00C270D1"/>
    <w:rsid w:val="00C27112"/>
    <w:rsid w:val="00C272DB"/>
    <w:rsid w:val="00C273AF"/>
    <w:rsid w:val="00C27410"/>
    <w:rsid w:val="00C27768"/>
    <w:rsid w:val="00C277FF"/>
    <w:rsid w:val="00C27820"/>
    <w:rsid w:val="00C27A1B"/>
    <w:rsid w:val="00C27A42"/>
    <w:rsid w:val="00C27DD9"/>
    <w:rsid w:val="00C27ED7"/>
    <w:rsid w:val="00C27F68"/>
    <w:rsid w:val="00C3074A"/>
    <w:rsid w:val="00C30D0F"/>
    <w:rsid w:val="00C30D4F"/>
    <w:rsid w:val="00C30DC1"/>
    <w:rsid w:val="00C30E17"/>
    <w:rsid w:val="00C30E1C"/>
    <w:rsid w:val="00C3123A"/>
    <w:rsid w:val="00C31368"/>
    <w:rsid w:val="00C31848"/>
    <w:rsid w:val="00C318CB"/>
    <w:rsid w:val="00C318F7"/>
    <w:rsid w:val="00C31BD8"/>
    <w:rsid w:val="00C32046"/>
    <w:rsid w:val="00C322D3"/>
    <w:rsid w:val="00C3231F"/>
    <w:rsid w:val="00C323FD"/>
    <w:rsid w:val="00C3250A"/>
    <w:rsid w:val="00C328DD"/>
    <w:rsid w:val="00C32FE8"/>
    <w:rsid w:val="00C33253"/>
    <w:rsid w:val="00C3358E"/>
    <w:rsid w:val="00C335BC"/>
    <w:rsid w:val="00C3361C"/>
    <w:rsid w:val="00C338B1"/>
    <w:rsid w:val="00C33AED"/>
    <w:rsid w:val="00C33C61"/>
    <w:rsid w:val="00C33D60"/>
    <w:rsid w:val="00C33E7D"/>
    <w:rsid w:val="00C33EFA"/>
    <w:rsid w:val="00C34408"/>
    <w:rsid w:val="00C3453F"/>
    <w:rsid w:val="00C34577"/>
    <w:rsid w:val="00C3480A"/>
    <w:rsid w:val="00C348E0"/>
    <w:rsid w:val="00C34A76"/>
    <w:rsid w:val="00C34B1D"/>
    <w:rsid w:val="00C34CB2"/>
    <w:rsid w:val="00C34D61"/>
    <w:rsid w:val="00C34DE0"/>
    <w:rsid w:val="00C3531B"/>
    <w:rsid w:val="00C35533"/>
    <w:rsid w:val="00C3556F"/>
    <w:rsid w:val="00C35798"/>
    <w:rsid w:val="00C35846"/>
    <w:rsid w:val="00C35A7C"/>
    <w:rsid w:val="00C35BD9"/>
    <w:rsid w:val="00C35DB4"/>
    <w:rsid w:val="00C35E58"/>
    <w:rsid w:val="00C36058"/>
    <w:rsid w:val="00C361AA"/>
    <w:rsid w:val="00C36259"/>
    <w:rsid w:val="00C36879"/>
    <w:rsid w:val="00C36A91"/>
    <w:rsid w:val="00C36B0B"/>
    <w:rsid w:val="00C36B20"/>
    <w:rsid w:val="00C36CBE"/>
    <w:rsid w:val="00C36D24"/>
    <w:rsid w:val="00C36E05"/>
    <w:rsid w:val="00C36E07"/>
    <w:rsid w:val="00C370E8"/>
    <w:rsid w:val="00C37101"/>
    <w:rsid w:val="00C37225"/>
    <w:rsid w:val="00C376BB"/>
    <w:rsid w:val="00C378FB"/>
    <w:rsid w:val="00C37BE1"/>
    <w:rsid w:val="00C37BF9"/>
    <w:rsid w:val="00C37C95"/>
    <w:rsid w:val="00C37CA2"/>
    <w:rsid w:val="00C37CED"/>
    <w:rsid w:val="00C37D75"/>
    <w:rsid w:val="00C37DBC"/>
    <w:rsid w:val="00C37ECB"/>
    <w:rsid w:val="00C400A8"/>
    <w:rsid w:val="00C40140"/>
    <w:rsid w:val="00C405A1"/>
    <w:rsid w:val="00C4065D"/>
    <w:rsid w:val="00C4068B"/>
    <w:rsid w:val="00C406DE"/>
    <w:rsid w:val="00C4082E"/>
    <w:rsid w:val="00C4088F"/>
    <w:rsid w:val="00C40CD5"/>
    <w:rsid w:val="00C40DD4"/>
    <w:rsid w:val="00C40F2A"/>
    <w:rsid w:val="00C413A9"/>
    <w:rsid w:val="00C4164E"/>
    <w:rsid w:val="00C416DC"/>
    <w:rsid w:val="00C41CC0"/>
    <w:rsid w:val="00C41CFB"/>
    <w:rsid w:val="00C41DC4"/>
    <w:rsid w:val="00C41DDD"/>
    <w:rsid w:val="00C41E83"/>
    <w:rsid w:val="00C41EE7"/>
    <w:rsid w:val="00C41F24"/>
    <w:rsid w:val="00C41F5C"/>
    <w:rsid w:val="00C42034"/>
    <w:rsid w:val="00C420A9"/>
    <w:rsid w:val="00C426F2"/>
    <w:rsid w:val="00C426F4"/>
    <w:rsid w:val="00C4270F"/>
    <w:rsid w:val="00C427CD"/>
    <w:rsid w:val="00C429A7"/>
    <w:rsid w:val="00C42C82"/>
    <w:rsid w:val="00C42D31"/>
    <w:rsid w:val="00C431BF"/>
    <w:rsid w:val="00C432CE"/>
    <w:rsid w:val="00C434A4"/>
    <w:rsid w:val="00C4389F"/>
    <w:rsid w:val="00C43E8F"/>
    <w:rsid w:val="00C44467"/>
    <w:rsid w:val="00C44586"/>
    <w:rsid w:val="00C44831"/>
    <w:rsid w:val="00C44939"/>
    <w:rsid w:val="00C44A5B"/>
    <w:rsid w:val="00C44F8B"/>
    <w:rsid w:val="00C450A3"/>
    <w:rsid w:val="00C45128"/>
    <w:rsid w:val="00C452E5"/>
    <w:rsid w:val="00C45338"/>
    <w:rsid w:val="00C45464"/>
    <w:rsid w:val="00C454CD"/>
    <w:rsid w:val="00C455CF"/>
    <w:rsid w:val="00C45A8A"/>
    <w:rsid w:val="00C45D31"/>
    <w:rsid w:val="00C46292"/>
    <w:rsid w:val="00C46372"/>
    <w:rsid w:val="00C464DD"/>
    <w:rsid w:val="00C46B00"/>
    <w:rsid w:val="00C46CAC"/>
    <w:rsid w:val="00C46CD1"/>
    <w:rsid w:val="00C46D20"/>
    <w:rsid w:val="00C46D83"/>
    <w:rsid w:val="00C471BE"/>
    <w:rsid w:val="00C471C5"/>
    <w:rsid w:val="00C471D4"/>
    <w:rsid w:val="00C473E2"/>
    <w:rsid w:val="00C47885"/>
    <w:rsid w:val="00C47E02"/>
    <w:rsid w:val="00C47EC3"/>
    <w:rsid w:val="00C47F83"/>
    <w:rsid w:val="00C47FE7"/>
    <w:rsid w:val="00C5007F"/>
    <w:rsid w:val="00C500F7"/>
    <w:rsid w:val="00C502AA"/>
    <w:rsid w:val="00C50567"/>
    <w:rsid w:val="00C5060A"/>
    <w:rsid w:val="00C508AA"/>
    <w:rsid w:val="00C50C26"/>
    <w:rsid w:val="00C50CBA"/>
    <w:rsid w:val="00C50F9F"/>
    <w:rsid w:val="00C51145"/>
    <w:rsid w:val="00C5115C"/>
    <w:rsid w:val="00C51381"/>
    <w:rsid w:val="00C517F3"/>
    <w:rsid w:val="00C518DA"/>
    <w:rsid w:val="00C51A09"/>
    <w:rsid w:val="00C51A8F"/>
    <w:rsid w:val="00C51C89"/>
    <w:rsid w:val="00C522CD"/>
    <w:rsid w:val="00C52383"/>
    <w:rsid w:val="00C523EA"/>
    <w:rsid w:val="00C52534"/>
    <w:rsid w:val="00C52728"/>
    <w:rsid w:val="00C527FE"/>
    <w:rsid w:val="00C52857"/>
    <w:rsid w:val="00C52879"/>
    <w:rsid w:val="00C528CC"/>
    <w:rsid w:val="00C52A5D"/>
    <w:rsid w:val="00C52B42"/>
    <w:rsid w:val="00C52B8D"/>
    <w:rsid w:val="00C52F67"/>
    <w:rsid w:val="00C52F85"/>
    <w:rsid w:val="00C52FEA"/>
    <w:rsid w:val="00C530D3"/>
    <w:rsid w:val="00C530EF"/>
    <w:rsid w:val="00C53392"/>
    <w:rsid w:val="00C533F6"/>
    <w:rsid w:val="00C53461"/>
    <w:rsid w:val="00C53697"/>
    <w:rsid w:val="00C53859"/>
    <w:rsid w:val="00C53EDB"/>
    <w:rsid w:val="00C53F9B"/>
    <w:rsid w:val="00C54052"/>
    <w:rsid w:val="00C540E3"/>
    <w:rsid w:val="00C5413F"/>
    <w:rsid w:val="00C54246"/>
    <w:rsid w:val="00C5436E"/>
    <w:rsid w:val="00C543A8"/>
    <w:rsid w:val="00C543F4"/>
    <w:rsid w:val="00C5459A"/>
    <w:rsid w:val="00C549D8"/>
    <w:rsid w:val="00C549F5"/>
    <w:rsid w:val="00C54D2F"/>
    <w:rsid w:val="00C54E12"/>
    <w:rsid w:val="00C54F5D"/>
    <w:rsid w:val="00C55044"/>
    <w:rsid w:val="00C552E7"/>
    <w:rsid w:val="00C55636"/>
    <w:rsid w:val="00C55724"/>
    <w:rsid w:val="00C557EF"/>
    <w:rsid w:val="00C55804"/>
    <w:rsid w:val="00C55873"/>
    <w:rsid w:val="00C55EDA"/>
    <w:rsid w:val="00C55F8C"/>
    <w:rsid w:val="00C56057"/>
    <w:rsid w:val="00C56140"/>
    <w:rsid w:val="00C56263"/>
    <w:rsid w:val="00C56294"/>
    <w:rsid w:val="00C56797"/>
    <w:rsid w:val="00C567B9"/>
    <w:rsid w:val="00C56954"/>
    <w:rsid w:val="00C56A48"/>
    <w:rsid w:val="00C56BE2"/>
    <w:rsid w:val="00C56FD0"/>
    <w:rsid w:val="00C5701E"/>
    <w:rsid w:val="00C57176"/>
    <w:rsid w:val="00C571AF"/>
    <w:rsid w:val="00C573DE"/>
    <w:rsid w:val="00C5750D"/>
    <w:rsid w:val="00C57569"/>
    <w:rsid w:val="00C576CC"/>
    <w:rsid w:val="00C57781"/>
    <w:rsid w:val="00C57868"/>
    <w:rsid w:val="00C57A79"/>
    <w:rsid w:val="00C57AA2"/>
    <w:rsid w:val="00C602A1"/>
    <w:rsid w:val="00C6044F"/>
    <w:rsid w:val="00C605CB"/>
    <w:rsid w:val="00C606C3"/>
    <w:rsid w:val="00C60803"/>
    <w:rsid w:val="00C6087C"/>
    <w:rsid w:val="00C60949"/>
    <w:rsid w:val="00C60959"/>
    <w:rsid w:val="00C609B3"/>
    <w:rsid w:val="00C60BCA"/>
    <w:rsid w:val="00C60BD4"/>
    <w:rsid w:val="00C60F21"/>
    <w:rsid w:val="00C60F76"/>
    <w:rsid w:val="00C614BE"/>
    <w:rsid w:val="00C61B3B"/>
    <w:rsid w:val="00C61C01"/>
    <w:rsid w:val="00C61DA0"/>
    <w:rsid w:val="00C61E65"/>
    <w:rsid w:val="00C6210E"/>
    <w:rsid w:val="00C62156"/>
    <w:rsid w:val="00C6220B"/>
    <w:rsid w:val="00C6226F"/>
    <w:rsid w:val="00C6257E"/>
    <w:rsid w:val="00C62588"/>
    <w:rsid w:val="00C6263F"/>
    <w:rsid w:val="00C62707"/>
    <w:rsid w:val="00C628CF"/>
    <w:rsid w:val="00C62A4A"/>
    <w:rsid w:val="00C62A99"/>
    <w:rsid w:val="00C62BC1"/>
    <w:rsid w:val="00C62C61"/>
    <w:rsid w:val="00C63173"/>
    <w:rsid w:val="00C63688"/>
    <w:rsid w:val="00C6381C"/>
    <w:rsid w:val="00C638C7"/>
    <w:rsid w:val="00C63B44"/>
    <w:rsid w:val="00C63BFB"/>
    <w:rsid w:val="00C63D5F"/>
    <w:rsid w:val="00C63E00"/>
    <w:rsid w:val="00C63E6C"/>
    <w:rsid w:val="00C63F69"/>
    <w:rsid w:val="00C644B1"/>
    <w:rsid w:val="00C64641"/>
    <w:rsid w:val="00C6468E"/>
    <w:rsid w:val="00C64801"/>
    <w:rsid w:val="00C64B4A"/>
    <w:rsid w:val="00C64C6E"/>
    <w:rsid w:val="00C64D96"/>
    <w:rsid w:val="00C64F7D"/>
    <w:rsid w:val="00C650D2"/>
    <w:rsid w:val="00C650D9"/>
    <w:rsid w:val="00C6534D"/>
    <w:rsid w:val="00C656FE"/>
    <w:rsid w:val="00C65922"/>
    <w:rsid w:val="00C659A3"/>
    <w:rsid w:val="00C659B9"/>
    <w:rsid w:val="00C659E5"/>
    <w:rsid w:val="00C65A58"/>
    <w:rsid w:val="00C65E83"/>
    <w:rsid w:val="00C65E96"/>
    <w:rsid w:val="00C65ECC"/>
    <w:rsid w:val="00C65FAA"/>
    <w:rsid w:val="00C66133"/>
    <w:rsid w:val="00C66402"/>
    <w:rsid w:val="00C66706"/>
    <w:rsid w:val="00C6679B"/>
    <w:rsid w:val="00C66C61"/>
    <w:rsid w:val="00C670B1"/>
    <w:rsid w:val="00C6716D"/>
    <w:rsid w:val="00C67259"/>
    <w:rsid w:val="00C6735F"/>
    <w:rsid w:val="00C676A8"/>
    <w:rsid w:val="00C6797E"/>
    <w:rsid w:val="00C67BC9"/>
    <w:rsid w:val="00C67DD8"/>
    <w:rsid w:val="00C701EF"/>
    <w:rsid w:val="00C702B3"/>
    <w:rsid w:val="00C70568"/>
    <w:rsid w:val="00C705A9"/>
    <w:rsid w:val="00C7065A"/>
    <w:rsid w:val="00C70986"/>
    <w:rsid w:val="00C70B67"/>
    <w:rsid w:val="00C70C8B"/>
    <w:rsid w:val="00C70D93"/>
    <w:rsid w:val="00C70FBC"/>
    <w:rsid w:val="00C71047"/>
    <w:rsid w:val="00C7104E"/>
    <w:rsid w:val="00C71278"/>
    <w:rsid w:val="00C7136D"/>
    <w:rsid w:val="00C714A6"/>
    <w:rsid w:val="00C714B5"/>
    <w:rsid w:val="00C715F5"/>
    <w:rsid w:val="00C71668"/>
    <w:rsid w:val="00C716AD"/>
    <w:rsid w:val="00C71705"/>
    <w:rsid w:val="00C71B54"/>
    <w:rsid w:val="00C71BBC"/>
    <w:rsid w:val="00C71BC7"/>
    <w:rsid w:val="00C71E9F"/>
    <w:rsid w:val="00C720F9"/>
    <w:rsid w:val="00C722CA"/>
    <w:rsid w:val="00C726DC"/>
    <w:rsid w:val="00C72783"/>
    <w:rsid w:val="00C72A46"/>
    <w:rsid w:val="00C72AFC"/>
    <w:rsid w:val="00C72B3A"/>
    <w:rsid w:val="00C72C0B"/>
    <w:rsid w:val="00C72C51"/>
    <w:rsid w:val="00C7317D"/>
    <w:rsid w:val="00C73358"/>
    <w:rsid w:val="00C7357F"/>
    <w:rsid w:val="00C73A65"/>
    <w:rsid w:val="00C73AC2"/>
    <w:rsid w:val="00C73AFB"/>
    <w:rsid w:val="00C73C97"/>
    <w:rsid w:val="00C73CFD"/>
    <w:rsid w:val="00C73DE1"/>
    <w:rsid w:val="00C73FCF"/>
    <w:rsid w:val="00C74316"/>
    <w:rsid w:val="00C74460"/>
    <w:rsid w:val="00C74D0E"/>
    <w:rsid w:val="00C74DBC"/>
    <w:rsid w:val="00C74E8A"/>
    <w:rsid w:val="00C74FE7"/>
    <w:rsid w:val="00C750DD"/>
    <w:rsid w:val="00C75415"/>
    <w:rsid w:val="00C7588D"/>
    <w:rsid w:val="00C75EE4"/>
    <w:rsid w:val="00C75F6C"/>
    <w:rsid w:val="00C75FFA"/>
    <w:rsid w:val="00C760A4"/>
    <w:rsid w:val="00C76315"/>
    <w:rsid w:val="00C765E6"/>
    <w:rsid w:val="00C767FC"/>
    <w:rsid w:val="00C7680D"/>
    <w:rsid w:val="00C76ADE"/>
    <w:rsid w:val="00C7716B"/>
    <w:rsid w:val="00C7722D"/>
    <w:rsid w:val="00C772A0"/>
    <w:rsid w:val="00C772DB"/>
    <w:rsid w:val="00C77304"/>
    <w:rsid w:val="00C77318"/>
    <w:rsid w:val="00C77621"/>
    <w:rsid w:val="00C776C2"/>
    <w:rsid w:val="00C77B83"/>
    <w:rsid w:val="00C77C81"/>
    <w:rsid w:val="00C77E2E"/>
    <w:rsid w:val="00C80170"/>
    <w:rsid w:val="00C8018D"/>
    <w:rsid w:val="00C8033B"/>
    <w:rsid w:val="00C803F7"/>
    <w:rsid w:val="00C8051B"/>
    <w:rsid w:val="00C80589"/>
    <w:rsid w:val="00C805AF"/>
    <w:rsid w:val="00C806F7"/>
    <w:rsid w:val="00C80826"/>
    <w:rsid w:val="00C809DF"/>
    <w:rsid w:val="00C80FC0"/>
    <w:rsid w:val="00C812A5"/>
    <w:rsid w:val="00C8130F"/>
    <w:rsid w:val="00C8161F"/>
    <w:rsid w:val="00C81676"/>
    <w:rsid w:val="00C81709"/>
    <w:rsid w:val="00C81719"/>
    <w:rsid w:val="00C8183F"/>
    <w:rsid w:val="00C81BE6"/>
    <w:rsid w:val="00C81C2B"/>
    <w:rsid w:val="00C81CA6"/>
    <w:rsid w:val="00C81EA9"/>
    <w:rsid w:val="00C81EC0"/>
    <w:rsid w:val="00C81F0C"/>
    <w:rsid w:val="00C82004"/>
    <w:rsid w:val="00C8202D"/>
    <w:rsid w:val="00C8230C"/>
    <w:rsid w:val="00C82767"/>
    <w:rsid w:val="00C82BE0"/>
    <w:rsid w:val="00C83032"/>
    <w:rsid w:val="00C830E8"/>
    <w:rsid w:val="00C833FD"/>
    <w:rsid w:val="00C834B6"/>
    <w:rsid w:val="00C83523"/>
    <w:rsid w:val="00C835F9"/>
    <w:rsid w:val="00C8373D"/>
    <w:rsid w:val="00C83785"/>
    <w:rsid w:val="00C838F1"/>
    <w:rsid w:val="00C83922"/>
    <w:rsid w:val="00C84057"/>
    <w:rsid w:val="00C840E4"/>
    <w:rsid w:val="00C84393"/>
    <w:rsid w:val="00C8465E"/>
    <w:rsid w:val="00C8468F"/>
    <w:rsid w:val="00C846AB"/>
    <w:rsid w:val="00C84816"/>
    <w:rsid w:val="00C84E3B"/>
    <w:rsid w:val="00C85087"/>
    <w:rsid w:val="00C8509B"/>
    <w:rsid w:val="00C851C3"/>
    <w:rsid w:val="00C851C5"/>
    <w:rsid w:val="00C8528F"/>
    <w:rsid w:val="00C855C8"/>
    <w:rsid w:val="00C85891"/>
    <w:rsid w:val="00C858A8"/>
    <w:rsid w:val="00C85ACD"/>
    <w:rsid w:val="00C85C55"/>
    <w:rsid w:val="00C85C79"/>
    <w:rsid w:val="00C85D1B"/>
    <w:rsid w:val="00C85D47"/>
    <w:rsid w:val="00C85E52"/>
    <w:rsid w:val="00C86149"/>
    <w:rsid w:val="00C86254"/>
    <w:rsid w:val="00C86349"/>
    <w:rsid w:val="00C8649D"/>
    <w:rsid w:val="00C864DF"/>
    <w:rsid w:val="00C865CA"/>
    <w:rsid w:val="00C86773"/>
    <w:rsid w:val="00C86873"/>
    <w:rsid w:val="00C86961"/>
    <w:rsid w:val="00C869EC"/>
    <w:rsid w:val="00C86A5E"/>
    <w:rsid w:val="00C86AED"/>
    <w:rsid w:val="00C86B9B"/>
    <w:rsid w:val="00C8728B"/>
    <w:rsid w:val="00C874D2"/>
    <w:rsid w:val="00C87508"/>
    <w:rsid w:val="00C87746"/>
    <w:rsid w:val="00C87B96"/>
    <w:rsid w:val="00C87C42"/>
    <w:rsid w:val="00C87CAA"/>
    <w:rsid w:val="00C87CC4"/>
    <w:rsid w:val="00C87D6A"/>
    <w:rsid w:val="00C87D90"/>
    <w:rsid w:val="00C900EC"/>
    <w:rsid w:val="00C90542"/>
    <w:rsid w:val="00C90853"/>
    <w:rsid w:val="00C90891"/>
    <w:rsid w:val="00C90A0E"/>
    <w:rsid w:val="00C90B1E"/>
    <w:rsid w:val="00C90DB6"/>
    <w:rsid w:val="00C90EFA"/>
    <w:rsid w:val="00C91372"/>
    <w:rsid w:val="00C91547"/>
    <w:rsid w:val="00C91577"/>
    <w:rsid w:val="00C9158B"/>
    <w:rsid w:val="00C915C2"/>
    <w:rsid w:val="00C917C1"/>
    <w:rsid w:val="00C91928"/>
    <w:rsid w:val="00C91B9B"/>
    <w:rsid w:val="00C91C4D"/>
    <w:rsid w:val="00C91D87"/>
    <w:rsid w:val="00C920B0"/>
    <w:rsid w:val="00C921B3"/>
    <w:rsid w:val="00C921BF"/>
    <w:rsid w:val="00C922C4"/>
    <w:rsid w:val="00C9251A"/>
    <w:rsid w:val="00C92585"/>
    <w:rsid w:val="00C92719"/>
    <w:rsid w:val="00C92781"/>
    <w:rsid w:val="00C928FF"/>
    <w:rsid w:val="00C92A58"/>
    <w:rsid w:val="00C92A90"/>
    <w:rsid w:val="00C92DDD"/>
    <w:rsid w:val="00C92DE9"/>
    <w:rsid w:val="00C92E05"/>
    <w:rsid w:val="00C930C9"/>
    <w:rsid w:val="00C9317F"/>
    <w:rsid w:val="00C935E9"/>
    <w:rsid w:val="00C93764"/>
    <w:rsid w:val="00C93841"/>
    <w:rsid w:val="00C93D69"/>
    <w:rsid w:val="00C93E23"/>
    <w:rsid w:val="00C93F08"/>
    <w:rsid w:val="00C94035"/>
    <w:rsid w:val="00C9408B"/>
    <w:rsid w:val="00C940BC"/>
    <w:rsid w:val="00C9435B"/>
    <w:rsid w:val="00C943C6"/>
    <w:rsid w:val="00C9448F"/>
    <w:rsid w:val="00C946F9"/>
    <w:rsid w:val="00C94769"/>
    <w:rsid w:val="00C94883"/>
    <w:rsid w:val="00C94955"/>
    <w:rsid w:val="00C94B7E"/>
    <w:rsid w:val="00C94C64"/>
    <w:rsid w:val="00C94CE1"/>
    <w:rsid w:val="00C94FDE"/>
    <w:rsid w:val="00C9505A"/>
    <w:rsid w:val="00C951F7"/>
    <w:rsid w:val="00C953A0"/>
    <w:rsid w:val="00C953D9"/>
    <w:rsid w:val="00C958F2"/>
    <w:rsid w:val="00C95B39"/>
    <w:rsid w:val="00C95CA6"/>
    <w:rsid w:val="00C95D9E"/>
    <w:rsid w:val="00C95ECE"/>
    <w:rsid w:val="00C95F52"/>
    <w:rsid w:val="00C96039"/>
    <w:rsid w:val="00C962D5"/>
    <w:rsid w:val="00C968FE"/>
    <w:rsid w:val="00C9694F"/>
    <w:rsid w:val="00C96ED7"/>
    <w:rsid w:val="00C96F4D"/>
    <w:rsid w:val="00C970A4"/>
    <w:rsid w:val="00C970F0"/>
    <w:rsid w:val="00C973D5"/>
    <w:rsid w:val="00C977A6"/>
    <w:rsid w:val="00C977F7"/>
    <w:rsid w:val="00C97877"/>
    <w:rsid w:val="00C97B17"/>
    <w:rsid w:val="00C97BAB"/>
    <w:rsid w:val="00C97C25"/>
    <w:rsid w:val="00C97D60"/>
    <w:rsid w:val="00C97DD9"/>
    <w:rsid w:val="00CA05E2"/>
    <w:rsid w:val="00CA070E"/>
    <w:rsid w:val="00CA0743"/>
    <w:rsid w:val="00CA0A1F"/>
    <w:rsid w:val="00CA0BAA"/>
    <w:rsid w:val="00CA1059"/>
    <w:rsid w:val="00CA10B1"/>
    <w:rsid w:val="00CA1176"/>
    <w:rsid w:val="00CA11AC"/>
    <w:rsid w:val="00CA170E"/>
    <w:rsid w:val="00CA1823"/>
    <w:rsid w:val="00CA1AA0"/>
    <w:rsid w:val="00CA1DAC"/>
    <w:rsid w:val="00CA1FC2"/>
    <w:rsid w:val="00CA229C"/>
    <w:rsid w:val="00CA2582"/>
    <w:rsid w:val="00CA2C09"/>
    <w:rsid w:val="00CA2F15"/>
    <w:rsid w:val="00CA3175"/>
    <w:rsid w:val="00CA323E"/>
    <w:rsid w:val="00CA32C2"/>
    <w:rsid w:val="00CA34F8"/>
    <w:rsid w:val="00CA3640"/>
    <w:rsid w:val="00CA3709"/>
    <w:rsid w:val="00CA380C"/>
    <w:rsid w:val="00CA38FB"/>
    <w:rsid w:val="00CA3926"/>
    <w:rsid w:val="00CA3961"/>
    <w:rsid w:val="00CA3E41"/>
    <w:rsid w:val="00CA423F"/>
    <w:rsid w:val="00CA4276"/>
    <w:rsid w:val="00CA43A6"/>
    <w:rsid w:val="00CA43E8"/>
    <w:rsid w:val="00CA458E"/>
    <w:rsid w:val="00CA47D1"/>
    <w:rsid w:val="00CA48C8"/>
    <w:rsid w:val="00CA4A87"/>
    <w:rsid w:val="00CA4CBA"/>
    <w:rsid w:val="00CA4DA8"/>
    <w:rsid w:val="00CA4E77"/>
    <w:rsid w:val="00CA5547"/>
    <w:rsid w:val="00CA55CD"/>
    <w:rsid w:val="00CA56F4"/>
    <w:rsid w:val="00CA573B"/>
    <w:rsid w:val="00CA575F"/>
    <w:rsid w:val="00CA5816"/>
    <w:rsid w:val="00CA5925"/>
    <w:rsid w:val="00CA60CB"/>
    <w:rsid w:val="00CA6141"/>
    <w:rsid w:val="00CA61B6"/>
    <w:rsid w:val="00CA64D5"/>
    <w:rsid w:val="00CA67A2"/>
    <w:rsid w:val="00CA696B"/>
    <w:rsid w:val="00CA6B55"/>
    <w:rsid w:val="00CA6EB8"/>
    <w:rsid w:val="00CA6F06"/>
    <w:rsid w:val="00CA6F64"/>
    <w:rsid w:val="00CA709A"/>
    <w:rsid w:val="00CA7179"/>
    <w:rsid w:val="00CA732F"/>
    <w:rsid w:val="00CA7575"/>
    <w:rsid w:val="00CA7577"/>
    <w:rsid w:val="00CA76D3"/>
    <w:rsid w:val="00CA76DB"/>
    <w:rsid w:val="00CA7784"/>
    <w:rsid w:val="00CA7969"/>
    <w:rsid w:val="00CA79CE"/>
    <w:rsid w:val="00CA7A25"/>
    <w:rsid w:val="00CA7A36"/>
    <w:rsid w:val="00CA7A85"/>
    <w:rsid w:val="00CA7C98"/>
    <w:rsid w:val="00CA7E8B"/>
    <w:rsid w:val="00CB018B"/>
    <w:rsid w:val="00CB0221"/>
    <w:rsid w:val="00CB0586"/>
    <w:rsid w:val="00CB058B"/>
    <w:rsid w:val="00CB08E7"/>
    <w:rsid w:val="00CB0C09"/>
    <w:rsid w:val="00CB0DF0"/>
    <w:rsid w:val="00CB0E1F"/>
    <w:rsid w:val="00CB0E80"/>
    <w:rsid w:val="00CB0F83"/>
    <w:rsid w:val="00CB1007"/>
    <w:rsid w:val="00CB103D"/>
    <w:rsid w:val="00CB10E0"/>
    <w:rsid w:val="00CB1167"/>
    <w:rsid w:val="00CB1198"/>
    <w:rsid w:val="00CB1249"/>
    <w:rsid w:val="00CB139E"/>
    <w:rsid w:val="00CB14EB"/>
    <w:rsid w:val="00CB1AC1"/>
    <w:rsid w:val="00CB1B08"/>
    <w:rsid w:val="00CB1C71"/>
    <w:rsid w:val="00CB1CDF"/>
    <w:rsid w:val="00CB1DA9"/>
    <w:rsid w:val="00CB1E01"/>
    <w:rsid w:val="00CB1F2A"/>
    <w:rsid w:val="00CB1F6B"/>
    <w:rsid w:val="00CB216E"/>
    <w:rsid w:val="00CB2605"/>
    <w:rsid w:val="00CB26BF"/>
    <w:rsid w:val="00CB2713"/>
    <w:rsid w:val="00CB2834"/>
    <w:rsid w:val="00CB2956"/>
    <w:rsid w:val="00CB29C9"/>
    <w:rsid w:val="00CB29DB"/>
    <w:rsid w:val="00CB2AA3"/>
    <w:rsid w:val="00CB2ACE"/>
    <w:rsid w:val="00CB2BE0"/>
    <w:rsid w:val="00CB2C45"/>
    <w:rsid w:val="00CB2EB9"/>
    <w:rsid w:val="00CB3008"/>
    <w:rsid w:val="00CB30A0"/>
    <w:rsid w:val="00CB3443"/>
    <w:rsid w:val="00CB35DA"/>
    <w:rsid w:val="00CB377C"/>
    <w:rsid w:val="00CB3974"/>
    <w:rsid w:val="00CB3E8E"/>
    <w:rsid w:val="00CB3FC7"/>
    <w:rsid w:val="00CB4268"/>
    <w:rsid w:val="00CB42C1"/>
    <w:rsid w:val="00CB43A3"/>
    <w:rsid w:val="00CB456F"/>
    <w:rsid w:val="00CB4734"/>
    <w:rsid w:val="00CB48A7"/>
    <w:rsid w:val="00CB4930"/>
    <w:rsid w:val="00CB4949"/>
    <w:rsid w:val="00CB4D95"/>
    <w:rsid w:val="00CB4FAB"/>
    <w:rsid w:val="00CB524C"/>
    <w:rsid w:val="00CB5268"/>
    <w:rsid w:val="00CB5442"/>
    <w:rsid w:val="00CB5443"/>
    <w:rsid w:val="00CB5691"/>
    <w:rsid w:val="00CB56A3"/>
    <w:rsid w:val="00CB580E"/>
    <w:rsid w:val="00CB5988"/>
    <w:rsid w:val="00CB5AE6"/>
    <w:rsid w:val="00CB5B42"/>
    <w:rsid w:val="00CB5BEC"/>
    <w:rsid w:val="00CB5C0D"/>
    <w:rsid w:val="00CB5C91"/>
    <w:rsid w:val="00CB5E06"/>
    <w:rsid w:val="00CB5EC2"/>
    <w:rsid w:val="00CB5F66"/>
    <w:rsid w:val="00CB6509"/>
    <w:rsid w:val="00CB6604"/>
    <w:rsid w:val="00CB664B"/>
    <w:rsid w:val="00CB6953"/>
    <w:rsid w:val="00CB6C99"/>
    <w:rsid w:val="00CB6EA4"/>
    <w:rsid w:val="00CB71E8"/>
    <w:rsid w:val="00CB75C4"/>
    <w:rsid w:val="00CB7703"/>
    <w:rsid w:val="00CB77ED"/>
    <w:rsid w:val="00CB7B81"/>
    <w:rsid w:val="00CB7C4A"/>
    <w:rsid w:val="00CB7EB1"/>
    <w:rsid w:val="00CB7ED0"/>
    <w:rsid w:val="00CB7F46"/>
    <w:rsid w:val="00CC002C"/>
    <w:rsid w:val="00CC0372"/>
    <w:rsid w:val="00CC03D1"/>
    <w:rsid w:val="00CC0691"/>
    <w:rsid w:val="00CC0884"/>
    <w:rsid w:val="00CC0B26"/>
    <w:rsid w:val="00CC0C16"/>
    <w:rsid w:val="00CC0C72"/>
    <w:rsid w:val="00CC0CEC"/>
    <w:rsid w:val="00CC0D05"/>
    <w:rsid w:val="00CC13CE"/>
    <w:rsid w:val="00CC142A"/>
    <w:rsid w:val="00CC1C08"/>
    <w:rsid w:val="00CC1E71"/>
    <w:rsid w:val="00CC2053"/>
    <w:rsid w:val="00CC2084"/>
    <w:rsid w:val="00CC2530"/>
    <w:rsid w:val="00CC294F"/>
    <w:rsid w:val="00CC2BAB"/>
    <w:rsid w:val="00CC2C43"/>
    <w:rsid w:val="00CC2C92"/>
    <w:rsid w:val="00CC2E88"/>
    <w:rsid w:val="00CC2ECD"/>
    <w:rsid w:val="00CC30CB"/>
    <w:rsid w:val="00CC33C5"/>
    <w:rsid w:val="00CC348C"/>
    <w:rsid w:val="00CC3535"/>
    <w:rsid w:val="00CC35B9"/>
    <w:rsid w:val="00CC35E8"/>
    <w:rsid w:val="00CC369E"/>
    <w:rsid w:val="00CC37E8"/>
    <w:rsid w:val="00CC385B"/>
    <w:rsid w:val="00CC38C5"/>
    <w:rsid w:val="00CC3A4E"/>
    <w:rsid w:val="00CC3BC4"/>
    <w:rsid w:val="00CC3C71"/>
    <w:rsid w:val="00CC4093"/>
    <w:rsid w:val="00CC40EA"/>
    <w:rsid w:val="00CC4AFB"/>
    <w:rsid w:val="00CC4BEE"/>
    <w:rsid w:val="00CC4BFC"/>
    <w:rsid w:val="00CC4CA6"/>
    <w:rsid w:val="00CC4CE0"/>
    <w:rsid w:val="00CC4E88"/>
    <w:rsid w:val="00CC4EB4"/>
    <w:rsid w:val="00CC5054"/>
    <w:rsid w:val="00CC5150"/>
    <w:rsid w:val="00CC52A5"/>
    <w:rsid w:val="00CC52A9"/>
    <w:rsid w:val="00CC53F9"/>
    <w:rsid w:val="00CC597A"/>
    <w:rsid w:val="00CC59CD"/>
    <w:rsid w:val="00CC5A67"/>
    <w:rsid w:val="00CC5B1A"/>
    <w:rsid w:val="00CC5D65"/>
    <w:rsid w:val="00CC60DE"/>
    <w:rsid w:val="00CC6138"/>
    <w:rsid w:val="00CC626B"/>
    <w:rsid w:val="00CC6280"/>
    <w:rsid w:val="00CC630D"/>
    <w:rsid w:val="00CC6514"/>
    <w:rsid w:val="00CC6656"/>
    <w:rsid w:val="00CC69A1"/>
    <w:rsid w:val="00CC6CD9"/>
    <w:rsid w:val="00CC6D24"/>
    <w:rsid w:val="00CC7152"/>
    <w:rsid w:val="00CC7572"/>
    <w:rsid w:val="00CC78E7"/>
    <w:rsid w:val="00CC7A0E"/>
    <w:rsid w:val="00CC7A3B"/>
    <w:rsid w:val="00CC7A5E"/>
    <w:rsid w:val="00CC7CF9"/>
    <w:rsid w:val="00CC7D2E"/>
    <w:rsid w:val="00CC7E20"/>
    <w:rsid w:val="00CC7E58"/>
    <w:rsid w:val="00CD0618"/>
    <w:rsid w:val="00CD0862"/>
    <w:rsid w:val="00CD0B38"/>
    <w:rsid w:val="00CD0BAD"/>
    <w:rsid w:val="00CD0BC1"/>
    <w:rsid w:val="00CD0BE5"/>
    <w:rsid w:val="00CD0F2D"/>
    <w:rsid w:val="00CD119F"/>
    <w:rsid w:val="00CD1614"/>
    <w:rsid w:val="00CD1A2C"/>
    <w:rsid w:val="00CD1DA9"/>
    <w:rsid w:val="00CD2093"/>
    <w:rsid w:val="00CD2265"/>
    <w:rsid w:val="00CD22D0"/>
    <w:rsid w:val="00CD2623"/>
    <w:rsid w:val="00CD26F5"/>
    <w:rsid w:val="00CD2A7B"/>
    <w:rsid w:val="00CD2AF7"/>
    <w:rsid w:val="00CD2FB5"/>
    <w:rsid w:val="00CD2FC1"/>
    <w:rsid w:val="00CD3315"/>
    <w:rsid w:val="00CD3333"/>
    <w:rsid w:val="00CD336D"/>
    <w:rsid w:val="00CD3554"/>
    <w:rsid w:val="00CD3662"/>
    <w:rsid w:val="00CD38C9"/>
    <w:rsid w:val="00CD3A77"/>
    <w:rsid w:val="00CD3CAE"/>
    <w:rsid w:val="00CD3D23"/>
    <w:rsid w:val="00CD40CD"/>
    <w:rsid w:val="00CD4123"/>
    <w:rsid w:val="00CD41E1"/>
    <w:rsid w:val="00CD4322"/>
    <w:rsid w:val="00CD4383"/>
    <w:rsid w:val="00CD4452"/>
    <w:rsid w:val="00CD452F"/>
    <w:rsid w:val="00CD4699"/>
    <w:rsid w:val="00CD46CC"/>
    <w:rsid w:val="00CD4702"/>
    <w:rsid w:val="00CD470F"/>
    <w:rsid w:val="00CD498C"/>
    <w:rsid w:val="00CD499E"/>
    <w:rsid w:val="00CD4B3C"/>
    <w:rsid w:val="00CD4C1B"/>
    <w:rsid w:val="00CD4CFB"/>
    <w:rsid w:val="00CD4F7A"/>
    <w:rsid w:val="00CD508E"/>
    <w:rsid w:val="00CD50A3"/>
    <w:rsid w:val="00CD517E"/>
    <w:rsid w:val="00CD51B4"/>
    <w:rsid w:val="00CD52A5"/>
    <w:rsid w:val="00CD559A"/>
    <w:rsid w:val="00CD579E"/>
    <w:rsid w:val="00CD5834"/>
    <w:rsid w:val="00CD5B00"/>
    <w:rsid w:val="00CD5B4B"/>
    <w:rsid w:val="00CD5BAD"/>
    <w:rsid w:val="00CD5CDF"/>
    <w:rsid w:val="00CD5D74"/>
    <w:rsid w:val="00CD5E47"/>
    <w:rsid w:val="00CD61A0"/>
    <w:rsid w:val="00CD620E"/>
    <w:rsid w:val="00CD63F8"/>
    <w:rsid w:val="00CD6538"/>
    <w:rsid w:val="00CD661F"/>
    <w:rsid w:val="00CD668E"/>
    <w:rsid w:val="00CD66BF"/>
    <w:rsid w:val="00CD6766"/>
    <w:rsid w:val="00CD67DB"/>
    <w:rsid w:val="00CD6B16"/>
    <w:rsid w:val="00CD6B28"/>
    <w:rsid w:val="00CD6BAE"/>
    <w:rsid w:val="00CD6CD8"/>
    <w:rsid w:val="00CD6CE4"/>
    <w:rsid w:val="00CD6DAC"/>
    <w:rsid w:val="00CD70A9"/>
    <w:rsid w:val="00CD716F"/>
    <w:rsid w:val="00CD7220"/>
    <w:rsid w:val="00CD7299"/>
    <w:rsid w:val="00CD79D2"/>
    <w:rsid w:val="00CE00A8"/>
    <w:rsid w:val="00CE00CF"/>
    <w:rsid w:val="00CE027D"/>
    <w:rsid w:val="00CE07FE"/>
    <w:rsid w:val="00CE08CD"/>
    <w:rsid w:val="00CE0A1A"/>
    <w:rsid w:val="00CE0AC0"/>
    <w:rsid w:val="00CE0C48"/>
    <w:rsid w:val="00CE1020"/>
    <w:rsid w:val="00CE1070"/>
    <w:rsid w:val="00CE1130"/>
    <w:rsid w:val="00CE13C5"/>
    <w:rsid w:val="00CE13C6"/>
    <w:rsid w:val="00CE1576"/>
    <w:rsid w:val="00CE18F7"/>
    <w:rsid w:val="00CE1A47"/>
    <w:rsid w:val="00CE1B88"/>
    <w:rsid w:val="00CE1CC3"/>
    <w:rsid w:val="00CE1E59"/>
    <w:rsid w:val="00CE20C5"/>
    <w:rsid w:val="00CE2180"/>
    <w:rsid w:val="00CE2212"/>
    <w:rsid w:val="00CE2307"/>
    <w:rsid w:val="00CE252A"/>
    <w:rsid w:val="00CE282A"/>
    <w:rsid w:val="00CE2A47"/>
    <w:rsid w:val="00CE2D1F"/>
    <w:rsid w:val="00CE2EEE"/>
    <w:rsid w:val="00CE3125"/>
    <w:rsid w:val="00CE32E6"/>
    <w:rsid w:val="00CE3536"/>
    <w:rsid w:val="00CE355F"/>
    <w:rsid w:val="00CE3A1E"/>
    <w:rsid w:val="00CE3B91"/>
    <w:rsid w:val="00CE3C01"/>
    <w:rsid w:val="00CE3C9E"/>
    <w:rsid w:val="00CE3F9A"/>
    <w:rsid w:val="00CE40A5"/>
    <w:rsid w:val="00CE4120"/>
    <w:rsid w:val="00CE4158"/>
    <w:rsid w:val="00CE447C"/>
    <w:rsid w:val="00CE47CE"/>
    <w:rsid w:val="00CE494E"/>
    <w:rsid w:val="00CE49DD"/>
    <w:rsid w:val="00CE4BE9"/>
    <w:rsid w:val="00CE4C50"/>
    <w:rsid w:val="00CE4EE4"/>
    <w:rsid w:val="00CE50FE"/>
    <w:rsid w:val="00CE531C"/>
    <w:rsid w:val="00CE5697"/>
    <w:rsid w:val="00CE59D0"/>
    <w:rsid w:val="00CE59F7"/>
    <w:rsid w:val="00CE5B02"/>
    <w:rsid w:val="00CE5D24"/>
    <w:rsid w:val="00CE6154"/>
    <w:rsid w:val="00CE6266"/>
    <w:rsid w:val="00CE6447"/>
    <w:rsid w:val="00CE64B6"/>
    <w:rsid w:val="00CE66E4"/>
    <w:rsid w:val="00CE6976"/>
    <w:rsid w:val="00CE699E"/>
    <w:rsid w:val="00CE6AF8"/>
    <w:rsid w:val="00CE6E05"/>
    <w:rsid w:val="00CE7013"/>
    <w:rsid w:val="00CE7098"/>
    <w:rsid w:val="00CE717E"/>
    <w:rsid w:val="00CE71AC"/>
    <w:rsid w:val="00CE7202"/>
    <w:rsid w:val="00CE73BB"/>
    <w:rsid w:val="00CE744A"/>
    <w:rsid w:val="00CE75B0"/>
    <w:rsid w:val="00CE7910"/>
    <w:rsid w:val="00CE7948"/>
    <w:rsid w:val="00CE794E"/>
    <w:rsid w:val="00CE7A20"/>
    <w:rsid w:val="00CE7A5B"/>
    <w:rsid w:val="00CE7BB8"/>
    <w:rsid w:val="00CE7E21"/>
    <w:rsid w:val="00CE7E9D"/>
    <w:rsid w:val="00CE7F54"/>
    <w:rsid w:val="00CF0055"/>
    <w:rsid w:val="00CF00E4"/>
    <w:rsid w:val="00CF02CC"/>
    <w:rsid w:val="00CF035D"/>
    <w:rsid w:val="00CF036B"/>
    <w:rsid w:val="00CF04B3"/>
    <w:rsid w:val="00CF0530"/>
    <w:rsid w:val="00CF093C"/>
    <w:rsid w:val="00CF0ACE"/>
    <w:rsid w:val="00CF0EB1"/>
    <w:rsid w:val="00CF0FAA"/>
    <w:rsid w:val="00CF1096"/>
    <w:rsid w:val="00CF11B1"/>
    <w:rsid w:val="00CF1212"/>
    <w:rsid w:val="00CF162A"/>
    <w:rsid w:val="00CF1807"/>
    <w:rsid w:val="00CF1810"/>
    <w:rsid w:val="00CF182B"/>
    <w:rsid w:val="00CF1A07"/>
    <w:rsid w:val="00CF1AA7"/>
    <w:rsid w:val="00CF1AAE"/>
    <w:rsid w:val="00CF1EB6"/>
    <w:rsid w:val="00CF1EF5"/>
    <w:rsid w:val="00CF1FF8"/>
    <w:rsid w:val="00CF2189"/>
    <w:rsid w:val="00CF230F"/>
    <w:rsid w:val="00CF264E"/>
    <w:rsid w:val="00CF26A9"/>
    <w:rsid w:val="00CF2947"/>
    <w:rsid w:val="00CF299B"/>
    <w:rsid w:val="00CF2AEF"/>
    <w:rsid w:val="00CF2D35"/>
    <w:rsid w:val="00CF2D3B"/>
    <w:rsid w:val="00CF3054"/>
    <w:rsid w:val="00CF30B3"/>
    <w:rsid w:val="00CF3192"/>
    <w:rsid w:val="00CF319A"/>
    <w:rsid w:val="00CF31A4"/>
    <w:rsid w:val="00CF337D"/>
    <w:rsid w:val="00CF3647"/>
    <w:rsid w:val="00CF38CA"/>
    <w:rsid w:val="00CF3987"/>
    <w:rsid w:val="00CF3BAC"/>
    <w:rsid w:val="00CF42F1"/>
    <w:rsid w:val="00CF433A"/>
    <w:rsid w:val="00CF47FB"/>
    <w:rsid w:val="00CF4B5A"/>
    <w:rsid w:val="00CF5133"/>
    <w:rsid w:val="00CF519A"/>
    <w:rsid w:val="00CF51F0"/>
    <w:rsid w:val="00CF532B"/>
    <w:rsid w:val="00CF5424"/>
    <w:rsid w:val="00CF5595"/>
    <w:rsid w:val="00CF570E"/>
    <w:rsid w:val="00CF5B32"/>
    <w:rsid w:val="00CF5B82"/>
    <w:rsid w:val="00CF5C87"/>
    <w:rsid w:val="00CF5D10"/>
    <w:rsid w:val="00CF5DB7"/>
    <w:rsid w:val="00CF5E5E"/>
    <w:rsid w:val="00CF5EA4"/>
    <w:rsid w:val="00CF62D2"/>
    <w:rsid w:val="00CF65DA"/>
    <w:rsid w:val="00CF6782"/>
    <w:rsid w:val="00CF67F2"/>
    <w:rsid w:val="00CF692A"/>
    <w:rsid w:val="00CF6950"/>
    <w:rsid w:val="00CF6DBD"/>
    <w:rsid w:val="00CF6F94"/>
    <w:rsid w:val="00CF6FB4"/>
    <w:rsid w:val="00CF7278"/>
    <w:rsid w:val="00CF739F"/>
    <w:rsid w:val="00CF7404"/>
    <w:rsid w:val="00CF7EFC"/>
    <w:rsid w:val="00D0013E"/>
    <w:rsid w:val="00D004C8"/>
    <w:rsid w:val="00D00536"/>
    <w:rsid w:val="00D00D5E"/>
    <w:rsid w:val="00D00E10"/>
    <w:rsid w:val="00D0108A"/>
    <w:rsid w:val="00D0122C"/>
    <w:rsid w:val="00D01D06"/>
    <w:rsid w:val="00D023AC"/>
    <w:rsid w:val="00D02641"/>
    <w:rsid w:val="00D02767"/>
    <w:rsid w:val="00D02914"/>
    <w:rsid w:val="00D02AFC"/>
    <w:rsid w:val="00D02BE3"/>
    <w:rsid w:val="00D03027"/>
    <w:rsid w:val="00D03055"/>
    <w:rsid w:val="00D0338B"/>
    <w:rsid w:val="00D03750"/>
    <w:rsid w:val="00D0384D"/>
    <w:rsid w:val="00D03A66"/>
    <w:rsid w:val="00D03A74"/>
    <w:rsid w:val="00D03BD5"/>
    <w:rsid w:val="00D03C17"/>
    <w:rsid w:val="00D03C85"/>
    <w:rsid w:val="00D040AE"/>
    <w:rsid w:val="00D044BC"/>
    <w:rsid w:val="00D046FD"/>
    <w:rsid w:val="00D047E6"/>
    <w:rsid w:val="00D04B65"/>
    <w:rsid w:val="00D04C09"/>
    <w:rsid w:val="00D04FB2"/>
    <w:rsid w:val="00D050F3"/>
    <w:rsid w:val="00D0540D"/>
    <w:rsid w:val="00D055B6"/>
    <w:rsid w:val="00D05960"/>
    <w:rsid w:val="00D05BB1"/>
    <w:rsid w:val="00D05BEC"/>
    <w:rsid w:val="00D05C7F"/>
    <w:rsid w:val="00D05D0D"/>
    <w:rsid w:val="00D05DFE"/>
    <w:rsid w:val="00D05EE3"/>
    <w:rsid w:val="00D05F86"/>
    <w:rsid w:val="00D06049"/>
    <w:rsid w:val="00D061F4"/>
    <w:rsid w:val="00D06335"/>
    <w:rsid w:val="00D0662A"/>
    <w:rsid w:val="00D06AC5"/>
    <w:rsid w:val="00D06B2D"/>
    <w:rsid w:val="00D06EF8"/>
    <w:rsid w:val="00D06F15"/>
    <w:rsid w:val="00D07103"/>
    <w:rsid w:val="00D0720F"/>
    <w:rsid w:val="00D07375"/>
    <w:rsid w:val="00D074BB"/>
    <w:rsid w:val="00D0755F"/>
    <w:rsid w:val="00D07563"/>
    <w:rsid w:val="00D075BE"/>
    <w:rsid w:val="00D0784C"/>
    <w:rsid w:val="00D0787A"/>
    <w:rsid w:val="00D07A09"/>
    <w:rsid w:val="00D07B01"/>
    <w:rsid w:val="00D07B4C"/>
    <w:rsid w:val="00D07B87"/>
    <w:rsid w:val="00D07C4B"/>
    <w:rsid w:val="00D07D5C"/>
    <w:rsid w:val="00D07E19"/>
    <w:rsid w:val="00D101A1"/>
    <w:rsid w:val="00D10236"/>
    <w:rsid w:val="00D10529"/>
    <w:rsid w:val="00D1057B"/>
    <w:rsid w:val="00D105F9"/>
    <w:rsid w:val="00D10DCF"/>
    <w:rsid w:val="00D110DF"/>
    <w:rsid w:val="00D110EF"/>
    <w:rsid w:val="00D111B7"/>
    <w:rsid w:val="00D1125E"/>
    <w:rsid w:val="00D113F2"/>
    <w:rsid w:val="00D115F8"/>
    <w:rsid w:val="00D1161E"/>
    <w:rsid w:val="00D116D2"/>
    <w:rsid w:val="00D1179B"/>
    <w:rsid w:val="00D11AF5"/>
    <w:rsid w:val="00D11C17"/>
    <w:rsid w:val="00D11C8E"/>
    <w:rsid w:val="00D11CA6"/>
    <w:rsid w:val="00D11CFB"/>
    <w:rsid w:val="00D11D31"/>
    <w:rsid w:val="00D11DEF"/>
    <w:rsid w:val="00D11F37"/>
    <w:rsid w:val="00D11FE5"/>
    <w:rsid w:val="00D12128"/>
    <w:rsid w:val="00D1218A"/>
    <w:rsid w:val="00D12261"/>
    <w:rsid w:val="00D1268F"/>
    <w:rsid w:val="00D1272E"/>
    <w:rsid w:val="00D1286D"/>
    <w:rsid w:val="00D12A50"/>
    <w:rsid w:val="00D12A7B"/>
    <w:rsid w:val="00D12AC1"/>
    <w:rsid w:val="00D12F8F"/>
    <w:rsid w:val="00D13161"/>
    <w:rsid w:val="00D137AF"/>
    <w:rsid w:val="00D138AA"/>
    <w:rsid w:val="00D13970"/>
    <w:rsid w:val="00D1398E"/>
    <w:rsid w:val="00D13A25"/>
    <w:rsid w:val="00D13A65"/>
    <w:rsid w:val="00D141CF"/>
    <w:rsid w:val="00D14296"/>
    <w:rsid w:val="00D14356"/>
    <w:rsid w:val="00D143F2"/>
    <w:rsid w:val="00D144F7"/>
    <w:rsid w:val="00D146D3"/>
    <w:rsid w:val="00D146ED"/>
    <w:rsid w:val="00D1486A"/>
    <w:rsid w:val="00D14907"/>
    <w:rsid w:val="00D1495A"/>
    <w:rsid w:val="00D14B5A"/>
    <w:rsid w:val="00D15077"/>
    <w:rsid w:val="00D150B3"/>
    <w:rsid w:val="00D1512D"/>
    <w:rsid w:val="00D1522E"/>
    <w:rsid w:val="00D15358"/>
    <w:rsid w:val="00D154E7"/>
    <w:rsid w:val="00D15557"/>
    <w:rsid w:val="00D1567F"/>
    <w:rsid w:val="00D15862"/>
    <w:rsid w:val="00D158B1"/>
    <w:rsid w:val="00D158CC"/>
    <w:rsid w:val="00D15A94"/>
    <w:rsid w:val="00D15B36"/>
    <w:rsid w:val="00D15DF8"/>
    <w:rsid w:val="00D15E5F"/>
    <w:rsid w:val="00D162D4"/>
    <w:rsid w:val="00D16381"/>
    <w:rsid w:val="00D164C8"/>
    <w:rsid w:val="00D16B08"/>
    <w:rsid w:val="00D16B74"/>
    <w:rsid w:val="00D16C12"/>
    <w:rsid w:val="00D16CB6"/>
    <w:rsid w:val="00D16E15"/>
    <w:rsid w:val="00D17696"/>
    <w:rsid w:val="00D176A4"/>
    <w:rsid w:val="00D176E4"/>
    <w:rsid w:val="00D177DA"/>
    <w:rsid w:val="00D17963"/>
    <w:rsid w:val="00D17EE5"/>
    <w:rsid w:val="00D20018"/>
    <w:rsid w:val="00D200BB"/>
    <w:rsid w:val="00D2067F"/>
    <w:rsid w:val="00D208D2"/>
    <w:rsid w:val="00D20B7B"/>
    <w:rsid w:val="00D20C20"/>
    <w:rsid w:val="00D20C73"/>
    <w:rsid w:val="00D20EF5"/>
    <w:rsid w:val="00D2111B"/>
    <w:rsid w:val="00D214EA"/>
    <w:rsid w:val="00D215ED"/>
    <w:rsid w:val="00D21691"/>
    <w:rsid w:val="00D2179B"/>
    <w:rsid w:val="00D21988"/>
    <w:rsid w:val="00D2210E"/>
    <w:rsid w:val="00D221D3"/>
    <w:rsid w:val="00D224B2"/>
    <w:rsid w:val="00D225A5"/>
    <w:rsid w:val="00D2284F"/>
    <w:rsid w:val="00D22875"/>
    <w:rsid w:val="00D22965"/>
    <w:rsid w:val="00D22B00"/>
    <w:rsid w:val="00D23341"/>
    <w:rsid w:val="00D235B1"/>
    <w:rsid w:val="00D237BB"/>
    <w:rsid w:val="00D23E95"/>
    <w:rsid w:val="00D23ED7"/>
    <w:rsid w:val="00D244C1"/>
    <w:rsid w:val="00D2476D"/>
    <w:rsid w:val="00D24793"/>
    <w:rsid w:val="00D24987"/>
    <w:rsid w:val="00D24A00"/>
    <w:rsid w:val="00D24A97"/>
    <w:rsid w:val="00D24EF8"/>
    <w:rsid w:val="00D24F1E"/>
    <w:rsid w:val="00D2509C"/>
    <w:rsid w:val="00D2513F"/>
    <w:rsid w:val="00D2517D"/>
    <w:rsid w:val="00D254BB"/>
    <w:rsid w:val="00D257AA"/>
    <w:rsid w:val="00D258DC"/>
    <w:rsid w:val="00D259D0"/>
    <w:rsid w:val="00D25E11"/>
    <w:rsid w:val="00D25E85"/>
    <w:rsid w:val="00D26185"/>
    <w:rsid w:val="00D264E7"/>
    <w:rsid w:val="00D2650D"/>
    <w:rsid w:val="00D26639"/>
    <w:rsid w:val="00D268EC"/>
    <w:rsid w:val="00D269EA"/>
    <w:rsid w:val="00D26A67"/>
    <w:rsid w:val="00D26D60"/>
    <w:rsid w:val="00D26E32"/>
    <w:rsid w:val="00D27000"/>
    <w:rsid w:val="00D2705A"/>
    <w:rsid w:val="00D27066"/>
    <w:rsid w:val="00D274D7"/>
    <w:rsid w:val="00D27519"/>
    <w:rsid w:val="00D275BE"/>
    <w:rsid w:val="00D27639"/>
    <w:rsid w:val="00D27A00"/>
    <w:rsid w:val="00D27A08"/>
    <w:rsid w:val="00D27AD8"/>
    <w:rsid w:val="00D27C30"/>
    <w:rsid w:val="00D27D86"/>
    <w:rsid w:val="00D27DCA"/>
    <w:rsid w:val="00D27ECD"/>
    <w:rsid w:val="00D27F03"/>
    <w:rsid w:val="00D30063"/>
    <w:rsid w:val="00D30360"/>
    <w:rsid w:val="00D3039B"/>
    <w:rsid w:val="00D3065C"/>
    <w:rsid w:val="00D306DF"/>
    <w:rsid w:val="00D307FD"/>
    <w:rsid w:val="00D3084E"/>
    <w:rsid w:val="00D30DF2"/>
    <w:rsid w:val="00D311D7"/>
    <w:rsid w:val="00D31202"/>
    <w:rsid w:val="00D312EE"/>
    <w:rsid w:val="00D314EF"/>
    <w:rsid w:val="00D31A2B"/>
    <w:rsid w:val="00D31B26"/>
    <w:rsid w:val="00D31DFA"/>
    <w:rsid w:val="00D31F28"/>
    <w:rsid w:val="00D31F6B"/>
    <w:rsid w:val="00D32BF2"/>
    <w:rsid w:val="00D32F75"/>
    <w:rsid w:val="00D32F7A"/>
    <w:rsid w:val="00D32F9C"/>
    <w:rsid w:val="00D3304D"/>
    <w:rsid w:val="00D330BE"/>
    <w:rsid w:val="00D33383"/>
    <w:rsid w:val="00D33715"/>
    <w:rsid w:val="00D3376D"/>
    <w:rsid w:val="00D338D5"/>
    <w:rsid w:val="00D33AEB"/>
    <w:rsid w:val="00D33DC4"/>
    <w:rsid w:val="00D340A6"/>
    <w:rsid w:val="00D340C6"/>
    <w:rsid w:val="00D340E4"/>
    <w:rsid w:val="00D341C8"/>
    <w:rsid w:val="00D34285"/>
    <w:rsid w:val="00D342A9"/>
    <w:rsid w:val="00D343AA"/>
    <w:rsid w:val="00D344D1"/>
    <w:rsid w:val="00D344F8"/>
    <w:rsid w:val="00D3457D"/>
    <w:rsid w:val="00D34719"/>
    <w:rsid w:val="00D34C19"/>
    <w:rsid w:val="00D34C24"/>
    <w:rsid w:val="00D34C2A"/>
    <w:rsid w:val="00D34CE4"/>
    <w:rsid w:val="00D34EE8"/>
    <w:rsid w:val="00D35391"/>
    <w:rsid w:val="00D35411"/>
    <w:rsid w:val="00D35519"/>
    <w:rsid w:val="00D3558B"/>
    <w:rsid w:val="00D358F7"/>
    <w:rsid w:val="00D35913"/>
    <w:rsid w:val="00D35CDC"/>
    <w:rsid w:val="00D35E2B"/>
    <w:rsid w:val="00D36153"/>
    <w:rsid w:val="00D36314"/>
    <w:rsid w:val="00D365CD"/>
    <w:rsid w:val="00D3680A"/>
    <w:rsid w:val="00D36837"/>
    <w:rsid w:val="00D36C48"/>
    <w:rsid w:val="00D3700A"/>
    <w:rsid w:val="00D37153"/>
    <w:rsid w:val="00D3721B"/>
    <w:rsid w:val="00D37348"/>
    <w:rsid w:val="00D3748A"/>
    <w:rsid w:val="00D374B8"/>
    <w:rsid w:val="00D37586"/>
    <w:rsid w:val="00D376E1"/>
    <w:rsid w:val="00D37B06"/>
    <w:rsid w:val="00D37BE0"/>
    <w:rsid w:val="00D37D73"/>
    <w:rsid w:val="00D400C2"/>
    <w:rsid w:val="00D406A7"/>
    <w:rsid w:val="00D4074A"/>
    <w:rsid w:val="00D40763"/>
    <w:rsid w:val="00D408E3"/>
    <w:rsid w:val="00D409D9"/>
    <w:rsid w:val="00D411BF"/>
    <w:rsid w:val="00D413CA"/>
    <w:rsid w:val="00D4152A"/>
    <w:rsid w:val="00D4161E"/>
    <w:rsid w:val="00D417AD"/>
    <w:rsid w:val="00D419CC"/>
    <w:rsid w:val="00D41D6C"/>
    <w:rsid w:val="00D41DC5"/>
    <w:rsid w:val="00D41EE8"/>
    <w:rsid w:val="00D42098"/>
    <w:rsid w:val="00D4227D"/>
    <w:rsid w:val="00D423AD"/>
    <w:rsid w:val="00D42600"/>
    <w:rsid w:val="00D429F3"/>
    <w:rsid w:val="00D42A70"/>
    <w:rsid w:val="00D42B95"/>
    <w:rsid w:val="00D42C82"/>
    <w:rsid w:val="00D42CFD"/>
    <w:rsid w:val="00D42D28"/>
    <w:rsid w:val="00D42E48"/>
    <w:rsid w:val="00D42EDF"/>
    <w:rsid w:val="00D42EE2"/>
    <w:rsid w:val="00D431F1"/>
    <w:rsid w:val="00D43410"/>
    <w:rsid w:val="00D437E0"/>
    <w:rsid w:val="00D4388B"/>
    <w:rsid w:val="00D43A8A"/>
    <w:rsid w:val="00D43AC4"/>
    <w:rsid w:val="00D43B10"/>
    <w:rsid w:val="00D43BAD"/>
    <w:rsid w:val="00D43CB5"/>
    <w:rsid w:val="00D43E89"/>
    <w:rsid w:val="00D4405B"/>
    <w:rsid w:val="00D440ED"/>
    <w:rsid w:val="00D4422F"/>
    <w:rsid w:val="00D442C4"/>
    <w:rsid w:val="00D44703"/>
    <w:rsid w:val="00D44837"/>
    <w:rsid w:val="00D449E7"/>
    <w:rsid w:val="00D44D79"/>
    <w:rsid w:val="00D45010"/>
    <w:rsid w:val="00D451FD"/>
    <w:rsid w:val="00D4520A"/>
    <w:rsid w:val="00D45367"/>
    <w:rsid w:val="00D45743"/>
    <w:rsid w:val="00D458B8"/>
    <w:rsid w:val="00D458DB"/>
    <w:rsid w:val="00D45B88"/>
    <w:rsid w:val="00D45C0F"/>
    <w:rsid w:val="00D45D97"/>
    <w:rsid w:val="00D460DB"/>
    <w:rsid w:val="00D464D1"/>
    <w:rsid w:val="00D4659A"/>
    <w:rsid w:val="00D46730"/>
    <w:rsid w:val="00D46A29"/>
    <w:rsid w:val="00D46D4D"/>
    <w:rsid w:val="00D46DDD"/>
    <w:rsid w:val="00D46DE4"/>
    <w:rsid w:val="00D46E9D"/>
    <w:rsid w:val="00D46F63"/>
    <w:rsid w:val="00D474EF"/>
    <w:rsid w:val="00D4755D"/>
    <w:rsid w:val="00D4794F"/>
    <w:rsid w:val="00D47ADB"/>
    <w:rsid w:val="00D47FB8"/>
    <w:rsid w:val="00D501A1"/>
    <w:rsid w:val="00D5038B"/>
    <w:rsid w:val="00D505C1"/>
    <w:rsid w:val="00D50632"/>
    <w:rsid w:val="00D50683"/>
    <w:rsid w:val="00D506CB"/>
    <w:rsid w:val="00D50902"/>
    <w:rsid w:val="00D50AC1"/>
    <w:rsid w:val="00D50B71"/>
    <w:rsid w:val="00D50B9E"/>
    <w:rsid w:val="00D50EFB"/>
    <w:rsid w:val="00D516FB"/>
    <w:rsid w:val="00D51AA8"/>
    <w:rsid w:val="00D51AC6"/>
    <w:rsid w:val="00D51BB2"/>
    <w:rsid w:val="00D51E0A"/>
    <w:rsid w:val="00D5210A"/>
    <w:rsid w:val="00D5224B"/>
    <w:rsid w:val="00D52273"/>
    <w:rsid w:val="00D52297"/>
    <w:rsid w:val="00D52590"/>
    <w:rsid w:val="00D527E2"/>
    <w:rsid w:val="00D528E2"/>
    <w:rsid w:val="00D52901"/>
    <w:rsid w:val="00D5296B"/>
    <w:rsid w:val="00D52A81"/>
    <w:rsid w:val="00D52D27"/>
    <w:rsid w:val="00D52D5D"/>
    <w:rsid w:val="00D52DAE"/>
    <w:rsid w:val="00D52DF8"/>
    <w:rsid w:val="00D52E4C"/>
    <w:rsid w:val="00D52E91"/>
    <w:rsid w:val="00D53241"/>
    <w:rsid w:val="00D532A2"/>
    <w:rsid w:val="00D533E1"/>
    <w:rsid w:val="00D535AC"/>
    <w:rsid w:val="00D536E2"/>
    <w:rsid w:val="00D53A65"/>
    <w:rsid w:val="00D53CCA"/>
    <w:rsid w:val="00D53DE4"/>
    <w:rsid w:val="00D53E76"/>
    <w:rsid w:val="00D53EBB"/>
    <w:rsid w:val="00D53F24"/>
    <w:rsid w:val="00D5417B"/>
    <w:rsid w:val="00D5418F"/>
    <w:rsid w:val="00D54228"/>
    <w:rsid w:val="00D543BD"/>
    <w:rsid w:val="00D54408"/>
    <w:rsid w:val="00D5441C"/>
    <w:rsid w:val="00D546B2"/>
    <w:rsid w:val="00D546F6"/>
    <w:rsid w:val="00D54A73"/>
    <w:rsid w:val="00D54AD8"/>
    <w:rsid w:val="00D54ADB"/>
    <w:rsid w:val="00D54B84"/>
    <w:rsid w:val="00D54BBB"/>
    <w:rsid w:val="00D54D4D"/>
    <w:rsid w:val="00D54F44"/>
    <w:rsid w:val="00D54FCB"/>
    <w:rsid w:val="00D55015"/>
    <w:rsid w:val="00D5515B"/>
    <w:rsid w:val="00D553E4"/>
    <w:rsid w:val="00D55645"/>
    <w:rsid w:val="00D55899"/>
    <w:rsid w:val="00D55B9A"/>
    <w:rsid w:val="00D55C8D"/>
    <w:rsid w:val="00D55EC4"/>
    <w:rsid w:val="00D55F35"/>
    <w:rsid w:val="00D55FF0"/>
    <w:rsid w:val="00D560D9"/>
    <w:rsid w:val="00D56482"/>
    <w:rsid w:val="00D56767"/>
    <w:rsid w:val="00D56958"/>
    <w:rsid w:val="00D56A10"/>
    <w:rsid w:val="00D56A56"/>
    <w:rsid w:val="00D56D32"/>
    <w:rsid w:val="00D5743D"/>
    <w:rsid w:val="00D57495"/>
    <w:rsid w:val="00D57599"/>
    <w:rsid w:val="00D5769E"/>
    <w:rsid w:val="00D578D9"/>
    <w:rsid w:val="00D57944"/>
    <w:rsid w:val="00D57B41"/>
    <w:rsid w:val="00D57C5E"/>
    <w:rsid w:val="00D57D57"/>
    <w:rsid w:val="00D57EEB"/>
    <w:rsid w:val="00D57F0D"/>
    <w:rsid w:val="00D57F5B"/>
    <w:rsid w:val="00D57FAD"/>
    <w:rsid w:val="00D60076"/>
    <w:rsid w:val="00D60078"/>
    <w:rsid w:val="00D6011E"/>
    <w:rsid w:val="00D602E6"/>
    <w:rsid w:val="00D6040D"/>
    <w:rsid w:val="00D6044E"/>
    <w:rsid w:val="00D604D3"/>
    <w:rsid w:val="00D606F3"/>
    <w:rsid w:val="00D60744"/>
    <w:rsid w:val="00D607E1"/>
    <w:rsid w:val="00D609E1"/>
    <w:rsid w:val="00D60BE3"/>
    <w:rsid w:val="00D61006"/>
    <w:rsid w:val="00D6105E"/>
    <w:rsid w:val="00D61427"/>
    <w:rsid w:val="00D6175D"/>
    <w:rsid w:val="00D61816"/>
    <w:rsid w:val="00D61858"/>
    <w:rsid w:val="00D61943"/>
    <w:rsid w:val="00D61A1C"/>
    <w:rsid w:val="00D61B4E"/>
    <w:rsid w:val="00D62100"/>
    <w:rsid w:val="00D62431"/>
    <w:rsid w:val="00D62552"/>
    <w:rsid w:val="00D6273B"/>
    <w:rsid w:val="00D6293D"/>
    <w:rsid w:val="00D62BE3"/>
    <w:rsid w:val="00D62BF1"/>
    <w:rsid w:val="00D62D5B"/>
    <w:rsid w:val="00D62E52"/>
    <w:rsid w:val="00D6313B"/>
    <w:rsid w:val="00D63154"/>
    <w:rsid w:val="00D631DC"/>
    <w:rsid w:val="00D6335F"/>
    <w:rsid w:val="00D633C9"/>
    <w:rsid w:val="00D6350F"/>
    <w:rsid w:val="00D6364E"/>
    <w:rsid w:val="00D639CC"/>
    <w:rsid w:val="00D63BAF"/>
    <w:rsid w:val="00D63C97"/>
    <w:rsid w:val="00D63DC6"/>
    <w:rsid w:val="00D63E96"/>
    <w:rsid w:val="00D64071"/>
    <w:rsid w:val="00D645A7"/>
    <w:rsid w:val="00D64760"/>
    <w:rsid w:val="00D64798"/>
    <w:rsid w:val="00D64C24"/>
    <w:rsid w:val="00D64F84"/>
    <w:rsid w:val="00D64FD7"/>
    <w:rsid w:val="00D6512F"/>
    <w:rsid w:val="00D6545C"/>
    <w:rsid w:val="00D654C8"/>
    <w:rsid w:val="00D65667"/>
    <w:rsid w:val="00D656CE"/>
    <w:rsid w:val="00D65711"/>
    <w:rsid w:val="00D65761"/>
    <w:rsid w:val="00D658D8"/>
    <w:rsid w:val="00D65BAC"/>
    <w:rsid w:val="00D65D3E"/>
    <w:rsid w:val="00D65ED8"/>
    <w:rsid w:val="00D66012"/>
    <w:rsid w:val="00D66342"/>
    <w:rsid w:val="00D66391"/>
    <w:rsid w:val="00D664B3"/>
    <w:rsid w:val="00D66708"/>
    <w:rsid w:val="00D66790"/>
    <w:rsid w:val="00D6698F"/>
    <w:rsid w:val="00D66BA2"/>
    <w:rsid w:val="00D66F08"/>
    <w:rsid w:val="00D67050"/>
    <w:rsid w:val="00D670E4"/>
    <w:rsid w:val="00D672E1"/>
    <w:rsid w:val="00D67407"/>
    <w:rsid w:val="00D674A5"/>
    <w:rsid w:val="00D67670"/>
    <w:rsid w:val="00D678B3"/>
    <w:rsid w:val="00D67A02"/>
    <w:rsid w:val="00D67C52"/>
    <w:rsid w:val="00D67D8B"/>
    <w:rsid w:val="00D70010"/>
    <w:rsid w:val="00D70572"/>
    <w:rsid w:val="00D706C4"/>
    <w:rsid w:val="00D7094C"/>
    <w:rsid w:val="00D70971"/>
    <w:rsid w:val="00D70A2B"/>
    <w:rsid w:val="00D70B1B"/>
    <w:rsid w:val="00D70B92"/>
    <w:rsid w:val="00D70C27"/>
    <w:rsid w:val="00D70CEE"/>
    <w:rsid w:val="00D70D45"/>
    <w:rsid w:val="00D70DB5"/>
    <w:rsid w:val="00D70E39"/>
    <w:rsid w:val="00D7123A"/>
    <w:rsid w:val="00D71308"/>
    <w:rsid w:val="00D713FE"/>
    <w:rsid w:val="00D71486"/>
    <w:rsid w:val="00D717F6"/>
    <w:rsid w:val="00D71B7E"/>
    <w:rsid w:val="00D71D8E"/>
    <w:rsid w:val="00D71DB4"/>
    <w:rsid w:val="00D722C2"/>
    <w:rsid w:val="00D723DE"/>
    <w:rsid w:val="00D7276C"/>
    <w:rsid w:val="00D72C47"/>
    <w:rsid w:val="00D73133"/>
    <w:rsid w:val="00D731EE"/>
    <w:rsid w:val="00D732FE"/>
    <w:rsid w:val="00D7337A"/>
    <w:rsid w:val="00D7345B"/>
    <w:rsid w:val="00D73621"/>
    <w:rsid w:val="00D737B4"/>
    <w:rsid w:val="00D73A86"/>
    <w:rsid w:val="00D73C1C"/>
    <w:rsid w:val="00D73C84"/>
    <w:rsid w:val="00D73D41"/>
    <w:rsid w:val="00D73D57"/>
    <w:rsid w:val="00D73EB3"/>
    <w:rsid w:val="00D73F01"/>
    <w:rsid w:val="00D73FDC"/>
    <w:rsid w:val="00D7406B"/>
    <w:rsid w:val="00D740B7"/>
    <w:rsid w:val="00D74151"/>
    <w:rsid w:val="00D74204"/>
    <w:rsid w:val="00D7431D"/>
    <w:rsid w:val="00D74592"/>
    <w:rsid w:val="00D74631"/>
    <w:rsid w:val="00D74687"/>
    <w:rsid w:val="00D748E9"/>
    <w:rsid w:val="00D74A4A"/>
    <w:rsid w:val="00D74B00"/>
    <w:rsid w:val="00D74BD2"/>
    <w:rsid w:val="00D74D32"/>
    <w:rsid w:val="00D74D43"/>
    <w:rsid w:val="00D751F3"/>
    <w:rsid w:val="00D75572"/>
    <w:rsid w:val="00D756CF"/>
    <w:rsid w:val="00D7576F"/>
    <w:rsid w:val="00D75780"/>
    <w:rsid w:val="00D757F5"/>
    <w:rsid w:val="00D75D6F"/>
    <w:rsid w:val="00D75EA8"/>
    <w:rsid w:val="00D76168"/>
    <w:rsid w:val="00D761A5"/>
    <w:rsid w:val="00D7620D"/>
    <w:rsid w:val="00D76260"/>
    <w:rsid w:val="00D766AC"/>
    <w:rsid w:val="00D766C4"/>
    <w:rsid w:val="00D76B9B"/>
    <w:rsid w:val="00D76CCD"/>
    <w:rsid w:val="00D76D87"/>
    <w:rsid w:val="00D76EF4"/>
    <w:rsid w:val="00D76EFE"/>
    <w:rsid w:val="00D76FCC"/>
    <w:rsid w:val="00D7727D"/>
    <w:rsid w:val="00D773A7"/>
    <w:rsid w:val="00D77857"/>
    <w:rsid w:val="00D77896"/>
    <w:rsid w:val="00D7794C"/>
    <w:rsid w:val="00D77991"/>
    <w:rsid w:val="00D779A1"/>
    <w:rsid w:val="00D779A2"/>
    <w:rsid w:val="00D77A5D"/>
    <w:rsid w:val="00D77BF5"/>
    <w:rsid w:val="00D77CEC"/>
    <w:rsid w:val="00D77F7F"/>
    <w:rsid w:val="00D8001E"/>
    <w:rsid w:val="00D804A6"/>
    <w:rsid w:val="00D805C9"/>
    <w:rsid w:val="00D808AD"/>
    <w:rsid w:val="00D80AE7"/>
    <w:rsid w:val="00D80B6F"/>
    <w:rsid w:val="00D80C16"/>
    <w:rsid w:val="00D80C5C"/>
    <w:rsid w:val="00D80D3A"/>
    <w:rsid w:val="00D80D8A"/>
    <w:rsid w:val="00D80E25"/>
    <w:rsid w:val="00D80E8D"/>
    <w:rsid w:val="00D80FE6"/>
    <w:rsid w:val="00D81562"/>
    <w:rsid w:val="00D815F8"/>
    <w:rsid w:val="00D81644"/>
    <w:rsid w:val="00D819B4"/>
    <w:rsid w:val="00D81A80"/>
    <w:rsid w:val="00D81AE4"/>
    <w:rsid w:val="00D81B8C"/>
    <w:rsid w:val="00D81CE5"/>
    <w:rsid w:val="00D81DB0"/>
    <w:rsid w:val="00D82084"/>
    <w:rsid w:val="00D82238"/>
    <w:rsid w:val="00D8245E"/>
    <w:rsid w:val="00D82739"/>
    <w:rsid w:val="00D827F4"/>
    <w:rsid w:val="00D82860"/>
    <w:rsid w:val="00D828C0"/>
    <w:rsid w:val="00D82A07"/>
    <w:rsid w:val="00D82B29"/>
    <w:rsid w:val="00D82B37"/>
    <w:rsid w:val="00D82E72"/>
    <w:rsid w:val="00D82F10"/>
    <w:rsid w:val="00D82F6E"/>
    <w:rsid w:val="00D83395"/>
    <w:rsid w:val="00D83444"/>
    <w:rsid w:val="00D834F0"/>
    <w:rsid w:val="00D8354A"/>
    <w:rsid w:val="00D8368D"/>
    <w:rsid w:val="00D83786"/>
    <w:rsid w:val="00D839D1"/>
    <w:rsid w:val="00D83AB4"/>
    <w:rsid w:val="00D83B62"/>
    <w:rsid w:val="00D83B80"/>
    <w:rsid w:val="00D83BEC"/>
    <w:rsid w:val="00D83DFE"/>
    <w:rsid w:val="00D83FFB"/>
    <w:rsid w:val="00D8417C"/>
    <w:rsid w:val="00D84521"/>
    <w:rsid w:val="00D8453D"/>
    <w:rsid w:val="00D8492D"/>
    <w:rsid w:val="00D84A5B"/>
    <w:rsid w:val="00D84E8E"/>
    <w:rsid w:val="00D85816"/>
    <w:rsid w:val="00D85981"/>
    <w:rsid w:val="00D85ADB"/>
    <w:rsid w:val="00D85E93"/>
    <w:rsid w:val="00D85EC2"/>
    <w:rsid w:val="00D86094"/>
    <w:rsid w:val="00D8618F"/>
    <w:rsid w:val="00D86228"/>
    <w:rsid w:val="00D8623B"/>
    <w:rsid w:val="00D863E9"/>
    <w:rsid w:val="00D865B5"/>
    <w:rsid w:val="00D866BF"/>
    <w:rsid w:val="00D867BD"/>
    <w:rsid w:val="00D868F0"/>
    <w:rsid w:val="00D86BD6"/>
    <w:rsid w:val="00D86D2C"/>
    <w:rsid w:val="00D86D6D"/>
    <w:rsid w:val="00D86EAA"/>
    <w:rsid w:val="00D86F42"/>
    <w:rsid w:val="00D86FD0"/>
    <w:rsid w:val="00D87408"/>
    <w:rsid w:val="00D8764C"/>
    <w:rsid w:val="00D8779D"/>
    <w:rsid w:val="00D8798C"/>
    <w:rsid w:val="00D87A96"/>
    <w:rsid w:val="00D87FAD"/>
    <w:rsid w:val="00D903D9"/>
    <w:rsid w:val="00D9054A"/>
    <w:rsid w:val="00D90701"/>
    <w:rsid w:val="00D909BC"/>
    <w:rsid w:val="00D90A6D"/>
    <w:rsid w:val="00D9121C"/>
    <w:rsid w:val="00D91297"/>
    <w:rsid w:val="00D9136A"/>
    <w:rsid w:val="00D91536"/>
    <w:rsid w:val="00D91930"/>
    <w:rsid w:val="00D9193C"/>
    <w:rsid w:val="00D91981"/>
    <w:rsid w:val="00D91AFE"/>
    <w:rsid w:val="00D91E0D"/>
    <w:rsid w:val="00D91F43"/>
    <w:rsid w:val="00D920D4"/>
    <w:rsid w:val="00D920E9"/>
    <w:rsid w:val="00D92545"/>
    <w:rsid w:val="00D92581"/>
    <w:rsid w:val="00D925C8"/>
    <w:rsid w:val="00D92AC9"/>
    <w:rsid w:val="00D92E0D"/>
    <w:rsid w:val="00D92F09"/>
    <w:rsid w:val="00D93131"/>
    <w:rsid w:val="00D931F1"/>
    <w:rsid w:val="00D93276"/>
    <w:rsid w:val="00D9332D"/>
    <w:rsid w:val="00D9379C"/>
    <w:rsid w:val="00D93B63"/>
    <w:rsid w:val="00D93B95"/>
    <w:rsid w:val="00D93C82"/>
    <w:rsid w:val="00D93D1C"/>
    <w:rsid w:val="00D93DFA"/>
    <w:rsid w:val="00D93EEC"/>
    <w:rsid w:val="00D93F71"/>
    <w:rsid w:val="00D94009"/>
    <w:rsid w:val="00D947BE"/>
    <w:rsid w:val="00D94A01"/>
    <w:rsid w:val="00D94B6B"/>
    <w:rsid w:val="00D94C97"/>
    <w:rsid w:val="00D95017"/>
    <w:rsid w:val="00D951AB"/>
    <w:rsid w:val="00D95324"/>
    <w:rsid w:val="00D9537F"/>
    <w:rsid w:val="00D955A0"/>
    <w:rsid w:val="00D958EC"/>
    <w:rsid w:val="00D95973"/>
    <w:rsid w:val="00D95CC3"/>
    <w:rsid w:val="00D95E2F"/>
    <w:rsid w:val="00D95F12"/>
    <w:rsid w:val="00D960CA"/>
    <w:rsid w:val="00D961E4"/>
    <w:rsid w:val="00D966FD"/>
    <w:rsid w:val="00D96968"/>
    <w:rsid w:val="00D96A5C"/>
    <w:rsid w:val="00D96CE0"/>
    <w:rsid w:val="00D96F2A"/>
    <w:rsid w:val="00D970EC"/>
    <w:rsid w:val="00D97103"/>
    <w:rsid w:val="00D97106"/>
    <w:rsid w:val="00D97217"/>
    <w:rsid w:val="00D9731A"/>
    <w:rsid w:val="00D97321"/>
    <w:rsid w:val="00D974A2"/>
    <w:rsid w:val="00D9754B"/>
    <w:rsid w:val="00D976C8"/>
    <w:rsid w:val="00D9786C"/>
    <w:rsid w:val="00D97AB8"/>
    <w:rsid w:val="00D97BC3"/>
    <w:rsid w:val="00D97C1C"/>
    <w:rsid w:val="00D97D84"/>
    <w:rsid w:val="00D97F77"/>
    <w:rsid w:val="00DA01A1"/>
    <w:rsid w:val="00DA0334"/>
    <w:rsid w:val="00DA049E"/>
    <w:rsid w:val="00DA04AF"/>
    <w:rsid w:val="00DA0711"/>
    <w:rsid w:val="00DA07BB"/>
    <w:rsid w:val="00DA0967"/>
    <w:rsid w:val="00DA0994"/>
    <w:rsid w:val="00DA0B35"/>
    <w:rsid w:val="00DA11E6"/>
    <w:rsid w:val="00DA13FB"/>
    <w:rsid w:val="00DA15BC"/>
    <w:rsid w:val="00DA16C5"/>
    <w:rsid w:val="00DA1819"/>
    <w:rsid w:val="00DA18F4"/>
    <w:rsid w:val="00DA1DC8"/>
    <w:rsid w:val="00DA1F20"/>
    <w:rsid w:val="00DA2153"/>
    <w:rsid w:val="00DA2481"/>
    <w:rsid w:val="00DA2522"/>
    <w:rsid w:val="00DA25E9"/>
    <w:rsid w:val="00DA2666"/>
    <w:rsid w:val="00DA27DC"/>
    <w:rsid w:val="00DA2B5D"/>
    <w:rsid w:val="00DA2BE0"/>
    <w:rsid w:val="00DA2BE5"/>
    <w:rsid w:val="00DA2CAF"/>
    <w:rsid w:val="00DA2CBA"/>
    <w:rsid w:val="00DA312A"/>
    <w:rsid w:val="00DA31CD"/>
    <w:rsid w:val="00DA3649"/>
    <w:rsid w:val="00DA36DB"/>
    <w:rsid w:val="00DA3908"/>
    <w:rsid w:val="00DA3981"/>
    <w:rsid w:val="00DA39F8"/>
    <w:rsid w:val="00DA3A20"/>
    <w:rsid w:val="00DA3BCF"/>
    <w:rsid w:val="00DA3C4B"/>
    <w:rsid w:val="00DA3C7C"/>
    <w:rsid w:val="00DA3D50"/>
    <w:rsid w:val="00DA3F6A"/>
    <w:rsid w:val="00DA420A"/>
    <w:rsid w:val="00DA42D0"/>
    <w:rsid w:val="00DA43C5"/>
    <w:rsid w:val="00DA477C"/>
    <w:rsid w:val="00DA484F"/>
    <w:rsid w:val="00DA4906"/>
    <w:rsid w:val="00DA4A55"/>
    <w:rsid w:val="00DA4BC6"/>
    <w:rsid w:val="00DA4C0B"/>
    <w:rsid w:val="00DA4C8B"/>
    <w:rsid w:val="00DA4D54"/>
    <w:rsid w:val="00DA4E0A"/>
    <w:rsid w:val="00DA4E44"/>
    <w:rsid w:val="00DA500E"/>
    <w:rsid w:val="00DA51A6"/>
    <w:rsid w:val="00DA5219"/>
    <w:rsid w:val="00DA5475"/>
    <w:rsid w:val="00DA547C"/>
    <w:rsid w:val="00DA58EB"/>
    <w:rsid w:val="00DA5931"/>
    <w:rsid w:val="00DA5A50"/>
    <w:rsid w:val="00DA5AB0"/>
    <w:rsid w:val="00DA62BE"/>
    <w:rsid w:val="00DA65EE"/>
    <w:rsid w:val="00DA6680"/>
    <w:rsid w:val="00DA68B7"/>
    <w:rsid w:val="00DA68EC"/>
    <w:rsid w:val="00DA6B2F"/>
    <w:rsid w:val="00DA6B6E"/>
    <w:rsid w:val="00DA6DC8"/>
    <w:rsid w:val="00DA71A0"/>
    <w:rsid w:val="00DA737B"/>
    <w:rsid w:val="00DA74F9"/>
    <w:rsid w:val="00DA7920"/>
    <w:rsid w:val="00DA79B7"/>
    <w:rsid w:val="00DA7C16"/>
    <w:rsid w:val="00DA7C7A"/>
    <w:rsid w:val="00DA7DC9"/>
    <w:rsid w:val="00DA7E7E"/>
    <w:rsid w:val="00DA7FE5"/>
    <w:rsid w:val="00DB0671"/>
    <w:rsid w:val="00DB06A9"/>
    <w:rsid w:val="00DB0833"/>
    <w:rsid w:val="00DB0CFD"/>
    <w:rsid w:val="00DB15D7"/>
    <w:rsid w:val="00DB18BF"/>
    <w:rsid w:val="00DB1907"/>
    <w:rsid w:val="00DB1A3C"/>
    <w:rsid w:val="00DB1A3E"/>
    <w:rsid w:val="00DB1A4A"/>
    <w:rsid w:val="00DB1C7A"/>
    <w:rsid w:val="00DB1D67"/>
    <w:rsid w:val="00DB1EFA"/>
    <w:rsid w:val="00DB2175"/>
    <w:rsid w:val="00DB223C"/>
    <w:rsid w:val="00DB22E5"/>
    <w:rsid w:val="00DB26F9"/>
    <w:rsid w:val="00DB2AD5"/>
    <w:rsid w:val="00DB2DD3"/>
    <w:rsid w:val="00DB2DD8"/>
    <w:rsid w:val="00DB3110"/>
    <w:rsid w:val="00DB31E8"/>
    <w:rsid w:val="00DB38FF"/>
    <w:rsid w:val="00DB3A22"/>
    <w:rsid w:val="00DB3FCE"/>
    <w:rsid w:val="00DB3FE2"/>
    <w:rsid w:val="00DB42FB"/>
    <w:rsid w:val="00DB4684"/>
    <w:rsid w:val="00DB46D7"/>
    <w:rsid w:val="00DB491B"/>
    <w:rsid w:val="00DB49C0"/>
    <w:rsid w:val="00DB4B29"/>
    <w:rsid w:val="00DB4CF7"/>
    <w:rsid w:val="00DB4D62"/>
    <w:rsid w:val="00DB4FCB"/>
    <w:rsid w:val="00DB4FD4"/>
    <w:rsid w:val="00DB5097"/>
    <w:rsid w:val="00DB5098"/>
    <w:rsid w:val="00DB5661"/>
    <w:rsid w:val="00DB59B7"/>
    <w:rsid w:val="00DB5BF2"/>
    <w:rsid w:val="00DB5C4F"/>
    <w:rsid w:val="00DB5DF4"/>
    <w:rsid w:val="00DB5E41"/>
    <w:rsid w:val="00DB5F58"/>
    <w:rsid w:val="00DB5FF3"/>
    <w:rsid w:val="00DB601E"/>
    <w:rsid w:val="00DB62B8"/>
    <w:rsid w:val="00DB649E"/>
    <w:rsid w:val="00DB668C"/>
    <w:rsid w:val="00DB6971"/>
    <w:rsid w:val="00DB6ABF"/>
    <w:rsid w:val="00DB6B48"/>
    <w:rsid w:val="00DB6B92"/>
    <w:rsid w:val="00DB6D08"/>
    <w:rsid w:val="00DB6DB5"/>
    <w:rsid w:val="00DB6DF1"/>
    <w:rsid w:val="00DB6E95"/>
    <w:rsid w:val="00DB728C"/>
    <w:rsid w:val="00DB7614"/>
    <w:rsid w:val="00DB781E"/>
    <w:rsid w:val="00DB7876"/>
    <w:rsid w:val="00DB79F4"/>
    <w:rsid w:val="00DB7A90"/>
    <w:rsid w:val="00DB7C2A"/>
    <w:rsid w:val="00DB7ECE"/>
    <w:rsid w:val="00DB7ED6"/>
    <w:rsid w:val="00DC000A"/>
    <w:rsid w:val="00DC03F6"/>
    <w:rsid w:val="00DC04BE"/>
    <w:rsid w:val="00DC0582"/>
    <w:rsid w:val="00DC062F"/>
    <w:rsid w:val="00DC068D"/>
    <w:rsid w:val="00DC06AE"/>
    <w:rsid w:val="00DC077D"/>
    <w:rsid w:val="00DC08DD"/>
    <w:rsid w:val="00DC0D91"/>
    <w:rsid w:val="00DC0E63"/>
    <w:rsid w:val="00DC1015"/>
    <w:rsid w:val="00DC1233"/>
    <w:rsid w:val="00DC138D"/>
    <w:rsid w:val="00DC141C"/>
    <w:rsid w:val="00DC145E"/>
    <w:rsid w:val="00DC162D"/>
    <w:rsid w:val="00DC1BBF"/>
    <w:rsid w:val="00DC1D53"/>
    <w:rsid w:val="00DC1D58"/>
    <w:rsid w:val="00DC2024"/>
    <w:rsid w:val="00DC2045"/>
    <w:rsid w:val="00DC20D6"/>
    <w:rsid w:val="00DC21B7"/>
    <w:rsid w:val="00DC2483"/>
    <w:rsid w:val="00DC24AB"/>
    <w:rsid w:val="00DC2565"/>
    <w:rsid w:val="00DC28F1"/>
    <w:rsid w:val="00DC297B"/>
    <w:rsid w:val="00DC29E1"/>
    <w:rsid w:val="00DC2A73"/>
    <w:rsid w:val="00DC2AB3"/>
    <w:rsid w:val="00DC3829"/>
    <w:rsid w:val="00DC383F"/>
    <w:rsid w:val="00DC3905"/>
    <w:rsid w:val="00DC394D"/>
    <w:rsid w:val="00DC3A0C"/>
    <w:rsid w:val="00DC3AF5"/>
    <w:rsid w:val="00DC3E04"/>
    <w:rsid w:val="00DC3E8C"/>
    <w:rsid w:val="00DC42C2"/>
    <w:rsid w:val="00DC44B5"/>
    <w:rsid w:val="00DC44BA"/>
    <w:rsid w:val="00DC4653"/>
    <w:rsid w:val="00DC4B27"/>
    <w:rsid w:val="00DC4D87"/>
    <w:rsid w:val="00DC511A"/>
    <w:rsid w:val="00DC5542"/>
    <w:rsid w:val="00DC570F"/>
    <w:rsid w:val="00DC576A"/>
    <w:rsid w:val="00DC58C1"/>
    <w:rsid w:val="00DC5C3A"/>
    <w:rsid w:val="00DC5D13"/>
    <w:rsid w:val="00DC67D2"/>
    <w:rsid w:val="00DC68B5"/>
    <w:rsid w:val="00DC69D3"/>
    <w:rsid w:val="00DC6ADC"/>
    <w:rsid w:val="00DC6BBC"/>
    <w:rsid w:val="00DC6C9F"/>
    <w:rsid w:val="00DC6CDE"/>
    <w:rsid w:val="00DC6D1F"/>
    <w:rsid w:val="00DC6D64"/>
    <w:rsid w:val="00DC6DFD"/>
    <w:rsid w:val="00DC70A9"/>
    <w:rsid w:val="00DC7247"/>
    <w:rsid w:val="00DC73AE"/>
    <w:rsid w:val="00DC741F"/>
    <w:rsid w:val="00DC7490"/>
    <w:rsid w:val="00DC76EE"/>
    <w:rsid w:val="00DC7740"/>
    <w:rsid w:val="00DC7A03"/>
    <w:rsid w:val="00DC7A19"/>
    <w:rsid w:val="00DC7AF2"/>
    <w:rsid w:val="00DC7C31"/>
    <w:rsid w:val="00DC7D67"/>
    <w:rsid w:val="00DD00EC"/>
    <w:rsid w:val="00DD03EA"/>
    <w:rsid w:val="00DD0473"/>
    <w:rsid w:val="00DD0665"/>
    <w:rsid w:val="00DD06C9"/>
    <w:rsid w:val="00DD0BAE"/>
    <w:rsid w:val="00DD0C62"/>
    <w:rsid w:val="00DD0D34"/>
    <w:rsid w:val="00DD0FBE"/>
    <w:rsid w:val="00DD11F3"/>
    <w:rsid w:val="00DD11F7"/>
    <w:rsid w:val="00DD13BE"/>
    <w:rsid w:val="00DD1746"/>
    <w:rsid w:val="00DD1CE5"/>
    <w:rsid w:val="00DD1DBB"/>
    <w:rsid w:val="00DD2071"/>
    <w:rsid w:val="00DD2106"/>
    <w:rsid w:val="00DD2138"/>
    <w:rsid w:val="00DD2296"/>
    <w:rsid w:val="00DD2480"/>
    <w:rsid w:val="00DD24D4"/>
    <w:rsid w:val="00DD25BC"/>
    <w:rsid w:val="00DD2639"/>
    <w:rsid w:val="00DD2978"/>
    <w:rsid w:val="00DD29F7"/>
    <w:rsid w:val="00DD2D01"/>
    <w:rsid w:val="00DD2F89"/>
    <w:rsid w:val="00DD2FF5"/>
    <w:rsid w:val="00DD30A7"/>
    <w:rsid w:val="00DD34A6"/>
    <w:rsid w:val="00DD3570"/>
    <w:rsid w:val="00DD3D13"/>
    <w:rsid w:val="00DD3D7D"/>
    <w:rsid w:val="00DD3D82"/>
    <w:rsid w:val="00DD3F2A"/>
    <w:rsid w:val="00DD3FBF"/>
    <w:rsid w:val="00DD40C9"/>
    <w:rsid w:val="00DD413D"/>
    <w:rsid w:val="00DD418B"/>
    <w:rsid w:val="00DD4193"/>
    <w:rsid w:val="00DD4417"/>
    <w:rsid w:val="00DD4491"/>
    <w:rsid w:val="00DD47C2"/>
    <w:rsid w:val="00DD4855"/>
    <w:rsid w:val="00DD4CA8"/>
    <w:rsid w:val="00DD4E7F"/>
    <w:rsid w:val="00DD4FF9"/>
    <w:rsid w:val="00DD5016"/>
    <w:rsid w:val="00DD5543"/>
    <w:rsid w:val="00DD57F0"/>
    <w:rsid w:val="00DD5898"/>
    <w:rsid w:val="00DD5AD0"/>
    <w:rsid w:val="00DD5B8A"/>
    <w:rsid w:val="00DD6052"/>
    <w:rsid w:val="00DD6064"/>
    <w:rsid w:val="00DD642B"/>
    <w:rsid w:val="00DD6618"/>
    <w:rsid w:val="00DD6706"/>
    <w:rsid w:val="00DD6737"/>
    <w:rsid w:val="00DD6B15"/>
    <w:rsid w:val="00DD6D5C"/>
    <w:rsid w:val="00DD6EE3"/>
    <w:rsid w:val="00DD7193"/>
    <w:rsid w:val="00DD7227"/>
    <w:rsid w:val="00DD76D4"/>
    <w:rsid w:val="00DD76F8"/>
    <w:rsid w:val="00DD7717"/>
    <w:rsid w:val="00DD7970"/>
    <w:rsid w:val="00DD79C7"/>
    <w:rsid w:val="00DD7A46"/>
    <w:rsid w:val="00DD7A56"/>
    <w:rsid w:val="00DD7B65"/>
    <w:rsid w:val="00DD7CBA"/>
    <w:rsid w:val="00DD7D0A"/>
    <w:rsid w:val="00DE0088"/>
    <w:rsid w:val="00DE00B4"/>
    <w:rsid w:val="00DE0345"/>
    <w:rsid w:val="00DE05CB"/>
    <w:rsid w:val="00DE05FD"/>
    <w:rsid w:val="00DE08B3"/>
    <w:rsid w:val="00DE08B7"/>
    <w:rsid w:val="00DE09C5"/>
    <w:rsid w:val="00DE0CA6"/>
    <w:rsid w:val="00DE0F43"/>
    <w:rsid w:val="00DE1203"/>
    <w:rsid w:val="00DE129A"/>
    <w:rsid w:val="00DE1340"/>
    <w:rsid w:val="00DE136D"/>
    <w:rsid w:val="00DE1892"/>
    <w:rsid w:val="00DE1B30"/>
    <w:rsid w:val="00DE1BB3"/>
    <w:rsid w:val="00DE1DA6"/>
    <w:rsid w:val="00DE1DF7"/>
    <w:rsid w:val="00DE1ECA"/>
    <w:rsid w:val="00DE1F0E"/>
    <w:rsid w:val="00DE1F22"/>
    <w:rsid w:val="00DE1FFA"/>
    <w:rsid w:val="00DE2043"/>
    <w:rsid w:val="00DE22BD"/>
    <w:rsid w:val="00DE23FD"/>
    <w:rsid w:val="00DE2400"/>
    <w:rsid w:val="00DE2559"/>
    <w:rsid w:val="00DE25EE"/>
    <w:rsid w:val="00DE2B08"/>
    <w:rsid w:val="00DE2D20"/>
    <w:rsid w:val="00DE2D51"/>
    <w:rsid w:val="00DE2D57"/>
    <w:rsid w:val="00DE3204"/>
    <w:rsid w:val="00DE325E"/>
    <w:rsid w:val="00DE32EA"/>
    <w:rsid w:val="00DE339B"/>
    <w:rsid w:val="00DE35D7"/>
    <w:rsid w:val="00DE372F"/>
    <w:rsid w:val="00DE38B0"/>
    <w:rsid w:val="00DE3951"/>
    <w:rsid w:val="00DE39CA"/>
    <w:rsid w:val="00DE3A48"/>
    <w:rsid w:val="00DE3A70"/>
    <w:rsid w:val="00DE3C2E"/>
    <w:rsid w:val="00DE3C3A"/>
    <w:rsid w:val="00DE3EF1"/>
    <w:rsid w:val="00DE3F09"/>
    <w:rsid w:val="00DE4066"/>
    <w:rsid w:val="00DE433E"/>
    <w:rsid w:val="00DE4449"/>
    <w:rsid w:val="00DE46DA"/>
    <w:rsid w:val="00DE4B33"/>
    <w:rsid w:val="00DE4C0A"/>
    <w:rsid w:val="00DE4C0C"/>
    <w:rsid w:val="00DE4DA6"/>
    <w:rsid w:val="00DE4E4F"/>
    <w:rsid w:val="00DE4F3A"/>
    <w:rsid w:val="00DE4FC5"/>
    <w:rsid w:val="00DE5016"/>
    <w:rsid w:val="00DE5066"/>
    <w:rsid w:val="00DE5315"/>
    <w:rsid w:val="00DE5356"/>
    <w:rsid w:val="00DE5418"/>
    <w:rsid w:val="00DE5502"/>
    <w:rsid w:val="00DE57AA"/>
    <w:rsid w:val="00DE5875"/>
    <w:rsid w:val="00DE5C83"/>
    <w:rsid w:val="00DE5FD2"/>
    <w:rsid w:val="00DE6403"/>
    <w:rsid w:val="00DE6878"/>
    <w:rsid w:val="00DE688A"/>
    <w:rsid w:val="00DE69FB"/>
    <w:rsid w:val="00DE6A1B"/>
    <w:rsid w:val="00DE6C5A"/>
    <w:rsid w:val="00DE6CB3"/>
    <w:rsid w:val="00DE6DBA"/>
    <w:rsid w:val="00DE6F8A"/>
    <w:rsid w:val="00DE723F"/>
    <w:rsid w:val="00DE7317"/>
    <w:rsid w:val="00DE74A7"/>
    <w:rsid w:val="00DE7B90"/>
    <w:rsid w:val="00DE7BDA"/>
    <w:rsid w:val="00DE7C8F"/>
    <w:rsid w:val="00DE7D2B"/>
    <w:rsid w:val="00DE7F03"/>
    <w:rsid w:val="00DF00AF"/>
    <w:rsid w:val="00DF01CA"/>
    <w:rsid w:val="00DF029D"/>
    <w:rsid w:val="00DF035B"/>
    <w:rsid w:val="00DF052A"/>
    <w:rsid w:val="00DF0597"/>
    <w:rsid w:val="00DF0753"/>
    <w:rsid w:val="00DF0757"/>
    <w:rsid w:val="00DF077A"/>
    <w:rsid w:val="00DF0944"/>
    <w:rsid w:val="00DF0977"/>
    <w:rsid w:val="00DF09FB"/>
    <w:rsid w:val="00DF0AD9"/>
    <w:rsid w:val="00DF0B6A"/>
    <w:rsid w:val="00DF0C64"/>
    <w:rsid w:val="00DF0F2B"/>
    <w:rsid w:val="00DF10F1"/>
    <w:rsid w:val="00DF1294"/>
    <w:rsid w:val="00DF159B"/>
    <w:rsid w:val="00DF177A"/>
    <w:rsid w:val="00DF18AD"/>
    <w:rsid w:val="00DF1AA6"/>
    <w:rsid w:val="00DF1B46"/>
    <w:rsid w:val="00DF1DB3"/>
    <w:rsid w:val="00DF1DF3"/>
    <w:rsid w:val="00DF2207"/>
    <w:rsid w:val="00DF22E1"/>
    <w:rsid w:val="00DF26DD"/>
    <w:rsid w:val="00DF278E"/>
    <w:rsid w:val="00DF2AA6"/>
    <w:rsid w:val="00DF2D5D"/>
    <w:rsid w:val="00DF2DD8"/>
    <w:rsid w:val="00DF2FB2"/>
    <w:rsid w:val="00DF3143"/>
    <w:rsid w:val="00DF3247"/>
    <w:rsid w:val="00DF3288"/>
    <w:rsid w:val="00DF37CE"/>
    <w:rsid w:val="00DF3A39"/>
    <w:rsid w:val="00DF3CAE"/>
    <w:rsid w:val="00DF40DF"/>
    <w:rsid w:val="00DF429C"/>
    <w:rsid w:val="00DF4372"/>
    <w:rsid w:val="00DF467D"/>
    <w:rsid w:val="00DF4D9F"/>
    <w:rsid w:val="00DF4E51"/>
    <w:rsid w:val="00DF4F0B"/>
    <w:rsid w:val="00DF4FB0"/>
    <w:rsid w:val="00DF503B"/>
    <w:rsid w:val="00DF510A"/>
    <w:rsid w:val="00DF51BD"/>
    <w:rsid w:val="00DF5328"/>
    <w:rsid w:val="00DF53D6"/>
    <w:rsid w:val="00DF5493"/>
    <w:rsid w:val="00DF561A"/>
    <w:rsid w:val="00DF5653"/>
    <w:rsid w:val="00DF592E"/>
    <w:rsid w:val="00DF59F3"/>
    <w:rsid w:val="00DF5D54"/>
    <w:rsid w:val="00DF61AE"/>
    <w:rsid w:val="00DF61F4"/>
    <w:rsid w:val="00DF6399"/>
    <w:rsid w:val="00DF6513"/>
    <w:rsid w:val="00DF6717"/>
    <w:rsid w:val="00DF677C"/>
    <w:rsid w:val="00DF6A2E"/>
    <w:rsid w:val="00DF6B1C"/>
    <w:rsid w:val="00DF6C23"/>
    <w:rsid w:val="00DF6EDD"/>
    <w:rsid w:val="00DF6FAC"/>
    <w:rsid w:val="00DF7274"/>
    <w:rsid w:val="00DF7352"/>
    <w:rsid w:val="00DF7356"/>
    <w:rsid w:val="00DF73F5"/>
    <w:rsid w:val="00DF7498"/>
    <w:rsid w:val="00DF760D"/>
    <w:rsid w:val="00DF7979"/>
    <w:rsid w:val="00DF7ACA"/>
    <w:rsid w:val="00DF7B51"/>
    <w:rsid w:val="00DF7C4E"/>
    <w:rsid w:val="00DF7E1C"/>
    <w:rsid w:val="00DF7E31"/>
    <w:rsid w:val="00E00152"/>
    <w:rsid w:val="00E001A9"/>
    <w:rsid w:val="00E00226"/>
    <w:rsid w:val="00E00304"/>
    <w:rsid w:val="00E009D0"/>
    <w:rsid w:val="00E00A82"/>
    <w:rsid w:val="00E00FFF"/>
    <w:rsid w:val="00E011AF"/>
    <w:rsid w:val="00E013E5"/>
    <w:rsid w:val="00E014F1"/>
    <w:rsid w:val="00E018BB"/>
    <w:rsid w:val="00E01BDB"/>
    <w:rsid w:val="00E01EE0"/>
    <w:rsid w:val="00E02357"/>
    <w:rsid w:val="00E023B0"/>
    <w:rsid w:val="00E02A28"/>
    <w:rsid w:val="00E02ABC"/>
    <w:rsid w:val="00E02B0B"/>
    <w:rsid w:val="00E02B9A"/>
    <w:rsid w:val="00E0336D"/>
    <w:rsid w:val="00E033C8"/>
    <w:rsid w:val="00E035C9"/>
    <w:rsid w:val="00E03D6D"/>
    <w:rsid w:val="00E03D93"/>
    <w:rsid w:val="00E03EB0"/>
    <w:rsid w:val="00E0424D"/>
    <w:rsid w:val="00E04455"/>
    <w:rsid w:val="00E04502"/>
    <w:rsid w:val="00E045CE"/>
    <w:rsid w:val="00E04A9D"/>
    <w:rsid w:val="00E04D10"/>
    <w:rsid w:val="00E04D6F"/>
    <w:rsid w:val="00E04DE8"/>
    <w:rsid w:val="00E04E03"/>
    <w:rsid w:val="00E05154"/>
    <w:rsid w:val="00E05164"/>
    <w:rsid w:val="00E05503"/>
    <w:rsid w:val="00E0557D"/>
    <w:rsid w:val="00E05643"/>
    <w:rsid w:val="00E05644"/>
    <w:rsid w:val="00E057A9"/>
    <w:rsid w:val="00E05912"/>
    <w:rsid w:val="00E059E0"/>
    <w:rsid w:val="00E05C16"/>
    <w:rsid w:val="00E05D2C"/>
    <w:rsid w:val="00E05E83"/>
    <w:rsid w:val="00E063AF"/>
    <w:rsid w:val="00E06991"/>
    <w:rsid w:val="00E069AD"/>
    <w:rsid w:val="00E06A63"/>
    <w:rsid w:val="00E06BA1"/>
    <w:rsid w:val="00E06E1F"/>
    <w:rsid w:val="00E06EEE"/>
    <w:rsid w:val="00E074D6"/>
    <w:rsid w:val="00E0755B"/>
    <w:rsid w:val="00E0783C"/>
    <w:rsid w:val="00E07917"/>
    <w:rsid w:val="00E0796E"/>
    <w:rsid w:val="00E07A9E"/>
    <w:rsid w:val="00E07D0F"/>
    <w:rsid w:val="00E07D17"/>
    <w:rsid w:val="00E07D51"/>
    <w:rsid w:val="00E07EE4"/>
    <w:rsid w:val="00E07FEA"/>
    <w:rsid w:val="00E100C7"/>
    <w:rsid w:val="00E101F6"/>
    <w:rsid w:val="00E102B8"/>
    <w:rsid w:val="00E10371"/>
    <w:rsid w:val="00E1054C"/>
    <w:rsid w:val="00E1078B"/>
    <w:rsid w:val="00E10B7E"/>
    <w:rsid w:val="00E10E5E"/>
    <w:rsid w:val="00E110CC"/>
    <w:rsid w:val="00E115D0"/>
    <w:rsid w:val="00E117B4"/>
    <w:rsid w:val="00E118F7"/>
    <w:rsid w:val="00E11A0D"/>
    <w:rsid w:val="00E11A15"/>
    <w:rsid w:val="00E11E05"/>
    <w:rsid w:val="00E11F09"/>
    <w:rsid w:val="00E12200"/>
    <w:rsid w:val="00E122A6"/>
    <w:rsid w:val="00E122BD"/>
    <w:rsid w:val="00E122F4"/>
    <w:rsid w:val="00E12405"/>
    <w:rsid w:val="00E1251A"/>
    <w:rsid w:val="00E1260A"/>
    <w:rsid w:val="00E1289B"/>
    <w:rsid w:val="00E12C04"/>
    <w:rsid w:val="00E12C2A"/>
    <w:rsid w:val="00E12DA1"/>
    <w:rsid w:val="00E12DC2"/>
    <w:rsid w:val="00E12E2B"/>
    <w:rsid w:val="00E12E52"/>
    <w:rsid w:val="00E12F5E"/>
    <w:rsid w:val="00E12FCB"/>
    <w:rsid w:val="00E1304B"/>
    <w:rsid w:val="00E1311C"/>
    <w:rsid w:val="00E133DF"/>
    <w:rsid w:val="00E135B2"/>
    <w:rsid w:val="00E135EC"/>
    <w:rsid w:val="00E13888"/>
    <w:rsid w:val="00E13CEB"/>
    <w:rsid w:val="00E13DB1"/>
    <w:rsid w:val="00E13EA7"/>
    <w:rsid w:val="00E13EE4"/>
    <w:rsid w:val="00E14101"/>
    <w:rsid w:val="00E14390"/>
    <w:rsid w:val="00E1439A"/>
    <w:rsid w:val="00E1452D"/>
    <w:rsid w:val="00E14637"/>
    <w:rsid w:val="00E14916"/>
    <w:rsid w:val="00E14958"/>
    <w:rsid w:val="00E14C5A"/>
    <w:rsid w:val="00E14E9A"/>
    <w:rsid w:val="00E1502E"/>
    <w:rsid w:val="00E1503C"/>
    <w:rsid w:val="00E1521E"/>
    <w:rsid w:val="00E153DB"/>
    <w:rsid w:val="00E15493"/>
    <w:rsid w:val="00E154B4"/>
    <w:rsid w:val="00E154FF"/>
    <w:rsid w:val="00E15595"/>
    <w:rsid w:val="00E1566E"/>
    <w:rsid w:val="00E15790"/>
    <w:rsid w:val="00E15792"/>
    <w:rsid w:val="00E159D0"/>
    <w:rsid w:val="00E15A7B"/>
    <w:rsid w:val="00E15C29"/>
    <w:rsid w:val="00E15F1D"/>
    <w:rsid w:val="00E160E0"/>
    <w:rsid w:val="00E16185"/>
    <w:rsid w:val="00E16320"/>
    <w:rsid w:val="00E163AC"/>
    <w:rsid w:val="00E163C7"/>
    <w:rsid w:val="00E1668D"/>
    <w:rsid w:val="00E1678A"/>
    <w:rsid w:val="00E1679C"/>
    <w:rsid w:val="00E16C60"/>
    <w:rsid w:val="00E16CF8"/>
    <w:rsid w:val="00E17230"/>
    <w:rsid w:val="00E173F7"/>
    <w:rsid w:val="00E1778B"/>
    <w:rsid w:val="00E17893"/>
    <w:rsid w:val="00E17CFA"/>
    <w:rsid w:val="00E17E7E"/>
    <w:rsid w:val="00E200B4"/>
    <w:rsid w:val="00E2014B"/>
    <w:rsid w:val="00E20150"/>
    <w:rsid w:val="00E202DE"/>
    <w:rsid w:val="00E2039C"/>
    <w:rsid w:val="00E203BE"/>
    <w:rsid w:val="00E204C1"/>
    <w:rsid w:val="00E204C5"/>
    <w:rsid w:val="00E20597"/>
    <w:rsid w:val="00E205F9"/>
    <w:rsid w:val="00E20ABD"/>
    <w:rsid w:val="00E20C4F"/>
    <w:rsid w:val="00E20D42"/>
    <w:rsid w:val="00E216E6"/>
    <w:rsid w:val="00E21B57"/>
    <w:rsid w:val="00E21C38"/>
    <w:rsid w:val="00E21E9A"/>
    <w:rsid w:val="00E21ED0"/>
    <w:rsid w:val="00E2222C"/>
    <w:rsid w:val="00E2289B"/>
    <w:rsid w:val="00E228EF"/>
    <w:rsid w:val="00E22909"/>
    <w:rsid w:val="00E2296D"/>
    <w:rsid w:val="00E22ACB"/>
    <w:rsid w:val="00E22BAD"/>
    <w:rsid w:val="00E22C2F"/>
    <w:rsid w:val="00E232E4"/>
    <w:rsid w:val="00E2346C"/>
    <w:rsid w:val="00E234DF"/>
    <w:rsid w:val="00E235AD"/>
    <w:rsid w:val="00E236E9"/>
    <w:rsid w:val="00E23791"/>
    <w:rsid w:val="00E23846"/>
    <w:rsid w:val="00E23A70"/>
    <w:rsid w:val="00E23BCE"/>
    <w:rsid w:val="00E23CCE"/>
    <w:rsid w:val="00E23DBF"/>
    <w:rsid w:val="00E23F77"/>
    <w:rsid w:val="00E243D6"/>
    <w:rsid w:val="00E24468"/>
    <w:rsid w:val="00E24526"/>
    <w:rsid w:val="00E24554"/>
    <w:rsid w:val="00E24727"/>
    <w:rsid w:val="00E24788"/>
    <w:rsid w:val="00E247A3"/>
    <w:rsid w:val="00E247B1"/>
    <w:rsid w:val="00E247B3"/>
    <w:rsid w:val="00E24A52"/>
    <w:rsid w:val="00E24D5B"/>
    <w:rsid w:val="00E24DE0"/>
    <w:rsid w:val="00E24F03"/>
    <w:rsid w:val="00E24FF9"/>
    <w:rsid w:val="00E2521D"/>
    <w:rsid w:val="00E25357"/>
    <w:rsid w:val="00E25463"/>
    <w:rsid w:val="00E25495"/>
    <w:rsid w:val="00E2557B"/>
    <w:rsid w:val="00E257FE"/>
    <w:rsid w:val="00E25814"/>
    <w:rsid w:val="00E25880"/>
    <w:rsid w:val="00E25A44"/>
    <w:rsid w:val="00E25C7D"/>
    <w:rsid w:val="00E25CCA"/>
    <w:rsid w:val="00E25D19"/>
    <w:rsid w:val="00E25D33"/>
    <w:rsid w:val="00E25D4A"/>
    <w:rsid w:val="00E260F8"/>
    <w:rsid w:val="00E264F5"/>
    <w:rsid w:val="00E265D1"/>
    <w:rsid w:val="00E26699"/>
    <w:rsid w:val="00E268F5"/>
    <w:rsid w:val="00E2691F"/>
    <w:rsid w:val="00E2693C"/>
    <w:rsid w:val="00E26BCD"/>
    <w:rsid w:val="00E27245"/>
    <w:rsid w:val="00E27312"/>
    <w:rsid w:val="00E27516"/>
    <w:rsid w:val="00E2755E"/>
    <w:rsid w:val="00E2758C"/>
    <w:rsid w:val="00E27AF8"/>
    <w:rsid w:val="00E27B0E"/>
    <w:rsid w:val="00E27B52"/>
    <w:rsid w:val="00E27D3F"/>
    <w:rsid w:val="00E27FAB"/>
    <w:rsid w:val="00E3004B"/>
    <w:rsid w:val="00E3007F"/>
    <w:rsid w:val="00E30289"/>
    <w:rsid w:val="00E30552"/>
    <w:rsid w:val="00E3078E"/>
    <w:rsid w:val="00E30876"/>
    <w:rsid w:val="00E30A7B"/>
    <w:rsid w:val="00E30B60"/>
    <w:rsid w:val="00E30D2F"/>
    <w:rsid w:val="00E30E09"/>
    <w:rsid w:val="00E30ECD"/>
    <w:rsid w:val="00E311FA"/>
    <w:rsid w:val="00E312C6"/>
    <w:rsid w:val="00E312FA"/>
    <w:rsid w:val="00E3149E"/>
    <w:rsid w:val="00E3179E"/>
    <w:rsid w:val="00E318B6"/>
    <w:rsid w:val="00E31A1A"/>
    <w:rsid w:val="00E31B14"/>
    <w:rsid w:val="00E31BBC"/>
    <w:rsid w:val="00E31DC5"/>
    <w:rsid w:val="00E31DCC"/>
    <w:rsid w:val="00E32006"/>
    <w:rsid w:val="00E3221A"/>
    <w:rsid w:val="00E323E0"/>
    <w:rsid w:val="00E324C0"/>
    <w:rsid w:val="00E3269C"/>
    <w:rsid w:val="00E3289A"/>
    <w:rsid w:val="00E32B7F"/>
    <w:rsid w:val="00E32C5B"/>
    <w:rsid w:val="00E32F02"/>
    <w:rsid w:val="00E32F2F"/>
    <w:rsid w:val="00E3304E"/>
    <w:rsid w:val="00E33939"/>
    <w:rsid w:val="00E33C40"/>
    <w:rsid w:val="00E33E42"/>
    <w:rsid w:val="00E3444F"/>
    <w:rsid w:val="00E34807"/>
    <w:rsid w:val="00E3482C"/>
    <w:rsid w:val="00E34904"/>
    <w:rsid w:val="00E34985"/>
    <w:rsid w:val="00E34A52"/>
    <w:rsid w:val="00E34D68"/>
    <w:rsid w:val="00E34D94"/>
    <w:rsid w:val="00E34FF3"/>
    <w:rsid w:val="00E350B5"/>
    <w:rsid w:val="00E35258"/>
    <w:rsid w:val="00E352BA"/>
    <w:rsid w:val="00E355DF"/>
    <w:rsid w:val="00E355E0"/>
    <w:rsid w:val="00E355F4"/>
    <w:rsid w:val="00E3562B"/>
    <w:rsid w:val="00E35802"/>
    <w:rsid w:val="00E3592F"/>
    <w:rsid w:val="00E35B5C"/>
    <w:rsid w:val="00E35C48"/>
    <w:rsid w:val="00E35C8B"/>
    <w:rsid w:val="00E36426"/>
    <w:rsid w:val="00E3643F"/>
    <w:rsid w:val="00E3670F"/>
    <w:rsid w:val="00E3677E"/>
    <w:rsid w:val="00E3702F"/>
    <w:rsid w:val="00E37592"/>
    <w:rsid w:val="00E37607"/>
    <w:rsid w:val="00E3771B"/>
    <w:rsid w:val="00E377C5"/>
    <w:rsid w:val="00E377D0"/>
    <w:rsid w:val="00E37807"/>
    <w:rsid w:val="00E3782C"/>
    <w:rsid w:val="00E37941"/>
    <w:rsid w:val="00E37948"/>
    <w:rsid w:val="00E37E16"/>
    <w:rsid w:val="00E400A7"/>
    <w:rsid w:val="00E402F9"/>
    <w:rsid w:val="00E403D2"/>
    <w:rsid w:val="00E4047A"/>
    <w:rsid w:val="00E40497"/>
    <w:rsid w:val="00E405C3"/>
    <w:rsid w:val="00E40972"/>
    <w:rsid w:val="00E4098E"/>
    <w:rsid w:val="00E40996"/>
    <w:rsid w:val="00E40B4C"/>
    <w:rsid w:val="00E40EA4"/>
    <w:rsid w:val="00E412F1"/>
    <w:rsid w:val="00E41728"/>
    <w:rsid w:val="00E4177C"/>
    <w:rsid w:val="00E41924"/>
    <w:rsid w:val="00E41F33"/>
    <w:rsid w:val="00E42012"/>
    <w:rsid w:val="00E4209C"/>
    <w:rsid w:val="00E4220C"/>
    <w:rsid w:val="00E422DB"/>
    <w:rsid w:val="00E42407"/>
    <w:rsid w:val="00E4247B"/>
    <w:rsid w:val="00E42521"/>
    <w:rsid w:val="00E429F2"/>
    <w:rsid w:val="00E42AE7"/>
    <w:rsid w:val="00E43077"/>
    <w:rsid w:val="00E433A8"/>
    <w:rsid w:val="00E43640"/>
    <w:rsid w:val="00E43662"/>
    <w:rsid w:val="00E437A8"/>
    <w:rsid w:val="00E4387F"/>
    <w:rsid w:val="00E438E4"/>
    <w:rsid w:val="00E439E7"/>
    <w:rsid w:val="00E43A29"/>
    <w:rsid w:val="00E43B43"/>
    <w:rsid w:val="00E43CCE"/>
    <w:rsid w:val="00E43F81"/>
    <w:rsid w:val="00E43FB4"/>
    <w:rsid w:val="00E44068"/>
    <w:rsid w:val="00E440A7"/>
    <w:rsid w:val="00E446EA"/>
    <w:rsid w:val="00E447BC"/>
    <w:rsid w:val="00E447E0"/>
    <w:rsid w:val="00E44950"/>
    <w:rsid w:val="00E44B6A"/>
    <w:rsid w:val="00E453AA"/>
    <w:rsid w:val="00E455B5"/>
    <w:rsid w:val="00E455CD"/>
    <w:rsid w:val="00E4573B"/>
    <w:rsid w:val="00E45BD8"/>
    <w:rsid w:val="00E45CBF"/>
    <w:rsid w:val="00E45F45"/>
    <w:rsid w:val="00E462A4"/>
    <w:rsid w:val="00E464E7"/>
    <w:rsid w:val="00E465AD"/>
    <w:rsid w:val="00E465BD"/>
    <w:rsid w:val="00E46729"/>
    <w:rsid w:val="00E46969"/>
    <w:rsid w:val="00E469C2"/>
    <w:rsid w:val="00E46C0E"/>
    <w:rsid w:val="00E46D26"/>
    <w:rsid w:val="00E47049"/>
    <w:rsid w:val="00E47375"/>
    <w:rsid w:val="00E473C1"/>
    <w:rsid w:val="00E474BF"/>
    <w:rsid w:val="00E474FC"/>
    <w:rsid w:val="00E478F7"/>
    <w:rsid w:val="00E479BE"/>
    <w:rsid w:val="00E47DA4"/>
    <w:rsid w:val="00E47DAA"/>
    <w:rsid w:val="00E47F80"/>
    <w:rsid w:val="00E4CCBA"/>
    <w:rsid w:val="00E50054"/>
    <w:rsid w:val="00E50093"/>
    <w:rsid w:val="00E5026E"/>
    <w:rsid w:val="00E50291"/>
    <w:rsid w:val="00E502B2"/>
    <w:rsid w:val="00E5067E"/>
    <w:rsid w:val="00E5068F"/>
    <w:rsid w:val="00E5073A"/>
    <w:rsid w:val="00E507C3"/>
    <w:rsid w:val="00E50A22"/>
    <w:rsid w:val="00E50AA3"/>
    <w:rsid w:val="00E50B76"/>
    <w:rsid w:val="00E50CB9"/>
    <w:rsid w:val="00E50E57"/>
    <w:rsid w:val="00E50E70"/>
    <w:rsid w:val="00E50F58"/>
    <w:rsid w:val="00E50FD3"/>
    <w:rsid w:val="00E51092"/>
    <w:rsid w:val="00E510E3"/>
    <w:rsid w:val="00E5115A"/>
    <w:rsid w:val="00E5142A"/>
    <w:rsid w:val="00E51497"/>
    <w:rsid w:val="00E516C3"/>
    <w:rsid w:val="00E516EF"/>
    <w:rsid w:val="00E51AE5"/>
    <w:rsid w:val="00E51DA7"/>
    <w:rsid w:val="00E51DE6"/>
    <w:rsid w:val="00E51EDD"/>
    <w:rsid w:val="00E51F05"/>
    <w:rsid w:val="00E51F0F"/>
    <w:rsid w:val="00E52253"/>
    <w:rsid w:val="00E5251C"/>
    <w:rsid w:val="00E5292A"/>
    <w:rsid w:val="00E5308A"/>
    <w:rsid w:val="00E53518"/>
    <w:rsid w:val="00E53906"/>
    <w:rsid w:val="00E5392B"/>
    <w:rsid w:val="00E53ABB"/>
    <w:rsid w:val="00E53D5B"/>
    <w:rsid w:val="00E53F83"/>
    <w:rsid w:val="00E54664"/>
    <w:rsid w:val="00E54937"/>
    <w:rsid w:val="00E54960"/>
    <w:rsid w:val="00E54A1A"/>
    <w:rsid w:val="00E54CFE"/>
    <w:rsid w:val="00E54DA1"/>
    <w:rsid w:val="00E54DCD"/>
    <w:rsid w:val="00E54E7C"/>
    <w:rsid w:val="00E54ED6"/>
    <w:rsid w:val="00E5503B"/>
    <w:rsid w:val="00E551F3"/>
    <w:rsid w:val="00E552D9"/>
    <w:rsid w:val="00E553EE"/>
    <w:rsid w:val="00E55464"/>
    <w:rsid w:val="00E555DA"/>
    <w:rsid w:val="00E55C7F"/>
    <w:rsid w:val="00E55EB6"/>
    <w:rsid w:val="00E5618B"/>
    <w:rsid w:val="00E562E2"/>
    <w:rsid w:val="00E56380"/>
    <w:rsid w:val="00E563A8"/>
    <w:rsid w:val="00E56877"/>
    <w:rsid w:val="00E568DF"/>
    <w:rsid w:val="00E569E6"/>
    <w:rsid w:val="00E56E04"/>
    <w:rsid w:val="00E57045"/>
    <w:rsid w:val="00E57199"/>
    <w:rsid w:val="00E57387"/>
    <w:rsid w:val="00E57417"/>
    <w:rsid w:val="00E57847"/>
    <w:rsid w:val="00E578E5"/>
    <w:rsid w:val="00E57BAC"/>
    <w:rsid w:val="00E57F65"/>
    <w:rsid w:val="00E60241"/>
    <w:rsid w:val="00E60671"/>
    <w:rsid w:val="00E60698"/>
    <w:rsid w:val="00E60765"/>
    <w:rsid w:val="00E60A58"/>
    <w:rsid w:val="00E60B27"/>
    <w:rsid w:val="00E60BBD"/>
    <w:rsid w:val="00E60CA6"/>
    <w:rsid w:val="00E60E0A"/>
    <w:rsid w:val="00E611BE"/>
    <w:rsid w:val="00E611ED"/>
    <w:rsid w:val="00E6129F"/>
    <w:rsid w:val="00E613BA"/>
    <w:rsid w:val="00E61514"/>
    <w:rsid w:val="00E6196B"/>
    <w:rsid w:val="00E61B4D"/>
    <w:rsid w:val="00E61D6A"/>
    <w:rsid w:val="00E61F4C"/>
    <w:rsid w:val="00E62066"/>
    <w:rsid w:val="00E62237"/>
    <w:rsid w:val="00E625BB"/>
    <w:rsid w:val="00E6297D"/>
    <w:rsid w:val="00E62A84"/>
    <w:rsid w:val="00E62A9B"/>
    <w:rsid w:val="00E62B94"/>
    <w:rsid w:val="00E62C42"/>
    <w:rsid w:val="00E62C83"/>
    <w:rsid w:val="00E631A4"/>
    <w:rsid w:val="00E6322F"/>
    <w:rsid w:val="00E6337D"/>
    <w:rsid w:val="00E63430"/>
    <w:rsid w:val="00E63497"/>
    <w:rsid w:val="00E63979"/>
    <w:rsid w:val="00E63BE5"/>
    <w:rsid w:val="00E6421B"/>
    <w:rsid w:val="00E642D5"/>
    <w:rsid w:val="00E643C8"/>
    <w:rsid w:val="00E6452B"/>
    <w:rsid w:val="00E645FE"/>
    <w:rsid w:val="00E647EC"/>
    <w:rsid w:val="00E6483A"/>
    <w:rsid w:val="00E6492E"/>
    <w:rsid w:val="00E64962"/>
    <w:rsid w:val="00E64BFF"/>
    <w:rsid w:val="00E64CBB"/>
    <w:rsid w:val="00E64E9A"/>
    <w:rsid w:val="00E651AA"/>
    <w:rsid w:val="00E65319"/>
    <w:rsid w:val="00E6531E"/>
    <w:rsid w:val="00E654CF"/>
    <w:rsid w:val="00E6579B"/>
    <w:rsid w:val="00E65A13"/>
    <w:rsid w:val="00E65A22"/>
    <w:rsid w:val="00E65BF8"/>
    <w:rsid w:val="00E65D76"/>
    <w:rsid w:val="00E65EF4"/>
    <w:rsid w:val="00E6616B"/>
    <w:rsid w:val="00E66278"/>
    <w:rsid w:val="00E6646B"/>
    <w:rsid w:val="00E66727"/>
    <w:rsid w:val="00E669B0"/>
    <w:rsid w:val="00E669BB"/>
    <w:rsid w:val="00E66BA4"/>
    <w:rsid w:val="00E66E1C"/>
    <w:rsid w:val="00E66F8F"/>
    <w:rsid w:val="00E66F92"/>
    <w:rsid w:val="00E67127"/>
    <w:rsid w:val="00E673DA"/>
    <w:rsid w:val="00E675B7"/>
    <w:rsid w:val="00E67648"/>
    <w:rsid w:val="00E676D2"/>
    <w:rsid w:val="00E6775C"/>
    <w:rsid w:val="00E67F0F"/>
    <w:rsid w:val="00E70566"/>
    <w:rsid w:val="00E70598"/>
    <w:rsid w:val="00E709F6"/>
    <w:rsid w:val="00E70C64"/>
    <w:rsid w:val="00E70E66"/>
    <w:rsid w:val="00E70E91"/>
    <w:rsid w:val="00E70F97"/>
    <w:rsid w:val="00E715BE"/>
    <w:rsid w:val="00E71926"/>
    <w:rsid w:val="00E71B08"/>
    <w:rsid w:val="00E71DDF"/>
    <w:rsid w:val="00E71F63"/>
    <w:rsid w:val="00E71FC3"/>
    <w:rsid w:val="00E72267"/>
    <w:rsid w:val="00E7238C"/>
    <w:rsid w:val="00E72393"/>
    <w:rsid w:val="00E7247B"/>
    <w:rsid w:val="00E72665"/>
    <w:rsid w:val="00E726E5"/>
    <w:rsid w:val="00E7298E"/>
    <w:rsid w:val="00E7299F"/>
    <w:rsid w:val="00E729C4"/>
    <w:rsid w:val="00E72E45"/>
    <w:rsid w:val="00E72E67"/>
    <w:rsid w:val="00E7302F"/>
    <w:rsid w:val="00E733B1"/>
    <w:rsid w:val="00E73789"/>
    <w:rsid w:val="00E73845"/>
    <w:rsid w:val="00E7386D"/>
    <w:rsid w:val="00E738A0"/>
    <w:rsid w:val="00E73AD6"/>
    <w:rsid w:val="00E73BB6"/>
    <w:rsid w:val="00E73D53"/>
    <w:rsid w:val="00E74193"/>
    <w:rsid w:val="00E741A2"/>
    <w:rsid w:val="00E7461B"/>
    <w:rsid w:val="00E74DCE"/>
    <w:rsid w:val="00E74EE3"/>
    <w:rsid w:val="00E75068"/>
    <w:rsid w:val="00E75163"/>
    <w:rsid w:val="00E751C6"/>
    <w:rsid w:val="00E754F0"/>
    <w:rsid w:val="00E7563B"/>
    <w:rsid w:val="00E75790"/>
    <w:rsid w:val="00E7587D"/>
    <w:rsid w:val="00E75AC1"/>
    <w:rsid w:val="00E75B4B"/>
    <w:rsid w:val="00E75BED"/>
    <w:rsid w:val="00E75F48"/>
    <w:rsid w:val="00E761BD"/>
    <w:rsid w:val="00E76300"/>
    <w:rsid w:val="00E76440"/>
    <w:rsid w:val="00E7649C"/>
    <w:rsid w:val="00E76595"/>
    <w:rsid w:val="00E76B74"/>
    <w:rsid w:val="00E76CF9"/>
    <w:rsid w:val="00E76ECF"/>
    <w:rsid w:val="00E76F4F"/>
    <w:rsid w:val="00E76FC9"/>
    <w:rsid w:val="00E770B3"/>
    <w:rsid w:val="00E7721A"/>
    <w:rsid w:val="00E7741A"/>
    <w:rsid w:val="00E774E9"/>
    <w:rsid w:val="00E77511"/>
    <w:rsid w:val="00E77569"/>
    <w:rsid w:val="00E775A6"/>
    <w:rsid w:val="00E7764C"/>
    <w:rsid w:val="00E776A7"/>
    <w:rsid w:val="00E776F6"/>
    <w:rsid w:val="00E77743"/>
    <w:rsid w:val="00E778B9"/>
    <w:rsid w:val="00E77971"/>
    <w:rsid w:val="00E77C26"/>
    <w:rsid w:val="00E77CCD"/>
    <w:rsid w:val="00E80001"/>
    <w:rsid w:val="00E80087"/>
    <w:rsid w:val="00E8009C"/>
    <w:rsid w:val="00E800CF"/>
    <w:rsid w:val="00E802A4"/>
    <w:rsid w:val="00E802D3"/>
    <w:rsid w:val="00E80453"/>
    <w:rsid w:val="00E804C5"/>
    <w:rsid w:val="00E807AE"/>
    <w:rsid w:val="00E8083A"/>
    <w:rsid w:val="00E80991"/>
    <w:rsid w:val="00E809F7"/>
    <w:rsid w:val="00E80ABB"/>
    <w:rsid w:val="00E80AF4"/>
    <w:rsid w:val="00E80E80"/>
    <w:rsid w:val="00E80E96"/>
    <w:rsid w:val="00E80EE5"/>
    <w:rsid w:val="00E80F30"/>
    <w:rsid w:val="00E8104C"/>
    <w:rsid w:val="00E81268"/>
    <w:rsid w:val="00E81425"/>
    <w:rsid w:val="00E8143E"/>
    <w:rsid w:val="00E816ED"/>
    <w:rsid w:val="00E81A93"/>
    <w:rsid w:val="00E81CD4"/>
    <w:rsid w:val="00E81CFE"/>
    <w:rsid w:val="00E81FBC"/>
    <w:rsid w:val="00E82004"/>
    <w:rsid w:val="00E820A4"/>
    <w:rsid w:val="00E820EF"/>
    <w:rsid w:val="00E821AF"/>
    <w:rsid w:val="00E824B0"/>
    <w:rsid w:val="00E8256F"/>
    <w:rsid w:val="00E8262B"/>
    <w:rsid w:val="00E826FE"/>
    <w:rsid w:val="00E8276F"/>
    <w:rsid w:val="00E82960"/>
    <w:rsid w:val="00E82AE5"/>
    <w:rsid w:val="00E83067"/>
    <w:rsid w:val="00E830D4"/>
    <w:rsid w:val="00E831FC"/>
    <w:rsid w:val="00E838BF"/>
    <w:rsid w:val="00E839F4"/>
    <w:rsid w:val="00E84074"/>
    <w:rsid w:val="00E84178"/>
    <w:rsid w:val="00E84263"/>
    <w:rsid w:val="00E843DB"/>
    <w:rsid w:val="00E84C90"/>
    <w:rsid w:val="00E84F72"/>
    <w:rsid w:val="00E84FCD"/>
    <w:rsid w:val="00E857F9"/>
    <w:rsid w:val="00E85802"/>
    <w:rsid w:val="00E8588C"/>
    <w:rsid w:val="00E8592C"/>
    <w:rsid w:val="00E85A88"/>
    <w:rsid w:val="00E85C29"/>
    <w:rsid w:val="00E85C4A"/>
    <w:rsid w:val="00E85D47"/>
    <w:rsid w:val="00E85D4D"/>
    <w:rsid w:val="00E85E9A"/>
    <w:rsid w:val="00E85E9B"/>
    <w:rsid w:val="00E86387"/>
    <w:rsid w:val="00E86796"/>
    <w:rsid w:val="00E868A8"/>
    <w:rsid w:val="00E869A3"/>
    <w:rsid w:val="00E86A61"/>
    <w:rsid w:val="00E86ABF"/>
    <w:rsid w:val="00E86B5A"/>
    <w:rsid w:val="00E86E2C"/>
    <w:rsid w:val="00E86F9B"/>
    <w:rsid w:val="00E86FC2"/>
    <w:rsid w:val="00E86FCF"/>
    <w:rsid w:val="00E870AD"/>
    <w:rsid w:val="00E871D4"/>
    <w:rsid w:val="00E876C5"/>
    <w:rsid w:val="00E8773A"/>
    <w:rsid w:val="00E87750"/>
    <w:rsid w:val="00E878AC"/>
    <w:rsid w:val="00E8790A"/>
    <w:rsid w:val="00E87989"/>
    <w:rsid w:val="00E87F86"/>
    <w:rsid w:val="00E9020A"/>
    <w:rsid w:val="00E906FB"/>
    <w:rsid w:val="00E90718"/>
    <w:rsid w:val="00E9093F"/>
    <w:rsid w:val="00E90960"/>
    <w:rsid w:val="00E90AEE"/>
    <w:rsid w:val="00E90BDE"/>
    <w:rsid w:val="00E90CB3"/>
    <w:rsid w:val="00E90E1E"/>
    <w:rsid w:val="00E90F25"/>
    <w:rsid w:val="00E90F80"/>
    <w:rsid w:val="00E91181"/>
    <w:rsid w:val="00E91591"/>
    <w:rsid w:val="00E915CF"/>
    <w:rsid w:val="00E916BB"/>
    <w:rsid w:val="00E916FC"/>
    <w:rsid w:val="00E919AD"/>
    <w:rsid w:val="00E919E5"/>
    <w:rsid w:val="00E91AF8"/>
    <w:rsid w:val="00E91BAD"/>
    <w:rsid w:val="00E91E6E"/>
    <w:rsid w:val="00E91FB7"/>
    <w:rsid w:val="00E920E9"/>
    <w:rsid w:val="00E9219B"/>
    <w:rsid w:val="00E921FE"/>
    <w:rsid w:val="00E92258"/>
    <w:rsid w:val="00E924BC"/>
    <w:rsid w:val="00E92515"/>
    <w:rsid w:val="00E92536"/>
    <w:rsid w:val="00E9258D"/>
    <w:rsid w:val="00E925B6"/>
    <w:rsid w:val="00E926A0"/>
    <w:rsid w:val="00E92724"/>
    <w:rsid w:val="00E92728"/>
    <w:rsid w:val="00E929FB"/>
    <w:rsid w:val="00E92A64"/>
    <w:rsid w:val="00E9335E"/>
    <w:rsid w:val="00E9340F"/>
    <w:rsid w:val="00E93636"/>
    <w:rsid w:val="00E938E1"/>
    <w:rsid w:val="00E93B43"/>
    <w:rsid w:val="00E93C65"/>
    <w:rsid w:val="00E93C78"/>
    <w:rsid w:val="00E93D8C"/>
    <w:rsid w:val="00E94025"/>
    <w:rsid w:val="00E940BD"/>
    <w:rsid w:val="00E94591"/>
    <w:rsid w:val="00E945F8"/>
    <w:rsid w:val="00E94A26"/>
    <w:rsid w:val="00E94C05"/>
    <w:rsid w:val="00E94D0B"/>
    <w:rsid w:val="00E95101"/>
    <w:rsid w:val="00E954C9"/>
    <w:rsid w:val="00E958EC"/>
    <w:rsid w:val="00E9597A"/>
    <w:rsid w:val="00E95AC7"/>
    <w:rsid w:val="00E95B79"/>
    <w:rsid w:val="00E95CDE"/>
    <w:rsid w:val="00E95ECC"/>
    <w:rsid w:val="00E964DA"/>
    <w:rsid w:val="00E96CB5"/>
    <w:rsid w:val="00E96DD4"/>
    <w:rsid w:val="00E96E29"/>
    <w:rsid w:val="00E97060"/>
    <w:rsid w:val="00E973EE"/>
    <w:rsid w:val="00E97726"/>
    <w:rsid w:val="00E97966"/>
    <w:rsid w:val="00E97A98"/>
    <w:rsid w:val="00E97D1C"/>
    <w:rsid w:val="00EA03C9"/>
    <w:rsid w:val="00EA0851"/>
    <w:rsid w:val="00EA0958"/>
    <w:rsid w:val="00EA09D2"/>
    <w:rsid w:val="00EA0D36"/>
    <w:rsid w:val="00EA0D9E"/>
    <w:rsid w:val="00EA0E19"/>
    <w:rsid w:val="00EA1027"/>
    <w:rsid w:val="00EA1094"/>
    <w:rsid w:val="00EA128D"/>
    <w:rsid w:val="00EA12ED"/>
    <w:rsid w:val="00EA1441"/>
    <w:rsid w:val="00EA14F3"/>
    <w:rsid w:val="00EA1C6D"/>
    <w:rsid w:val="00EA1D5E"/>
    <w:rsid w:val="00EA23D8"/>
    <w:rsid w:val="00EA2423"/>
    <w:rsid w:val="00EA247D"/>
    <w:rsid w:val="00EA2650"/>
    <w:rsid w:val="00EA2986"/>
    <w:rsid w:val="00EA2D7C"/>
    <w:rsid w:val="00EA2D82"/>
    <w:rsid w:val="00EA2E8C"/>
    <w:rsid w:val="00EA3379"/>
    <w:rsid w:val="00EA34C0"/>
    <w:rsid w:val="00EA35E0"/>
    <w:rsid w:val="00EA35FE"/>
    <w:rsid w:val="00EA380D"/>
    <w:rsid w:val="00EA3ACB"/>
    <w:rsid w:val="00EA4075"/>
    <w:rsid w:val="00EA4218"/>
    <w:rsid w:val="00EA4220"/>
    <w:rsid w:val="00EA42E6"/>
    <w:rsid w:val="00EA489C"/>
    <w:rsid w:val="00EA48A5"/>
    <w:rsid w:val="00EA4BB1"/>
    <w:rsid w:val="00EA4CED"/>
    <w:rsid w:val="00EA4F01"/>
    <w:rsid w:val="00EA5069"/>
    <w:rsid w:val="00EA51D3"/>
    <w:rsid w:val="00EA5783"/>
    <w:rsid w:val="00EA580D"/>
    <w:rsid w:val="00EA5926"/>
    <w:rsid w:val="00EA5ADF"/>
    <w:rsid w:val="00EA5CAE"/>
    <w:rsid w:val="00EA6602"/>
    <w:rsid w:val="00EA6ABA"/>
    <w:rsid w:val="00EA6B65"/>
    <w:rsid w:val="00EA6C04"/>
    <w:rsid w:val="00EA6C43"/>
    <w:rsid w:val="00EA6EA2"/>
    <w:rsid w:val="00EA7014"/>
    <w:rsid w:val="00EA7206"/>
    <w:rsid w:val="00EA74FC"/>
    <w:rsid w:val="00EA759B"/>
    <w:rsid w:val="00EA76BA"/>
    <w:rsid w:val="00EA7BDC"/>
    <w:rsid w:val="00EA7BE6"/>
    <w:rsid w:val="00EA7D8F"/>
    <w:rsid w:val="00EA7DA3"/>
    <w:rsid w:val="00EB011C"/>
    <w:rsid w:val="00EB02D4"/>
    <w:rsid w:val="00EB0335"/>
    <w:rsid w:val="00EB04ED"/>
    <w:rsid w:val="00EB0563"/>
    <w:rsid w:val="00EB0720"/>
    <w:rsid w:val="00EB0A8D"/>
    <w:rsid w:val="00EB11A1"/>
    <w:rsid w:val="00EB12AE"/>
    <w:rsid w:val="00EB12CF"/>
    <w:rsid w:val="00EB1302"/>
    <w:rsid w:val="00EB1326"/>
    <w:rsid w:val="00EB1449"/>
    <w:rsid w:val="00EB1495"/>
    <w:rsid w:val="00EB155F"/>
    <w:rsid w:val="00EB1576"/>
    <w:rsid w:val="00EB1621"/>
    <w:rsid w:val="00EB19F8"/>
    <w:rsid w:val="00EB1BBC"/>
    <w:rsid w:val="00EB1BCA"/>
    <w:rsid w:val="00EB1E17"/>
    <w:rsid w:val="00EB1F02"/>
    <w:rsid w:val="00EB1F38"/>
    <w:rsid w:val="00EB1FA1"/>
    <w:rsid w:val="00EB2240"/>
    <w:rsid w:val="00EB2535"/>
    <w:rsid w:val="00EB2656"/>
    <w:rsid w:val="00EB2815"/>
    <w:rsid w:val="00EB2A50"/>
    <w:rsid w:val="00EB2BAD"/>
    <w:rsid w:val="00EB2CEE"/>
    <w:rsid w:val="00EB2F52"/>
    <w:rsid w:val="00EB30F0"/>
    <w:rsid w:val="00EB3207"/>
    <w:rsid w:val="00EB32C9"/>
    <w:rsid w:val="00EB337C"/>
    <w:rsid w:val="00EB3424"/>
    <w:rsid w:val="00EB3463"/>
    <w:rsid w:val="00EB3856"/>
    <w:rsid w:val="00EB3978"/>
    <w:rsid w:val="00EB3A15"/>
    <w:rsid w:val="00EB3A76"/>
    <w:rsid w:val="00EB3C10"/>
    <w:rsid w:val="00EB4408"/>
    <w:rsid w:val="00EB456F"/>
    <w:rsid w:val="00EB458D"/>
    <w:rsid w:val="00EB45C1"/>
    <w:rsid w:val="00EB462A"/>
    <w:rsid w:val="00EB46F4"/>
    <w:rsid w:val="00EB48F7"/>
    <w:rsid w:val="00EB49DE"/>
    <w:rsid w:val="00EB4E04"/>
    <w:rsid w:val="00EB4E40"/>
    <w:rsid w:val="00EB4F00"/>
    <w:rsid w:val="00EB5196"/>
    <w:rsid w:val="00EB52EE"/>
    <w:rsid w:val="00EB57A0"/>
    <w:rsid w:val="00EB588E"/>
    <w:rsid w:val="00EB5A3A"/>
    <w:rsid w:val="00EB5A78"/>
    <w:rsid w:val="00EB5ABF"/>
    <w:rsid w:val="00EB5ADF"/>
    <w:rsid w:val="00EB61B9"/>
    <w:rsid w:val="00EB63CC"/>
    <w:rsid w:val="00EB654E"/>
    <w:rsid w:val="00EB6690"/>
    <w:rsid w:val="00EB66C0"/>
    <w:rsid w:val="00EB68AE"/>
    <w:rsid w:val="00EB6B3B"/>
    <w:rsid w:val="00EB6B4E"/>
    <w:rsid w:val="00EB6BBA"/>
    <w:rsid w:val="00EB70EE"/>
    <w:rsid w:val="00EB7559"/>
    <w:rsid w:val="00EB75CA"/>
    <w:rsid w:val="00EB7604"/>
    <w:rsid w:val="00EB7AA3"/>
    <w:rsid w:val="00EB7ADF"/>
    <w:rsid w:val="00EB7C02"/>
    <w:rsid w:val="00EB7E41"/>
    <w:rsid w:val="00EC0076"/>
    <w:rsid w:val="00EC05E0"/>
    <w:rsid w:val="00EC068E"/>
    <w:rsid w:val="00EC0869"/>
    <w:rsid w:val="00EC0C5C"/>
    <w:rsid w:val="00EC0DAE"/>
    <w:rsid w:val="00EC0E7C"/>
    <w:rsid w:val="00EC1523"/>
    <w:rsid w:val="00EC1AB6"/>
    <w:rsid w:val="00EC1AF5"/>
    <w:rsid w:val="00EC1B02"/>
    <w:rsid w:val="00EC1C94"/>
    <w:rsid w:val="00EC1F0E"/>
    <w:rsid w:val="00EC1FBB"/>
    <w:rsid w:val="00EC207C"/>
    <w:rsid w:val="00EC26CA"/>
    <w:rsid w:val="00EC2A1B"/>
    <w:rsid w:val="00EC2A1E"/>
    <w:rsid w:val="00EC2AC1"/>
    <w:rsid w:val="00EC2B29"/>
    <w:rsid w:val="00EC2DB1"/>
    <w:rsid w:val="00EC3148"/>
    <w:rsid w:val="00EC3569"/>
    <w:rsid w:val="00EC3DFA"/>
    <w:rsid w:val="00EC4260"/>
    <w:rsid w:val="00EC4574"/>
    <w:rsid w:val="00EC49DC"/>
    <w:rsid w:val="00EC4A5F"/>
    <w:rsid w:val="00EC4B39"/>
    <w:rsid w:val="00EC4E3F"/>
    <w:rsid w:val="00EC4FB8"/>
    <w:rsid w:val="00EC51BF"/>
    <w:rsid w:val="00EC54F2"/>
    <w:rsid w:val="00EC558E"/>
    <w:rsid w:val="00EC56A4"/>
    <w:rsid w:val="00EC56F9"/>
    <w:rsid w:val="00EC580E"/>
    <w:rsid w:val="00EC58E2"/>
    <w:rsid w:val="00EC601E"/>
    <w:rsid w:val="00EC6388"/>
    <w:rsid w:val="00EC639E"/>
    <w:rsid w:val="00EC63DD"/>
    <w:rsid w:val="00EC6493"/>
    <w:rsid w:val="00EC66B3"/>
    <w:rsid w:val="00EC67A3"/>
    <w:rsid w:val="00EC6918"/>
    <w:rsid w:val="00EC69E7"/>
    <w:rsid w:val="00EC6BB8"/>
    <w:rsid w:val="00EC6CCB"/>
    <w:rsid w:val="00EC6DB3"/>
    <w:rsid w:val="00EC7020"/>
    <w:rsid w:val="00EC7275"/>
    <w:rsid w:val="00EC73ED"/>
    <w:rsid w:val="00EC7777"/>
    <w:rsid w:val="00EC7AAF"/>
    <w:rsid w:val="00EC7C73"/>
    <w:rsid w:val="00EC7CE4"/>
    <w:rsid w:val="00EC7D88"/>
    <w:rsid w:val="00EC7E9F"/>
    <w:rsid w:val="00ED02EB"/>
    <w:rsid w:val="00ED033D"/>
    <w:rsid w:val="00ED05A0"/>
    <w:rsid w:val="00ED0635"/>
    <w:rsid w:val="00ED068E"/>
    <w:rsid w:val="00ED06A4"/>
    <w:rsid w:val="00ED0759"/>
    <w:rsid w:val="00ED077F"/>
    <w:rsid w:val="00ED08BC"/>
    <w:rsid w:val="00ED0A17"/>
    <w:rsid w:val="00ED0A91"/>
    <w:rsid w:val="00ED0B0F"/>
    <w:rsid w:val="00ED0D38"/>
    <w:rsid w:val="00ED0E65"/>
    <w:rsid w:val="00ED0EF4"/>
    <w:rsid w:val="00ED148B"/>
    <w:rsid w:val="00ED15EB"/>
    <w:rsid w:val="00ED1BBA"/>
    <w:rsid w:val="00ED1F7B"/>
    <w:rsid w:val="00ED2038"/>
    <w:rsid w:val="00ED2151"/>
    <w:rsid w:val="00ED2214"/>
    <w:rsid w:val="00ED2452"/>
    <w:rsid w:val="00ED24CA"/>
    <w:rsid w:val="00ED24CC"/>
    <w:rsid w:val="00ED24DF"/>
    <w:rsid w:val="00ED2578"/>
    <w:rsid w:val="00ED2794"/>
    <w:rsid w:val="00ED2A39"/>
    <w:rsid w:val="00ED2AB6"/>
    <w:rsid w:val="00ED2E71"/>
    <w:rsid w:val="00ED3022"/>
    <w:rsid w:val="00ED314E"/>
    <w:rsid w:val="00ED31A6"/>
    <w:rsid w:val="00ED379D"/>
    <w:rsid w:val="00ED385A"/>
    <w:rsid w:val="00ED38B7"/>
    <w:rsid w:val="00ED3B4B"/>
    <w:rsid w:val="00ED3B91"/>
    <w:rsid w:val="00ED3BA0"/>
    <w:rsid w:val="00ED4154"/>
    <w:rsid w:val="00ED436C"/>
    <w:rsid w:val="00ED43C7"/>
    <w:rsid w:val="00ED445A"/>
    <w:rsid w:val="00ED4586"/>
    <w:rsid w:val="00ED4A12"/>
    <w:rsid w:val="00ED4BC5"/>
    <w:rsid w:val="00ED4DAC"/>
    <w:rsid w:val="00ED52DD"/>
    <w:rsid w:val="00ED550C"/>
    <w:rsid w:val="00ED568F"/>
    <w:rsid w:val="00ED56AB"/>
    <w:rsid w:val="00ED58A5"/>
    <w:rsid w:val="00ED59AA"/>
    <w:rsid w:val="00ED5C3C"/>
    <w:rsid w:val="00ED5CD9"/>
    <w:rsid w:val="00ED5D24"/>
    <w:rsid w:val="00ED5F4B"/>
    <w:rsid w:val="00ED63F0"/>
    <w:rsid w:val="00ED65AA"/>
    <w:rsid w:val="00ED6818"/>
    <w:rsid w:val="00ED69BF"/>
    <w:rsid w:val="00ED6F12"/>
    <w:rsid w:val="00ED6F98"/>
    <w:rsid w:val="00ED7025"/>
    <w:rsid w:val="00ED71AF"/>
    <w:rsid w:val="00ED73B0"/>
    <w:rsid w:val="00ED73C6"/>
    <w:rsid w:val="00ED74C8"/>
    <w:rsid w:val="00ED74F2"/>
    <w:rsid w:val="00ED766D"/>
    <w:rsid w:val="00ED77F4"/>
    <w:rsid w:val="00ED7877"/>
    <w:rsid w:val="00ED7EFE"/>
    <w:rsid w:val="00EE006A"/>
    <w:rsid w:val="00EE0352"/>
    <w:rsid w:val="00EE03CB"/>
    <w:rsid w:val="00EE048D"/>
    <w:rsid w:val="00EE04ED"/>
    <w:rsid w:val="00EE090F"/>
    <w:rsid w:val="00EE09F1"/>
    <w:rsid w:val="00EE0AEE"/>
    <w:rsid w:val="00EE0BDA"/>
    <w:rsid w:val="00EE1499"/>
    <w:rsid w:val="00EE15E6"/>
    <w:rsid w:val="00EE225C"/>
    <w:rsid w:val="00EE226B"/>
    <w:rsid w:val="00EE25CA"/>
    <w:rsid w:val="00EE274D"/>
    <w:rsid w:val="00EE28E9"/>
    <w:rsid w:val="00EE2ABB"/>
    <w:rsid w:val="00EE2D97"/>
    <w:rsid w:val="00EE303D"/>
    <w:rsid w:val="00EE346E"/>
    <w:rsid w:val="00EE350C"/>
    <w:rsid w:val="00EE3539"/>
    <w:rsid w:val="00EE37C8"/>
    <w:rsid w:val="00EE3D78"/>
    <w:rsid w:val="00EE3D80"/>
    <w:rsid w:val="00EE3EF8"/>
    <w:rsid w:val="00EE3F9D"/>
    <w:rsid w:val="00EE42F5"/>
    <w:rsid w:val="00EE488A"/>
    <w:rsid w:val="00EE48B6"/>
    <w:rsid w:val="00EE4919"/>
    <w:rsid w:val="00EE4BB8"/>
    <w:rsid w:val="00EE500C"/>
    <w:rsid w:val="00EE5062"/>
    <w:rsid w:val="00EE5389"/>
    <w:rsid w:val="00EE5435"/>
    <w:rsid w:val="00EE5562"/>
    <w:rsid w:val="00EE55B3"/>
    <w:rsid w:val="00EE5605"/>
    <w:rsid w:val="00EE57CB"/>
    <w:rsid w:val="00EE586F"/>
    <w:rsid w:val="00EE5965"/>
    <w:rsid w:val="00EE5B1F"/>
    <w:rsid w:val="00EE5F48"/>
    <w:rsid w:val="00EE5F9D"/>
    <w:rsid w:val="00EE647A"/>
    <w:rsid w:val="00EE6B87"/>
    <w:rsid w:val="00EE6DBC"/>
    <w:rsid w:val="00EE6E7F"/>
    <w:rsid w:val="00EE6F0A"/>
    <w:rsid w:val="00EE705C"/>
    <w:rsid w:val="00EE70E9"/>
    <w:rsid w:val="00EE7714"/>
    <w:rsid w:val="00EE7CFF"/>
    <w:rsid w:val="00EE7E87"/>
    <w:rsid w:val="00EF016F"/>
    <w:rsid w:val="00EF0662"/>
    <w:rsid w:val="00EF06A6"/>
    <w:rsid w:val="00EF08CF"/>
    <w:rsid w:val="00EF091C"/>
    <w:rsid w:val="00EF0940"/>
    <w:rsid w:val="00EF098E"/>
    <w:rsid w:val="00EF0B53"/>
    <w:rsid w:val="00EF0C6C"/>
    <w:rsid w:val="00EF10AB"/>
    <w:rsid w:val="00EF10DD"/>
    <w:rsid w:val="00EF1171"/>
    <w:rsid w:val="00EF1226"/>
    <w:rsid w:val="00EF17C7"/>
    <w:rsid w:val="00EF187B"/>
    <w:rsid w:val="00EF18AE"/>
    <w:rsid w:val="00EF19D8"/>
    <w:rsid w:val="00EF1AF7"/>
    <w:rsid w:val="00EF1BCA"/>
    <w:rsid w:val="00EF1C8B"/>
    <w:rsid w:val="00EF1EDE"/>
    <w:rsid w:val="00EF1FD6"/>
    <w:rsid w:val="00EF2030"/>
    <w:rsid w:val="00EF2065"/>
    <w:rsid w:val="00EF2262"/>
    <w:rsid w:val="00EF2F04"/>
    <w:rsid w:val="00EF3360"/>
    <w:rsid w:val="00EF359C"/>
    <w:rsid w:val="00EF3A24"/>
    <w:rsid w:val="00EF3E53"/>
    <w:rsid w:val="00EF3EE5"/>
    <w:rsid w:val="00EF44B4"/>
    <w:rsid w:val="00EF4628"/>
    <w:rsid w:val="00EF46C7"/>
    <w:rsid w:val="00EF48F3"/>
    <w:rsid w:val="00EF48FA"/>
    <w:rsid w:val="00EF490E"/>
    <w:rsid w:val="00EF4935"/>
    <w:rsid w:val="00EF496D"/>
    <w:rsid w:val="00EF4A99"/>
    <w:rsid w:val="00EF4C96"/>
    <w:rsid w:val="00EF4CA2"/>
    <w:rsid w:val="00EF4F84"/>
    <w:rsid w:val="00EF51AB"/>
    <w:rsid w:val="00EF523F"/>
    <w:rsid w:val="00EF53DB"/>
    <w:rsid w:val="00EF53E7"/>
    <w:rsid w:val="00EF54DE"/>
    <w:rsid w:val="00EF5579"/>
    <w:rsid w:val="00EF569D"/>
    <w:rsid w:val="00EF58BA"/>
    <w:rsid w:val="00EF58EA"/>
    <w:rsid w:val="00EF5C44"/>
    <w:rsid w:val="00EF5CC7"/>
    <w:rsid w:val="00EF5DB2"/>
    <w:rsid w:val="00EF5FD7"/>
    <w:rsid w:val="00EF60C9"/>
    <w:rsid w:val="00EF6301"/>
    <w:rsid w:val="00EF637F"/>
    <w:rsid w:val="00EF6849"/>
    <w:rsid w:val="00EF6BBF"/>
    <w:rsid w:val="00EF720D"/>
    <w:rsid w:val="00EF726A"/>
    <w:rsid w:val="00EF72D4"/>
    <w:rsid w:val="00EF746B"/>
    <w:rsid w:val="00EF7582"/>
    <w:rsid w:val="00EF7673"/>
    <w:rsid w:val="00EF7720"/>
    <w:rsid w:val="00EF7760"/>
    <w:rsid w:val="00EF785C"/>
    <w:rsid w:val="00EF799F"/>
    <w:rsid w:val="00EF7B07"/>
    <w:rsid w:val="00EF7CB3"/>
    <w:rsid w:val="00EF7F1A"/>
    <w:rsid w:val="00EF7FF2"/>
    <w:rsid w:val="00F00078"/>
    <w:rsid w:val="00F002FC"/>
    <w:rsid w:val="00F00478"/>
    <w:rsid w:val="00F00668"/>
    <w:rsid w:val="00F006B4"/>
    <w:rsid w:val="00F007D0"/>
    <w:rsid w:val="00F0088E"/>
    <w:rsid w:val="00F0094C"/>
    <w:rsid w:val="00F00A9B"/>
    <w:rsid w:val="00F00CAA"/>
    <w:rsid w:val="00F00E00"/>
    <w:rsid w:val="00F00FDA"/>
    <w:rsid w:val="00F0118D"/>
    <w:rsid w:val="00F01397"/>
    <w:rsid w:val="00F017D9"/>
    <w:rsid w:val="00F01866"/>
    <w:rsid w:val="00F01924"/>
    <w:rsid w:val="00F0197C"/>
    <w:rsid w:val="00F01BCD"/>
    <w:rsid w:val="00F01CE1"/>
    <w:rsid w:val="00F01CFA"/>
    <w:rsid w:val="00F01D4F"/>
    <w:rsid w:val="00F01E28"/>
    <w:rsid w:val="00F01F74"/>
    <w:rsid w:val="00F02338"/>
    <w:rsid w:val="00F02372"/>
    <w:rsid w:val="00F02395"/>
    <w:rsid w:val="00F0282E"/>
    <w:rsid w:val="00F02AE7"/>
    <w:rsid w:val="00F02D77"/>
    <w:rsid w:val="00F02E5E"/>
    <w:rsid w:val="00F02FB6"/>
    <w:rsid w:val="00F03165"/>
    <w:rsid w:val="00F03328"/>
    <w:rsid w:val="00F033FB"/>
    <w:rsid w:val="00F03644"/>
    <w:rsid w:val="00F037F4"/>
    <w:rsid w:val="00F0390D"/>
    <w:rsid w:val="00F03944"/>
    <w:rsid w:val="00F03AC9"/>
    <w:rsid w:val="00F03BFD"/>
    <w:rsid w:val="00F03FA6"/>
    <w:rsid w:val="00F04353"/>
    <w:rsid w:val="00F047C6"/>
    <w:rsid w:val="00F04862"/>
    <w:rsid w:val="00F0487E"/>
    <w:rsid w:val="00F04F6D"/>
    <w:rsid w:val="00F0520B"/>
    <w:rsid w:val="00F05414"/>
    <w:rsid w:val="00F057F3"/>
    <w:rsid w:val="00F05D0E"/>
    <w:rsid w:val="00F05E6D"/>
    <w:rsid w:val="00F05FEA"/>
    <w:rsid w:val="00F06058"/>
    <w:rsid w:val="00F06171"/>
    <w:rsid w:val="00F0628B"/>
    <w:rsid w:val="00F062A8"/>
    <w:rsid w:val="00F062AE"/>
    <w:rsid w:val="00F062CF"/>
    <w:rsid w:val="00F065A4"/>
    <w:rsid w:val="00F06780"/>
    <w:rsid w:val="00F0681B"/>
    <w:rsid w:val="00F06997"/>
    <w:rsid w:val="00F069FF"/>
    <w:rsid w:val="00F06BF7"/>
    <w:rsid w:val="00F06D13"/>
    <w:rsid w:val="00F06E28"/>
    <w:rsid w:val="00F06E69"/>
    <w:rsid w:val="00F06F57"/>
    <w:rsid w:val="00F0719F"/>
    <w:rsid w:val="00F071CA"/>
    <w:rsid w:val="00F0747B"/>
    <w:rsid w:val="00F07495"/>
    <w:rsid w:val="00F074F2"/>
    <w:rsid w:val="00F07909"/>
    <w:rsid w:val="00F07A90"/>
    <w:rsid w:val="00F07AED"/>
    <w:rsid w:val="00F07BEE"/>
    <w:rsid w:val="00F07E63"/>
    <w:rsid w:val="00F10011"/>
    <w:rsid w:val="00F10284"/>
    <w:rsid w:val="00F102E1"/>
    <w:rsid w:val="00F10330"/>
    <w:rsid w:val="00F10573"/>
    <w:rsid w:val="00F106D6"/>
    <w:rsid w:val="00F106DB"/>
    <w:rsid w:val="00F10A43"/>
    <w:rsid w:val="00F11040"/>
    <w:rsid w:val="00F112BA"/>
    <w:rsid w:val="00F11325"/>
    <w:rsid w:val="00F113B8"/>
    <w:rsid w:val="00F113FB"/>
    <w:rsid w:val="00F114CE"/>
    <w:rsid w:val="00F115F8"/>
    <w:rsid w:val="00F11746"/>
    <w:rsid w:val="00F1174E"/>
    <w:rsid w:val="00F11E8F"/>
    <w:rsid w:val="00F11F37"/>
    <w:rsid w:val="00F12003"/>
    <w:rsid w:val="00F12324"/>
    <w:rsid w:val="00F12438"/>
    <w:rsid w:val="00F12A23"/>
    <w:rsid w:val="00F12A8F"/>
    <w:rsid w:val="00F12B12"/>
    <w:rsid w:val="00F12B2F"/>
    <w:rsid w:val="00F12CC7"/>
    <w:rsid w:val="00F12CF8"/>
    <w:rsid w:val="00F12E43"/>
    <w:rsid w:val="00F12F19"/>
    <w:rsid w:val="00F12FB9"/>
    <w:rsid w:val="00F1309F"/>
    <w:rsid w:val="00F1331F"/>
    <w:rsid w:val="00F1357C"/>
    <w:rsid w:val="00F136DB"/>
    <w:rsid w:val="00F13827"/>
    <w:rsid w:val="00F13841"/>
    <w:rsid w:val="00F1408F"/>
    <w:rsid w:val="00F141FD"/>
    <w:rsid w:val="00F1422A"/>
    <w:rsid w:val="00F14515"/>
    <w:rsid w:val="00F145F4"/>
    <w:rsid w:val="00F14640"/>
    <w:rsid w:val="00F14C51"/>
    <w:rsid w:val="00F15087"/>
    <w:rsid w:val="00F150AB"/>
    <w:rsid w:val="00F15404"/>
    <w:rsid w:val="00F157C5"/>
    <w:rsid w:val="00F15842"/>
    <w:rsid w:val="00F15B80"/>
    <w:rsid w:val="00F1611D"/>
    <w:rsid w:val="00F161E2"/>
    <w:rsid w:val="00F16315"/>
    <w:rsid w:val="00F16434"/>
    <w:rsid w:val="00F16703"/>
    <w:rsid w:val="00F16859"/>
    <w:rsid w:val="00F169A2"/>
    <w:rsid w:val="00F16AE8"/>
    <w:rsid w:val="00F16C9F"/>
    <w:rsid w:val="00F16E53"/>
    <w:rsid w:val="00F1717B"/>
    <w:rsid w:val="00F172FC"/>
    <w:rsid w:val="00F17316"/>
    <w:rsid w:val="00F17393"/>
    <w:rsid w:val="00F17395"/>
    <w:rsid w:val="00F1765F"/>
    <w:rsid w:val="00F177CD"/>
    <w:rsid w:val="00F17841"/>
    <w:rsid w:val="00F17F35"/>
    <w:rsid w:val="00F17FAB"/>
    <w:rsid w:val="00F20015"/>
    <w:rsid w:val="00F201F0"/>
    <w:rsid w:val="00F2055D"/>
    <w:rsid w:val="00F208BA"/>
    <w:rsid w:val="00F208F3"/>
    <w:rsid w:val="00F2093C"/>
    <w:rsid w:val="00F20990"/>
    <w:rsid w:val="00F20A71"/>
    <w:rsid w:val="00F20B3B"/>
    <w:rsid w:val="00F20B8D"/>
    <w:rsid w:val="00F20BB4"/>
    <w:rsid w:val="00F20C48"/>
    <w:rsid w:val="00F20C9A"/>
    <w:rsid w:val="00F20CFD"/>
    <w:rsid w:val="00F20E7A"/>
    <w:rsid w:val="00F21126"/>
    <w:rsid w:val="00F220CD"/>
    <w:rsid w:val="00F221E7"/>
    <w:rsid w:val="00F22203"/>
    <w:rsid w:val="00F22222"/>
    <w:rsid w:val="00F22302"/>
    <w:rsid w:val="00F22322"/>
    <w:rsid w:val="00F2261F"/>
    <w:rsid w:val="00F226C6"/>
    <w:rsid w:val="00F226F5"/>
    <w:rsid w:val="00F22A5A"/>
    <w:rsid w:val="00F22B8F"/>
    <w:rsid w:val="00F22D27"/>
    <w:rsid w:val="00F22DC2"/>
    <w:rsid w:val="00F23150"/>
    <w:rsid w:val="00F231B5"/>
    <w:rsid w:val="00F23271"/>
    <w:rsid w:val="00F2329B"/>
    <w:rsid w:val="00F23572"/>
    <w:rsid w:val="00F235B5"/>
    <w:rsid w:val="00F237DC"/>
    <w:rsid w:val="00F23943"/>
    <w:rsid w:val="00F23989"/>
    <w:rsid w:val="00F23BE1"/>
    <w:rsid w:val="00F23E8C"/>
    <w:rsid w:val="00F23FA1"/>
    <w:rsid w:val="00F240C0"/>
    <w:rsid w:val="00F24111"/>
    <w:rsid w:val="00F242C5"/>
    <w:rsid w:val="00F243A7"/>
    <w:rsid w:val="00F243CD"/>
    <w:rsid w:val="00F2443A"/>
    <w:rsid w:val="00F246B7"/>
    <w:rsid w:val="00F2489B"/>
    <w:rsid w:val="00F24B02"/>
    <w:rsid w:val="00F2531E"/>
    <w:rsid w:val="00F25700"/>
    <w:rsid w:val="00F25888"/>
    <w:rsid w:val="00F259B7"/>
    <w:rsid w:val="00F25A7D"/>
    <w:rsid w:val="00F25A9F"/>
    <w:rsid w:val="00F25BFB"/>
    <w:rsid w:val="00F25C69"/>
    <w:rsid w:val="00F25F2B"/>
    <w:rsid w:val="00F26130"/>
    <w:rsid w:val="00F2613B"/>
    <w:rsid w:val="00F26480"/>
    <w:rsid w:val="00F26626"/>
    <w:rsid w:val="00F26827"/>
    <w:rsid w:val="00F26A59"/>
    <w:rsid w:val="00F26A82"/>
    <w:rsid w:val="00F26A95"/>
    <w:rsid w:val="00F26B1E"/>
    <w:rsid w:val="00F26BE3"/>
    <w:rsid w:val="00F26C37"/>
    <w:rsid w:val="00F26C4F"/>
    <w:rsid w:val="00F26CFE"/>
    <w:rsid w:val="00F26E28"/>
    <w:rsid w:val="00F26F9D"/>
    <w:rsid w:val="00F273BD"/>
    <w:rsid w:val="00F274BD"/>
    <w:rsid w:val="00F276D2"/>
    <w:rsid w:val="00F278BB"/>
    <w:rsid w:val="00F279E6"/>
    <w:rsid w:val="00F27B53"/>
    <w:rsid w:val="00F27BE5"/>
    <w:rsid w:val="00F27ECE"/>
    <w:rsid w:val="00F27F31"/>
    <w:rsid w:val="00F30042"/>
    <w:rsid w:val="00F300A9"/>
    <w:rsid w:val="00F30169"/>
    <w:rsid w:val="00F301AE"/>
    <w:rsid w:val="00F30211"/>
    <w:rsid w:val="00F30420"/>
    <w:rsid w:val="00F30485"/>
    <w:rsid w:val="00F30653"/>
    <w:rsid w:val="00F30689"/>
    <w:rsid w:val="00F30B81"/>
    <w:rsid w:val="00F30F21"/>
    <w:rsid w:val="00F310FB"/>
    <w:rsid w:val="00F31186"/>
    <w:rsid w:val="00F31190"/>
    <w:rsid w:val="00F31297"/>
    <w:rsid w:val="00F3130D"/>
    <w:rsid w:val="00F31415"/>
    <w:rsid w:val="00F31675"/>
    <w:rsid w:val="00F3187D"/>
    <w:rsid w:val="00F31DD7"/>
    <w:rsid w:val="00F31E1E"/>
    <w:rsid w:val="00F32432"/>
    <w:rsid w:val="00F324E0"/>
    <w:rsid w:val="00F32679"/>
    <w:rsid w:val="00F32842"/>
    <w:rsid w:val="00F328D6"/>
    <w:rsid w:val="00F32981"/>
    <w:rsid w:val="00F32C5F"/>
    <w:rsid w:val="00F32E3F"/>
    <w:rsid w:val="00F32E7A"/>
    <w:rsid w:val="00F3315D"/>
    <w:rsid w:val="00F3338F"/>
    <w:rsid w:val="00F3350E"/>
    <w:rsid w:val="00F33517"/>
    <w:rsid w:val="00F335F5"/>
    <w:rsid w:val="00F3365A"/>
    <w:rsid w:val="00F336B2"/>
    <w:rsid w:val="00F33A3E"/>
    <w:rsid w:val="00F33B79"/>
    <w:rsid w:val="00F33E6F"/>
    <w:rsid w:val="00F33EFF"/>
    <w:rsid w:val="00F33FB5"/>
    <w:rsid w:val="00F33FD1"/>
    <w:rsid w:val="00F341FD"/>
    <w:rsid w:val="00F3440A"/>
    <w:rsid w:val="00F34CF3"/>
    <w:rsid w:val="00F35118"/>
    <w:rsid w:val="00F356B7"/>
    <w:rsid w:val="00F35832"/>
    <w:rsid w:val="00F35A04"/>
    <w:rsid w:val="00F35C42"/>
    <w:rsid w:val="00F35F86"/>
    <w:rsid w:val="00F360A7"/>
    <w:rsid w:val="00F36551"/>
    <w:rsid w:val="00F3669E"/>
    <w:rsid w:val="00F36822"/>
    <w:rsid w:val="00F368D9"/>
    <w:rsid w:val="00F36965"/>
    <w:rsid w:val="00F36C97"/>
    <w:rsid w:val="00F36E3E"/>
    <w:rsid w:val="00F37127"/>
    <w:rsid w:val="00F37131"/>
    <w:rsid w:val="00F37167"/>
    <w:rsid w:val="00F373EF"/>
    <w:rsid w:val="00F37469"/>
    <w:rsid w:val="00F3758B"/>
    <w:rsid w:val="00F37698"/>
    <w:rsid w:val="00F377FA"/>
    <w:rsid w:val="00F37A89"/>
    <w:rsid w:val="00F37B1E"/>
    <w:rsid w:val="00F37C47"/>
    <w:rsid w:val="00F37C6B"/>
    <w:rsid w:val="00F37CEF"/>
    <w:rsid w:val="00F402D8"/>
    <w:rsid w:val="00F4043C"/>
    <w:rsid w:val="00F404B6"/>
    <w:rsid w:val="00F4054A"/>
    <w:rsid w:val="00F40555"/>
    <w:rsid w:val="00F40617"/>
    <w:rsid w:val="00F40720"/>
    <w:rsid w:val="00F40797"/>
    <w:rsid w:val="00F40CEE"/>
    <w:rsid w:val="00F40D5E"/>
    <w:rsid w:val="00F40DFC"/>
    <w:rsid w:val="00F40E0E"/>
    <w:rsid w:val="00F410CB"/>
    <w:rsid w:val="00F41435"/>
    <w:rsid w:val="00F414F6"/>
    <w:rsid w:val="00F415D7"/>
    <w:rsid w:val="00F4176E"/>
    <w:rsid w:val="00F419B4"/>
    <w:rsid w:val="00F419EA"/>
    <w:rsid w:val="00F420FB"/>
    <w:rsid w:val="00F42117"/>
    <w:rsid w:val="00F4227B"/>
    <w:rsid w:val="00F4250F"/>
    <w:rsid w:val="00F4257B"/>
    <w:rsid w:val="00F425F4"/>
    <w:rsid w:val="00F42619"/>
    <w:rsid w:val="00F426B5"/>
    <w:rsid w:val="00F42966"/>
    <w:rsid w:val="00F42A75"/>
    <w:rsid w:val="00F42A7E"/>
    <w:rsid w:val="00F42D76"/>
    <w:rsid w:val="00F42FDB"/>
    <w:rsid w:val="00F42FF8"/>
    <w:rsid w:val="00F43126"/>
    <w:rsid w:val="00F43164"/>
    <w:rsid w:val="00F439C1"/>
    <w:rsid w:val="00F439ED"/>
    <w:rsid w:val="00F43A85"/>
    <w:rsid w:val="00F43C61"/>
    <w:rsid w:val="00F43C8A"/>
    <w:rsid w:val="00F43CC2"/>
    <w:rsid w:val="00F43D27"/>
    <w:rsid w:val="00F43EF9"/>
    <w:rsid w:val="00F43F9D"/>
    <w:rsid w:val="00F441A2"/>
    <w:rsid w:val="00F441AE"/>
    <w:rsid w:val="00F4423F"/>
    <w:rsid w:val="00F4431C"/>
    <w:rsid w:val="00F443A9"/>
    <w:rsid w:val="00F44ABB"/>
    <w:rsid w:val="00F44B4D"/>
    <w:rsid w:val="00F44B83"/>
    <w:rsid w:val="00F44DE6"/>
    <w:rsid w:val="00F44E06"/>
    <w:rsid w:val="00F44E11"/>
    <w:rsid w:val="00F4515E"/>
    <w:rsid w:val="00F4521E"/>
    <w:rsid w:val="00F45390"/>
    <w:rsid w:val="00F453D5"/>
    <w:rsid w:val="00F4541D"/>
    <w:rsid w:val="00F454A1"/>
    <w:rsid w:val="00F4556F"/>
    <w:rsid w:val="00F45574"/>
    <w:rsid w:val="00F45966"/>
    <w:rsid w:val="00F45AA5"/>
    <w:rsid w:val="00F45C60"/>
    <w:rsid w:val="00F45D8B"/>
    <w:rsid w:val="00F45FCB"/>
    <w:rsid w:val="00F467FF"/>
    <w:rsid w:val="00F4681C"/>
    <w:rsid w:val="00F46956"/>
    <w:rsid w:val="00F47146"/>
    <w:rsid w:val="00F47321"/>
    <w:rsid w:val="00F47622"/>
    <w:rsid w:val="00F4773B"/>
    <w:rsid w:val="00F47AB6"/>
    <w:rsid w:val="00F47D6A"/>
    <w:rsid w:val="00F47E3A"/>
    <w:rsid w:val="00F47EE2"/>
    <w:rsid w:val="00F501DA"/>
    <w:rsid w:val="00F5026B"/>
    <w:rsid w:val="00F50274"/>
    <w:rsid w:val="00F5058D"/>
    <w:rsid w:val="00F507C3"/>
    <w:rsid w:val="00F50820"/>
    <w:rsid w:val="00F50DAA"/>
    <w:rsid w:val="00F50E04"/>
    <w:rsid w:val="00F50E39"/>
    <w:rsid w:val="00F5105E"/>
    <w:rsid w:val="00F51187"/>
    <w:rsid w:val="00F512AF"/>
    <w:rsid w:val="00F514DF"/>
    <w:rsid w:val="00F5168A"/>
    <w:rsid w:val="00F517B2"/>
    <w:rsid w:val="00F51A4B"/>
    <w:rsid w:val="00F51C42"/>
    <w:rsid w:val="00F51DB6"/>
    <w:rsid w:val="00F51E06"/>
    <w:rsid w:val="00F52253"/>
    <w:rsid w:val="00F523E9"/>
    <w:rsid w:val="00F52747"/>
    <w:rsid w:val="00F52777"/>
    <w:rsid w:val="00F52A26"/>
    <w:rsid w:val="00F52AD2"/>
    <w:rsid w:val="00F531CB"/>
    <w:rsid w:val="00F53239"/>
    <w:rsid w:val="00F532AA"/>
    <w:rsid w:val="00F53555"/>
    <w:rsid w:val="00F535CC"/>
    <w:rsid w:val="00F535EF"/>
    <w:rsid w:val="00F53668"/>
    <w:rsid w:val="00F5382A"/>
    <w:rsid w:val="00F538C7"/>
    <w:rsid w:val="00F53A84"/>
    <w:rsid w:val="00F53F3F"/>
    <w:rsid w:val="00F54009"/>
    <w:rsid w:val="00F541CE"/>
    <w:rsid w:val="00F542D5"/>
    <w:rsid w:val="00F544E3"/>
    <w:rsid w:val="00F54B4E"/>
    <w:rsid w:val="00F54BA1"/>
    <w:rsid w:val="00F55104"/>
    <w:rsid w:val="00F557ED"/>
    <w:rsid w:val="00F5589E"/>
    <w:rsid w:val="00F558B4"/>
    <w:rsid w:val="00F55B24"/>
    <w:rsid w:val="00F55C11"/>
    <w:rsid w:val="00F55C5C"/>
    <w:rsid w:val="00F55CF0"/>
    <w:rsid w:val="00F55F81"/>
    <w:rsid w:val="00F56064"/>
    <w:rsid w:val="00F560A9"/>
    <w:rsid w:val="00F56447"/>
    <w:rsid w:val="00F5654B"/>
    <w:rsid w:val="00F56665"/>
    <w:rsid w:val="00F568FA"/>
    <w:rsid w:val="00F56A72"/>
    <w:rsid w:val="00F56BC0"/>
    <w:rsid w:val="00F56F87"/>
    <w:rsid w:val="00F57130"/>
    <w:rsid w:val="00F57175"/>
    <w:rsid w:val="00F571B2"/>
    <w:rsid w:val="00F57253"/>
    <w:rsid w:val="00F5741A"/>
    <w:rsid w:val="00F57729"/>
    <w:rsid w:val="00F57A25"/>
    <w:rsid w:val="00F57BD5"/>
    <w:rsid w:val="00F57C5D"/>
    <w:rsid w:val="00F57CB2"/>
    <w:rsid w:val="00F57D59"/>
    <w:rsid w:val="00F57D91"/>
    <w:rsid w:val="00F57ECC"/>
    <w:rsid w:val="00F600BB"/>
    <w:rsid w:val="00F600F5"/>
    <w:rsid w:val="00F60837"/>
    <w:rsid w:val="00F60885"/>
    <w:rsid w:val="00F608D0"/>
    <w:rsid w:val="00F608F9"/>
    <w:rsid w:val="00F60BCC"/>
    <w:rsid w:val="00F60BCD"/>
    <w:rsid w:val="00F60CC8"/>
    <w:rsid w:val="00F60EF9"/>
    <w:rsid w:val="00F60FFD"/>
    <w:rsid w:val="00F61237"/>
    <w:rsid w:val="00F613BD"/>
    <w:rsid w:val="00F614CA"/>
    <w:rsid w:val="00F6166B"/>
    <w:rsid w:val="00F6169F"/>
    <w:rsid w:val="00F617BB"/>
    <w:rsid w:val="00F61BF0"/>
    <w:rsid w:val="00F61E80"/>
    <w:rsid w:val="00F6215A"/>
    <w:rsid w:val="00F621EF"/>
    <w:rsid w:val="00F622AA"/>
    <w:rsid w:val="00F62352"/>
    <w:rsid w:val="00F623C7"/>
    <w:rsid w:val="00F625E6"/>
    <w:rsid w:val="00F6286B"/>
    <w:rsid w:val="00F6287C"/>
    <w:rsid w:val="00F62CB8"/>
    <w:rsid w:val="00F62EB0"/>
    <w:rsid w:val="00F630BC"/>
    <w:rsid w:val="00F63170"/>
    <w:rsid w:val="00F631CE"/>
    <w:rsid w:val="00F63886"/>
    <w:rsid w:val="00F63C6D"/>
    <w:rsid w:val="00F63DDF"/>
    <w:rsid w:val="00F63E65"/>
    <w:rsid w:val="00F6402F"/>
    <w:rsid w:val="00F64445"/>
    <w:rsid w:val="00F644E2"/>
    <w:rsid w:val="00F6456A"/>
    <w:rsid w:val="00F6487A"/>
    <w:rsid w:val="00F648AC"/>
    <w:rsid w:val="00F64970"/>
    <w:rsid w:val="00F64B83"/>
    <w:rsid w:val="00F64BDE"/>
    <w:rsid w:val="00F64E50"/>
    <w:rsid w:val="00F651B2"/>
    <w:rsid w:val="00F6522D"/>
    <w:rsid w:val="00F655D2"/>
    <w:rsid w:val="00F65800"/>
    <w:rsid w:val="00F658A2"/>
    <w:rsid w:val="00F659BC"/>
    <w:rsid w:val="00F65A35"/>
    <w:rsid w:val="00F65CD0"/>
    <w:rsid w:val="00F661B3"/>
    <w:rsid w:val="00F661EE"/>
    <w:rsid w:val="00F662C7"/>
    <w:rsid w:val="00F6635E"/>
    <w:rsid w:val="00F6656C"/>
    <w:rsid w:val="00F665A6"/>
    <w:rsid w:val="00F6666E"/>
    <w:rsid w:val="00F668E8"/>
    <w:rsid w:val="00F66DE7"/>
    <w:rsid w:val="00F66F8B"/>
    <w:rsid w:val="00F6717F"/>
    <w:rsid w:val="00F673C5"/>
    <w:rsid w:val="00F67518"/>
    <w:rsid w:val="00F6771C"/>
    <w:rsid w:val="00F677A1"/>
    <w:rsid w:val="00F677AE"/>
    <w:rsid w:val="00F67927"/>
    <w:rsid w:val="00F67C15"/>
    <w:rsid w:val="00F67CD8"/>
    <w:rsid w:val="00F67D6D"/>
    <w:rsid w:val="00F67FDE"/>
    <w:rsid w:val="00F7015C"/>
    <w:rsid w:val="00F701D0"/>
    <w:rsid w:val="00F70290"/>
    <w:rsid w:val="00F70602"/>
    <w:rsid w:val="00F70614"/>
    <w:rsid w:val="00F7068D"/>
    <w:rsid w:val="00F70C9F"/>
    <w:rsid w:val="00F70CED"/>
    <w:rsid w:val="00F70CFD"/>
    <w:rsid w:val="00F71149"/>
    <w:rsid w:val="00F71195"/>
    <w:rsid w:val="00F711AE"/>
    <w:rsid w:val="00F7125F"/>
    <w:rsid w:val="00F7136D"/>
    <w:rsid w:val="00F714FD"/>
    <w:rsid w:val="00F716A2"/>
    <w:rsid w:val="00F71AEE"/>
    <w:rsid w:val="00F71B7D"/>
    <w:rsid w:val="00F720F9"/>
    <w:rsid w:val="00F72344"/>
    <w:rsid w:val="00F72672"/>
    <w:rsid w:val="00F726E1"/>
    <w:rsid w:val="00F72A6A"/>
    <w:rsid w:val="00F72A97"/>
    <w:rsid w:val="00F72BCF"/>
    <w:rsid w:val="00F72C24"/>
    <w:rsid w:val="00F72FF7"/>
    <w:rsid w:val="00F7302C"/>
    <w:rsid w:val="00F7358D"/>
    <w:rsid w:val="00F736F8"/>
    <w:rsid w:val="00F73729"/>
    <w:rsid w:val="00F737F2"/>
    <w:rsid w:val="00F738F7"/>
    <w:rsid w:val="00F73C98"/>
    <w:rsid w:val="00F7400B"/>
    <w:rsid w:val="00F74161"/>
    <w:rsid w:val="00F74307"/>
    <w:rsid w:val="00F7470E"/>
    <w:rsid w:val="00F7473D"/>
    <w:rsid w:val="00F747C6"/>
    <w:rsid w:val="00F7480F"/>
    <w:rsid w:val="00F7486D"/>
    <w:rsid w:val="00F74F52"/>
    <w:rsid w:val="00F74FD4"/>
    <w:rsid w:val="00F75050"/>
    <w:rsid w:val="00F751DF"/>
    <w:rsid w:val="00F75213"/>
    <w:rsid w:val="00F75224"/>
    <w:rsid w:val="00F7539C"/>
    <w:rsid w:val="00F753C6"/>
    <w:rsid w:val="00F7548B"/>
    <w:rsid w:val="00F755CC"/>
    <w:rsid w:val="00F75AC2"/>
    <w:rsid w:val="00F75EDA"/>
    <w:rsid w:val="00F75F14"/>
    <w:rsid w:val="00F75F2B"/>
    <w:rsid w:val="00F7603C"/>
    <w:rsid w:val="00F762D0"/>
    <w:rsid w:val="00F76B4A"/>
    <w:rsid w:val="00F76E12"/>
    <w:rsid w:val="00F76EBD"/>
    <w:rsid w:val="00F76F35"/>
    <w:rsid w:val="00F7702A"/>
    <w:rsid w:val="00F77500"/>
    <w:rsid w:val="00F77507"/>
    <w:rsid w:val="00F777DA"/>
    <w:rsid w:val="00F7784F"/>
    <w:rsid w:val="00F778CC"/>
    <w:rsid w:val="00F778EC"/>
    <w:rsid w:val="00F77B4C"/>
    <w:rsid w:val="00F77BC3"/>
    <w:rsid w:val="00F77DBB"/>
    <w:rsid w:val="00F77DBC"/>
    <w:rsid w:val="00F8018B"/>
    <w:rsid w:val="00F803B7"/>
    <w:rsid w:val="00F803FC"/>
    <w:rsid w:val="00F8053E"/>
    <w:rsid w:val="00F805A5"/>
    <w:rsid w:val="00F805E0"/>
    <w:rsid w:val="00F80638"/>
    <w:rsid w:val="00F807B1"/>
    <w:rsid w:val="00F80EA0"/>
    <w:rsid w:val="00F81250"/>
    <w:rsid w:val="00F81340"/>
    <w:rsid w:val="00F815A9"/>
    <w:rsid w:val="00F81800"/>
    <w:rsid w:val="00F818CB"/>
    <w:rsid w:val="00F81ADB"/>
    <w:rsid w:val="00F81BF4"/>
    <w:rsid w:val="00F81FDF"/>
    <w:rsid w:val="00F823A8"/>
    <w:rsid w:val="00F823E3"/>
    <w:rsid w:val="00F824D5"/>
    <w:rsid w:val="00F8271A"/>
    <w:rsid w:val="00F828EA"/>
    <w:rsid w:val="00F82B75"/>
    <w:rsid w:val="00F82D7E"/>
    <w:rsid w:val="00F83132"/>
    <w:rsid w:val="00F83140"/>
    <w:rsid w:val="00F8326E"/>
    <w:rsid w:val="00F83397"/>
    <w:rsid w:val="00F833B9"/>
    <w:rsid w:val="00F834BD"/>
    <w:rsid w:val="00F83824"/>
    <w:rsid w:val="00F83922"/>
    <w:rsid w:val="00F83B6A"/>
    <w:rsid w:val="00F83C14"/>
    <w:rsid w:val="00F83C39"/>
    <w:rsid w:val="00F83D8D"/>
    <w:rsid w:val="00F83ED7"/>
    <w:rsid w:val="00F8401A"/>
    <w:rsid w:val="00F8424B"/>
    <w:rsid w:val="00F84397"/>
    <w:rsid w:val="00F84766"/>
    <w:rsid w:val="00F84805"/>
    <w:rsid w:val="00F85178"/>
    <w:rsid w:val="00F852AD"/>
    <w:rsid w:val="00F8532C"/>
    <w:rsid w:val="00F85551"/>
    <w:rsid w:val="00F8563C"/>
    <w:rsid w:val="00F85648"/>
    <w:rsid w:val="00F859A1"/>
    <w:rsid w:val="00F85A3B"/>
    <w:rsid w:val="00F861F2"/>
    <w:rsid w:val="00F8629E"/>
    <w:rsid w:val="00F862FF"/>
    <w:rsid w:val="00F8631E"/>
    <w:rsid w:val="00F865B7"/>
    <w:rsid w:val="00F867A7"/>
    <w:rsid w:val="00F867B9"/>
    <w:rsid w:val="00F86A02"/>
    <w:rsid w:val="00F86D55"/>
    <w:rsid w:val="00F86E1C"/>
    <w:rsid w:val="00F86EE3"/>
    <w:rsid w:val="00F871B9"/>
    <w:rsid w:val="00F876DE"/>
    <w:rsid w:val="00F87997"/>
    <w:rsid w:val="00F879D7"/>
    <w:rsid w:val="00F87F4A"/>
    <w:rsid w:val="00F905F6"/>
    <w:rsid w:val="00F90884"/>
    <w:rsid w:val="00F90A45"/>
    <w:rsid w:val="00F90AE9"/>
    <w:rsid w:val="00F90B5B"/>
    <w:rsid w:val="00F90F64"/>
    <w:rsid w:val="00F90F79"/>
    <w:rsid w:val="00F91131"/>
    <w:rsid w:val="00F9124B"/>
    <w:rsid w:val="00F912B4"/>
    <w:rsid w:val="00F915BA"/>
    <w:rsid w:val="00F91A50"/>
    <w:rsid w:val="00F91AFC"/>
    <w:rsid w:val="00F91EAB"/>
    <w:rsid w:val="00F92007"/>
    <w:rsid w:val="00F920C4"/>
    <w:rsid w:val="00F922F0"/>
    <w:rsid w:val="00F923DF"/>
    <w:rsid w:val="00F92554"/>
    <w:rsid w:val="00F926B1"/>
    <w:rsid w:val="00F927F0"/>
    <w:rsid w:val="00F92BD3"/>
    <w:rsid w:val="00F92EC7"/>
    <w:rsid w:val="00F92FE7"/>
    <w:rsid w:val="00F930C8"/>
    <w:rsid w:val="00F93176"/>
    <w:rsid w:val="00F931EE"/>
    <w:rsid w:val="00F932B6"/>
    <w:rsid w:val="00F933C7"/>
    <w:rsid w:val="00F9350D"/>
    <w:rsid w:val="00F937D3"/>
    <w:rsid w:val="00F9393A"/>
    <w:rsid w:val="00F93A1C"/>
    <w:rsid w:val="00F93A62"/>
    <w:rsid w:val="00F93A9F"/>
    <w:rsid w:val="00F93FEA"/>
    <w:rsid w:val="00F94201"/>
    <w:rsid w:val="00F944B3"/>
    <w:rsid w:val="00F94531"/>
    <w:rsid w:val="00F945CB"/>
    <w:rsid w:val="00F94890"/>
    <w:rsid w:val="00F94A24"/>
    <w:rsid w:val="00F94C0C"/>
    <w:rsid w:val="00F94CE7"/>
    <w:rsid w:val="00F94D5B"/>
    <w:rsid w:val="00F94ED5"/>
    <w:rsid w:val="00F950F7"/>
    <w:rsid w:val="00F9512B"/>
    <w:rsid w:val="00F95400"/>
    <w:rsid w:val="00F954CE"/>
    <w:rsid w:val="00F95537"/>
    <w:rsid w:val="00F95816"/>
    <w:rsid w:val="00F95B2E"/>
    <w:rsid w:val="00F95B96"/>
    <w:rsid w:val="00F95E2C"/>
    <w:rsid w:val="00F9606E"/>
    <w:rsid w:val="00F961A3"/>
    <w:rsid w:val="00F963B0"/>
    <w:rsid w:val="00F96426"/>
    <w:rsid w:val="00F9652F"/>
    <w:rsid w:val="00F9666B"/>
    <w:rsid w:val="00F9675E"/>
    <w:rsid w:val="00F96827"/>
    <w:rsid w:val="00F96873"/>
    <w:rsid w:val="00F96965"/>
    <w:rsid w:val="00F96D0E"/>
    <w:rsid w:val="00F970D1"/>
    <w:rsid w:val="00F970EE"/>
    <w:rsid w:val="00F97131"/>
    <w:rsid w:val="00F9730B"/>
    <w:rsid w:val="00F973B9"/>
    <w:rsid w:val="00F9765E"/>
    <w:rsid w:val="00F97792"/>
    <w:rsid w:val="00F97B31"/>
    <w:rsid w:val="00F97BEF"/>
    <w:rsid w:val="00F97CD5"/>
    <w:rsid w:val="00F97D98"/>
    <w:rsid w:val="00F97E0E"/>
    <w:rsid w:val="00FA0338"/>
    <w:rsid w:val="00FA0474"/>
    <w:rsid w:val="00FA0499"/>
    <w:rsid w:val="00FA051D"/>
    <w:rsid w:val="00FA05A2"/>
    <w:rsid w:val="00FA08F8"/>
    <w:rsid w:val="00FA0B4C"/>
    <w:rsid w:val="00FA13FE"/>
    <w:rsid w:val="00FA1408"/>
    <w:rsid w:val="00FA14A2"/>
    <w:rsid w:val="00FA1585"/>
    <w:rsid w:val="00FA17D9"/>
    <w:rsid w:val="00FA18E7"/>
    <w:rsid w:val="00FA1E0C"/>
    <w:rsid w:val="00FA1E75"/>
    <w:rsid w:val="00FA1F5C"/>
    <w:rsid w:val="00FA2045"/>
    <w:rsid w:val="00FA207A"/>
    <w:rsid w:val="00FA20FC"/>
    <w:rsid w:val="00FA21E0"/>
    <w:rsid w:val="00FA248A"/>
    <w:rsid w:val="00FA256B"/>
    <w:rsid w:val="00FA264D"/>
    <w:rsid w:val="00FA2757"/>
    <w:rsid w:val="00FA2D2A"/>
    <w:rsid w:val="00FA2EFB"/>
    <w:rsid w:val="00FA2F23"/>
    <w:rsid w:val="00FA3213"/>
    <w:rsid w:val="00FA32F3"/>
    <w:rsid w:val="00FA33A9"/>
    <w:rsid w:val="00FA33EF"/>
    <w:rsid w:val="00FA3914"/>
    <w:rsid w:val="00FA39C2"/>
    <w:rsid w:val="00FA3A81"/>
    <w:rsid w:val="00FA3D36"/>
    <w:rsid w:val="00FA3D39"/>
    <w:rsid w:val="00FA405F"/>
    <w:rsid w:val="00FA42DA"/>
    <w:rsid w:val="00FA4687"/>
    <w:rsid w:val="00FA4928"/>
    <w:rsid w:val="00FA49A5"/>
    <w:rsid w:val="00FA4B18"/>
    <w:rsid w:val="00FA527C"/>
    <w:rsid w:val="00FA52E7"/>
    <w:rsid w:val="00FA52E8"/>
    <w:rsid w:val="00FA5553"/>
    <w:rsid w:val="00FA5837"/>
    <w:rsid w:val="00FA585F"/>
    <w:rsid w:val="00FA58E9"/>
    <w:rsid w:val="00FA5962"/>
    <w:rsid w:val="00FA59F7"/>
    <w:rsid w:val="00FA5AB1"/>
    <w:rsid w:val="00FA5B49"/>
    <w:rsid w:val="00FA5C41"/>
    <w:rsid w:val="00FA5F4F"/>
    <w:rsid w:val="00FA68D9"/>
    <w:rsid w:val="00FA68ED"/>
    <w:rsid w:val="00FA6CC5"/>
    <w:rsid w:val="00FA6CF8"/>
    <w:rsid w:val="00FA6E05"/>
    <w:rsid w:val="00FA70C1"/>
    <w:rsid w:val="00FA733B"/>
    <w:rsid w:val="00FA75EA"/>
    <w:rsid w:val="00FA764C"/>
    <w:rsid w:val="00FA7CC3"/>
    <w:rsid w:val="00FA7CF9"/>
    <w:rsid w:val="00FA7CFB"/>
    <w:rsid w:val="00FA7F1E"/>
    <w:rsid w:val="00FB01FE"/>
    <w:rsid w:val="00FB04D1"/>
    <w:rsid w:val="00FB089B"/>
    <w:rsid w:val="00FB0927"/>
    <w:rsid w:val="00FB0A83"/>
    <w:rsid w:val="00FB0AB2"/>
    <w:rsid w:val="00FB0B5E"/>
    <w:rsid w:val="00FB0C72"/>
    <w:rsid w:val="00FB0FAD"/>
    <w:rsid w:val="00FB109B"/>
    <w:rsid w:val="00FB12D1"/>
    <w:rsid w:val="00FB1631"/>
    <w:rsid w:val="00FB2229"/>
    <w:rsid w:val="00FB226B"/>
    <w:rsid w:val="00FB236D"/>
    <w:rsid w:val="00FB273A"/>
    <w:rsid w:val="00FB2A73"/>
    <w:rsid w:val="00FB2C5C"/>
    <w:rsid w:val="00FB2CC9"/>
    <w:rsid w:val="00FB2D6D"/>
    <w:rsid w:val="00FB2D9F"/>
    <w:rsid w:val="00FB2E08"/>
    <w:rsid w:val="00FB3459"/>
    <w:rsid w:val="00FB359F"/>
    <w:rsid w:val="00FB3811"/>
    <w:rsid w:val="00FB38E8"/>
    <w:rsid w:val="00FB3961"/>
    <w:rsid w:val="00FB3AB3"/>
    <w:rsid w:val="00FB3B23"/>
    <w:rsid w:val="00FB3BDE"/>
    <w:rsid w:val="00FB3C3D"/>
    <w:rsid w:val="00FB3D31"/>
    <w:rsid w:val="00FB3D3C"/>
    <w:rsid w:val="00FB4176"/>
    <w:rsid w:val="00FB425E"/>
    <w:rsid w:val="00FB46A5"/>
    <w:rsid w:val="00FB4822"/>
    <w:rsid w:val="00FB4B34"/>
    <w:rsid w:val="00FB4C1F"/>
    <w:rsid w:val="00FB4C30"/>
    <w:rsid w:val="00FB4CCD"/>
    <w:rsid w:val="00FB4D27"/>
    <w:rsid w:val="00FB5155"/>
    <w:rsid w:val="00FB5263"/>
    <w:rsid w:val="00FB5649"/>
    <w:rsid w:val="00FB5746"/>
    <w:rsid w:val="00FB59C7"/>
    <w:rsid w:val="00FB5B1A"/>
    <w:rsid w:val="00FB5D6D"/>
    <w:rsid w:val="00FB5EF8"/>
    <w:rsid w:val="00FB5FC0"/>
    <w:rsid w:val="00FB6523"/>
    <w:rsid w:val="00FB671F"/>
    <w:rsid w:val="00FB68D1"/>
    <w:rsid w:val="00FB6989"/>
    <w:rsid w:val="00FB698C"/>
    <w:rsid w:val="00FB6CA9"/>
    <w:rsid w:val="00FB6D15"/>
    <w:rsid w:val="00FB6EA5"/>
    <w:rsid w:val="00FB702F"/>
    <w:rsid w:val="00FB72B1"/>
    <w:rsid w:val="00FB7426"/>
    <w:rsid w:val="00FB79A8"/>
    <w:rsid w:val="00FB7AF3"/>
    <w:rsid w:val="00FB7FA1"/>
    <w:rsid w:val="00FC019E"/>
    <w:rsid w:val="00FC05A9"/>
    <w:rsid w:val="00FC05C1"/>
    <w:rsid w:val="00FC0A43"/>
    <w:rsid w:val="00FC0C02"/>
    <w:rsid w:val="00FC0CFF"/>
    <w:rsid w:val="00FC0F7D"/>
    <w:rsid w:val="00FC10C7"/>
    <w:rsid w:val="00FC117F"/>
    <w:rsid w:val="00FC11F0"/>
    <w:rsid w:val="00FC1435"/>
    <w:rsid w:val="00FC144D"/>
    <w:rsid w:val="00FC15EA"/>
    <w:rsid w:val="00FC1695"/>
    <w:rsid w:val="00FC1898"/>
    <w:rsid w:val="00FC1B19"/>
    <w:rsid w:val="00FC1FEF"/>
    <w:rsid w:val="00FC22A0"/>
    <w:rsid w:val="00FC22BF"/>
    <w:rsid w:val="00FC23DA"/>
    <w:rsid w:val="00FC247A"/>
    <w:rsid w:val="00FC24B3"/>
    <w:rsid w:val="00FC2769"/>
    <w:rsid w:val="00FC2984"/>
    <w:rsid w:val="00FC2B37"/>
    <w:rsid w:val="00FC2C6C"/>
    <w:rsid w:val="00FC2D04"/>
    <w:rsid w:val="00FC3069"/>
    <w:rsid w:val="00FC30ED"/>
    <w:rsid w:val="00FC3100"/>
    <w:rsid w:val="00FC3405"/>
    <w:rsid w:val="00FC34AF"/>
    <w:rsid w:val="00FC350D"/>
    <w:rsid w:val="00FC3548"/>
    <w:rsid w:val="00FC3954"/>
    <w:rsid w:val="00FC3BCA"/>
    <w:rsid w:val="00FC3D0F"/>
    <w:rsid w:val="00FC3FC9"/>
    <w:rsid w:val="00FC3FE7"/>
    <w:rsid w:val="00FC40A5"/>
    <w:rsid w:val="00FC40A7"/>
    <w:rsid w:val="00FC4385"/>
    <w:rsid w:val="00FC456E"/>
    <w:rsid w:val="00FC47E2"/>
    <w:rsid w:val="00FC493E"/>
    <w:rsid w:val="00FC4D4A"/>
    <w:rsid w:val="00FC4F76"/>
    <w:rsid w:val="00FC5127"/>
    <w:rsid w:val="00FC51F7"/>
    <w:rsid w:val="00FC5323"/>
    <w:rsid w:val="00FC54F2"/>
    <w:rsid w:val="00FC56B8"/>
    <w:rsid w:val="00FC5726"/>
    <w:rsid w:val="00FC598F"/>
    <w:rsid w:val="00FC5BD2"/>
    <w:rsid w:val="00FC5C0B"/>
    <w:rsid w:val="00FC5C89"/>
    <w:rsid w:val="00FC5E17"/>
    <w:rsid w:val="00FC6067"/>
    <w:rsid w:val="00FC60C4"/>
    <w:rsid w:val="00FC625B"/>
    <w:rsid w:val="00FC645C"/>
    <w:rsid w:val="00FC66AB"/>
    <w:rsid w:val="00FC6734"/>
    <w:rsid w:val="00FC6777"/>
    <w:rsid w:val="00FC67EE"/>
    <w:rsid w:val="00FC6AB5"/>
    <w:rsid w:val="00FC6B73"/>
    <w:rsid w:val="00FC6C57"/>
    <w:rsid w:val="00FC6D3D"/>
    <w:rsid w:val="00FC6EEA"/>
    <w:rsid w:val="00FC7021"/>
    <w:rsid w:val="00FC73A7"/>
    <w:rsid w:val="00FC7483"/>
    <w:rsid w:val="00FC749A"/>
    <w:rsid w:val="00FC7507"/>
    <w:rsid w:val="00FC751D"/>
    <w:rsid w:val="00FC7669"/>
    <w:rsid w:val="00FC76A8"/>
    <w:rsid w:val="00FC780B"/>
    <w:rsid w:val="00FC781F"/>
    <w:rsid w:val="00FC78A6"/>
    <w:rsid w:val="00FC79ED"/>
    <w:rsid w:val="00FC7A0C"/>
    <w:rsid w:val="00FC7D6B"/>
    <w:rsid w:val="00FD015C"/>
    <w:rsid w:val="00FD02E4"/>
    <w:rsid w:val="00FD0455"/>
    <w:rsid w:val="00FD065C"/>
    <w:rsid w:val="00FD0740"/>
    <w:rsid w:val="00FD0A0D"/>
    <w:rsid w:val="00FD0A76"/>
    <w:rsid w:val="00FD0D15"/>
    <w:rsid w:val="00FD0FF0"/>
    <w:rsid w:val="00FD10D3"/>
    <w:rsid w:val="00FD1149"/>
    <w:rsid w:val="00FD195C"/>
    <w:rsid w:val="00FD1A02"/>
    <w:rsid w:val="00FD1CF6"/>
    <w:rsid w:val="00FD1D57"/>
    <w:rsid w:val="00FD1E05"/>
    <w:rsid w:val="00FD20A7"/>
    <w:rsid w:val="00FD21BD"/>
    <w:rsid w:val="00FD227B"/>
    <w:rsid w:val="00FD2376"/>
    <w:rsid w:val="00FD2429"/>
    <w:rsid w:val="00FD24F7"/>
    <w:rsid w:val="00FD2563"/>
    <w:rsid w:val="00FD262A"/>
    <w:rsid w:val="00FD2860"/>
    <w:rsid w:val="00FD2A08"/>
    <w:rsid w:val="00FD2A3D"/>
    <w:rsid w:val="00FD2A61"/>
    <w:rsid w:val="00FD2BE2"/>
    <w:rsid w:val="00FD2BFF"/>
    <w:rsid w:val="00FD2D12"/>
    <w:rsid w:val="00FD2D18"/>
    <w:rsid w:val="00FD2EC8"/>
    <w:rsid w:val="00FD3131"/>
    <w:rsid w:val="00FD315D"/>
    <w:rsid w:val="00FD3281"/>
    <w:rsid w:val="00FD33F3"/>
    <w:rsid w:val="00FD35D0"/>
    <w:rsid w:val="00FD36E4"/>
    <w:rsid w:val="00FD383D"/>
    <w:rsid w:val="00FD3890"/>
    <w:rsid w:val="00FD3B79"/>
    <w:rsid w:val="00FD3BC0"/>
    <w:rsid w:val="00FD3D65"/>
    <w:rsid w:val="00FD3E91"/>
    <w:rsid w:val="00FD3EB0"/>
    <w:rsid w:val="00FD3EFD"/>
    <w:rsid w:val="00FD4396"/>
    <w:rsid w:val="00FD4513"/>
    <w:rsid w:val="00FD46B4"/>
    <w:rsid w:val="00FD4710"/>
    <w:rsid w:val="00FD4847"/>
    <w:rsid w:val="00FD490D"/>
    <w:rsid w:val="00FD52D2"/>
    <w:rsid w:val="00FD5894"/>
    <w:rsid w:val="00FD5CF5"/>
    <w:rsid w:val="00FD5D5A"/>
    <w:rsid w:val="00FD5F65"/>
    <w:rsid w:val="00FD655D"/>
    <w:rsid w:val="00FD6A75"/>
    <w:rsid w:val="00FD6F08"/>
    <w:rsid w:val="00FD6F2E"/>
    <w:rsid w:val="00FD6FFB"/>
    <w:rsid w:val="00FD70BF"/>
    <w:rsid w:val="00FD70D2"/>
    <w:rsid w:val="00FD71BB"/>
    <w:rsid w:val="00FD729C"/>
    <w:rsid w:val="00FD7548"/>
    <w:rsid w:val="00FD759E"/>
    <w:rsid w:val="00FD7658"/>
    <w:rsid w:val="00FD771E"/>
    <w:rsid w:val="00FD7C39"/>
    <w:rsid w:val="00FD7D7D"/>
    <w:rsid w:val="00FE0135"/>
    <w:rsid w:val="00FE019E"/>
    <w:rsid w:val="00FE0409"/>
    <w:rsid w:val="00FE0952"/>
    <w:rsid w:val="00FE13C7"/>
    <w:rsid w:val="00FE14CF"/>
    <w:rsid w:val="00FE14F8"/>
    <w:rsid w:val="00FE15A9"/>
    <w:rsid w:val="00FE1693"/>
    <w:rsid w:val="00FE1A2D"/>
    <w:rsid w:val="00FE1CE1"/>
    <w:rsid w:val="00FE1ED6"/>
    <w:rsid w:val="00FE1FA5"/>
    <w:rsid w:val="00FE2028"/>
    <w:rsid w:val="00FE212D"/>
    <w:rsid w:val="00FE21A2"/>
    <w:rsid w:val="00FE22AA"/>
    <w:rsid w:val="00FE2385"/>
    <w:rsid w:val="00FE23C7"/>
    <w:rsid w:val="00FE2AC6"/>
    <w:rsid w:val="00FE31E3"/>
    <w:rsid w:val="00FE33F1"/>
    <w:rsid w:val="00FE37F0"/>
    <w:rsid w:val="00FE3884"/>
    <w:rsid w:val="00FE3A73"/>
    <w:rsid w:val="00FE3BBC"/>
    <w:rsid w:val="00FE409E"/>
    <w:rsid w:val="00FE4238"/>
    <w:rsid w:val="00FE42F2"/>
    <w:rsid w:val="00FE43DF"/>
    <w:rsid w:val="00FE4439"/>
    <w:rsid w:val="00FE46C7"/>
    <w:rsid w:val="00FE472E"/>
    <w:rsid w:val="00FE4CBF"/>
    <w:rsid w:val="00FE4D20"/>
    <w:rsid w:val="00FE4EDF"/>
    <w:rsid w:val="00FE508F"/>
    <w:rsid w:val="00FE50BB"/>
    <w:rsid w:val="00FE511C"/>
    <w:rsid w:val="00FE518C"/>
    <w:rsid w:val="00FE5325"/>
    <w:rsid w:val="00FE5336"/>
    <w:rsid w:val="00FE53A0"/>
    <w:rsid w:val="00FE5448"/>
    <w:rsid w:val="00FE54EF"/>
    <w:rsid w:val="00FE5655"/>
    <w:rsid w:val="00FE5ADE"/>
    <w:rsid w:val="00FE5CE2"/>
    <w:rsid w:val="00FE5E2A"/>
    <w:rsid w:val="00FE60F2"/>
    <w:rsid w:val="00FE6105"/>
    <w:rsid w:val="00FE6281"/>
    <w:rsid w:val="00FE629B"/>
    <w:rsid w:val="00FE6825"/>
    <w:rsid w:val="00FE6E94"/>
    <w:rsid w:val="00FE72B7"/>
    <w:rsid w:val="00FE7325"/>
    <w:rsid w:val="00FE7424"/>
    <w:rsid w:val="00FE755C"/>
    <w:rsid w:val="00FE7665"/>
    <w:rsid w:val="00FE774A"/>
    <w:rsid w:val="00FE77B0"/>
    <w:rsid w:val="00FE7870"/>
    <w:rsid w:val="00FE7943"/>
    <w:rsid w:val="00FE7ACA"/>
    <w:rsid w:val="00FE7B66"/>
    <w:rsid w:val="00FE7FF2"/>
    <w:rsid w:val="00FF002B"/>
    <w:rsid w:val="00FF00CB"/>
    <w:rsid w:val="00FF00FE"/>
    <w:rsid w:val="00FF0141"/>
    <w:rsid w:val="00FF03FF"/>
    <w:rsid w:val="00FF040E"/>
    <w:rsid w:val="00FF0485"/>
    <w:rsid w:val="00FF0860"/>
    <w:rsid w:val="00FF08FA"/>
    <w:rsid w:val="00FF0AAF"/>
    <w:rsid w:val="00FF0AFC"/>
    <w:rsid w:val="00FF0C86"/>
    <w:rsid w:val="00FF0C90"/>
    <w:rsid w:val="00FF0E37"/>
    <w:rsid w:val="00FF13B3"/>
    <w:rsid w:val="00FF1514"/>
    <w:rsid w:val="00FF1594"/>
    <w:rsid w:val="00FF1747"/>
    <w:rsid w:val="00FF1994"/>
    <w:rsid w:val="00FF1B6B"/>
    <w:rsid w:val="00FF1C2A"/>
    <w:rsid w:val="00FF1D45"/>
    <w:rsid w:val="00FF1FEB"/>
    <w:rsid w:val="00FF2174"/>
    <w:rsid w:val="00FF2493"/>
    <w:rsid w:val="00FF289D"/>
    <w:rsid w:val="00FF2A03"/>
    <w:rsid w:val="00FF2BAB"/>
    <w:rsid w:val="00FF2D56"/>
    <w:rsid w:val="00FF2F2E"/>
    <w:rsid w:val="00FF30B4"/>
    <w:rsid w:val="00FF31ED"/>
    <w:rsid w:val="00FF3385"/>
    <w:rsid w:val="00FF35A3"/>
    <w:rsid w:val="00FF377F"/>
    <w:rsid w:val="00FF3797"/>
    <w:rsid w:val="00FF3972"/>
    <w:rsid w:val="00FF41AC"/>
    <w:rsid w:val="00FF454A"/>
    <w:rsid w:val="00FF47AF"/>
    <w:rsid w:val="00FF47D4"/>
    <w:rsid w:val="00FF4CAC"/>
    <w:rsid w:val="00FF4CCB"/>
    <w:rsid w:val="00FF4EFB"/>
    <w:rsid w:val="00FF5304"/>
    <w:rsid w:val="00FF5310"/>
    <w:rsid w:val="00FF557D"/>
    <w:rsid w:val="00FF5703"/>
    <w:rsid w:val="00FF5CD4"/>
    <w:rsid w:val="00FF6055"/>
    <w:rsid w:val="00FF6453"/>
    <w:rsid w:val="00FF650C"/>
    <w:rsid w:val="00FF653F"/>
    <w:rsid w:val="00FF6865"/>
    <w:rsid w:val="00FF68EC"/>
    <w:rsid w:val="00FF6989"/>
    <w:rsid w:val="00FF6A42"/>
    <w:rsid w:val="00FF6C19"/>
    <w:rsid w:val="00FF6D96"/>
    <w:rsid w:val="00FF6E76"/>
    <w:rsid w:val="00FF7294"/>
    <w:rsid w:val="00FF72F9"/>
    <w:rsid w:val="00FF74AB"/>
    <w:rsid w:val="00FF7567"/>
    <w:rsid w:val="00FF76F5"/>
    <w:rsid w:val="00FF7BF6"/>
    <w:rsid w:val="00FF7D04"/>
    <w:rsid w:val="00FF7F36"/>
    <w:rsid w:val="013A6F99"/>
    <w:rsid w:val="013CA19D"/>
    <w:rsid w:val="013CC88A"/>
    <w:rsid w:val="0166D4AF"/>
    <w:rsid w:val="0176FE29"/>
    <w:rsid w:val="0178FB4A"/>
    <w:rsid w:val="0183A2D6"/>
    <w:rsid w:val="018B80E4"/>
    <w:rsid w:val="01C95135"/>
    <w:rsid w:val="01DDE22B"/>
    <w:rsid w:val="01F4CEA2"/>
    <w:rsid w:val="0201596C"/>
    <w:rsid w:val="021172E4"/>
    <w:rsid w:val="02199586"/>
    <w:rsid w:val="0221F6C0"/>
    <w:rsid w:val="0245D2B2"/>
    <w:rsid w:val="025532CD"/>
    <w:rsid w:val="0258E7AE"/>
    <w:rsid w:val="02597262"/>
    <w:rsid w:val="026886E5"/>
    <w:rsid w:val="026A796E"/>
    <w:rsid w:val="0271A43A"/>
    <w:rsid w:val="02C19AA8"/>
    <w:rsid w:val="02E1E69F"/>
    <w:rsid w:val="02E9F148"/>
    <w:rsid w:val="03118CF2"/>
    <w:rsid w:val="031A5C46"/>
    <w:rsid w:val="032FE3C8"/>
    <w:rsid w:val="03793D73"/>
    <w:rsid w:val="037B1291"/>
    <w:rsid w:val="03C4A463"/>
    <w:rsid w:val="03CE18BA"/>
    <w:rsid w:val="03FD0732"/>
    <w:rsid w:val="03FD1676"/>
    <w:rsid w:val="040C89C8"/>
    <w:rsid w:val="041246E1"/>
    <w:rsid w:val="041B4976"/>
    <w:rsid w:val="043C6686"/>
    <w:rsid w:val="04566FB5"/>
    <w:rsid w:val="04581E96"/>
    <w:rsid w:val="04590285"/>
    <w:rsid w:val="0475942D"/>
    <w:rsid w:val="047D9335"/>
    <w:rsid w:val="04842791"/>
    <w:rsid w:val="0485B515"/>
    <w:rsid w:val="04941915"/>
    <w:rsid w:val="04A481E0"/>
    <w:rsid w:val="04A94549"/>
    <w:rsid w:val="04BE887E"/>
    <w:rsid w:val="04F63928"/>
    <w:rsid w:val="0508DFEB"/>
    <w:rsid w:val="05106D66"/>
    <w:rsid w:val="055BFE13"/>
    <w:rsid w:val="0570657D"/>
    <w:rsid w:val="057CFFFA"/>
    <w:rsid w:val="059E11AF"/>
    <w:rsid w:val="05A523C8"/>
    <w:rsid w:val="05B9D0FF"/>
    <w:rsid w:val="05BBEE86"/>
    <w:rsid w:val="05BE7C79"/>
    <w:rsid w:val="05C38D9C"/>
    <w:rsid w:val="05FDD491"/>
    <w:rsid w:val="06129FB0"/>
    <w:rsid w:val="0613A858"/>
    <w:rsid w:val="062DB060"/>
    <w:rsid w:val="06450E00"/>
    <w:rsid w:val="064BD556"/>
    <w:rsid w:val="06630368"/>
    <w:rsid w:val="0671F6B5"/>
    <w:rsid w:val="068B3431"/>
    <w:rsid w:val="069B9B0D"/>
    <w:rsid w:val="06BB8C20"/>
    <w:rsid w:val="06BF14FB"/>
    <w:rsid w:val="06DC4EC5"/>
    <w:rsid w:val="06E22332"/>
    <w:rsid w:val="07154658"/>
    <w:rsid w:val="0719F53B"/>
    <w:rsid w:val="072CA60A"/>
    <w:rsid w:val="07544A49"/>
    <w:rsid w:val="07713ED8"/>
    <w:rsid w:val="07796199"/>
    <w:rsid w:val="0783FDF1"/>
    <w:rsid w:val="0787B857"/>
    <w:rsid w:val="07ABAB2E"/>
    <w:rsid w:val="07BC6B47"/>
    <w:rsid w:val="07BCE5FD"/>
    <w:rsid w:val="07C76D49"/>
    <w:rsid w:val="081F959E"/>
    <w:rsid w:val="0827D78D"/>
    <w:rsid w:val="0881E1C5"/>
    <w:rsid w:val="088F6425"/>
    <w:rsid w:val="089936E2"/>
    <w:rsid w:val="08AEA7ED"/>
    <w:rsid w:val="08AEAFA5"/>
    <w:rsid w:val="08B21337"/>
    <w:rsid w:val="08B8076D"/>
    <w:rsid w:val="08DC7706"/>
    <w:rsid w:val="090B0F27"/>
    <w:rsid w:val="090CD342"/>
    <w:rsid w:val="091A7617"/>
    <w:rsid w:val="093B9897"/>
    <w:rsid w:val="095298EE"/>
    <w:rsid w:val="098814DA"/>
    <w:rsid w:val="0989DE0B"/>
    <w:rsid w:val="099EB5EB"/>
    <w:rsid w:val="09A5CC31"/>
    <w:rsid w:val="09A74639"/>
    <w:rsid w:val="09B94FC5"/>
    <w:rsid w:val="0A01C092"/>
    <w:rsid w:val="0A02324C"/>
    <w:rsid w:val="0A0FD98F"/>
    <w:rsid w:val="0A325D10"/>
    <w:rsid w:val="0A48FA9B"/>
    <w:rsid w:val="0A570AC3"/>
    <w:rsid w:val="0A68F1EB"/>
    <w:rsid w:val="0A8B135F"/>
    <w:rsid w:val="0A8E0757"/>
    <w:rsid w:val="0A946A93"/>
    <w:rsid w:val="0A98811A"/>
    <w:rsid w:val="0A9B15D8"/>
    <w:rsid w:val="0AB8CD99"/>
    <w:rsid w:val="0AC0EC4F"/>
    <w:rsid w:val="0AC732F6"/>
    <w:rsid w:val="0AD7BF46"/>
    <w:rsid w:val="0B0143BF"/>
    <w:rsid w:val="0B18583A"/>
    <w:rsid w:val="0B5CD2E0"/>
    <w:rsid w:val="0B670F74"/>
    <w:rsid w:val="0B78C900"/>
    <w:rsid w:val="0BB912A9"/>
    <w:rsid w:val="0BF9A211"/>
    <w:rsid w:val="0BFB5125"/>
    <w:rsid w:val="0C0D2947"/>
    <w:rsid w:val="0C2152C5"/>
    <w:rsid w:val="0C26E8BE"/>
    <w:rsid w:val="0C364D11"/>
    <w:rsid w:val="0C385AE7"/>
    <w:rsid w:val="0C3C204A"/>
    <w:rsid w:val="0C3CA18F"/>
    <w:rsid w:val="0C3D375E"/>
    <w:rsid w:val="0C5D6E6E"/>
    <w:rsid w:val="0C664FA6"/>
    <w:rsid w:val="0C8F2F9E"/>
    <w:rsid w:val="0CA48E48"/>
    <w:rsid w:val="0CB50093"/>
    <w:rsid w:val="0CBBBC1B"/>
    <w:rsid w:val="0CC400C5"/>
    <w:rsid w:val="0CDBB728"/>
    <w:rsid w:val="0D033375"/>
    <w:rsid w:val="0D26C148"/>
    <w:rsid w:val="0D2F3197"/>
    <w:rsid w:val="0D41EE3B"/>
    <w:rsid w:val="0D4261D0"/>
    <w:rsid w:val="0D42980B"/>
    <w:rsid w:val="0D45A865"/>
    <w:rsid w:val="0D47B6F2"/>
    <w:rsid w:val="0D7055D1"/>
    <w:rsid w:val="0D7B7DAC"/>
    <w:rsid w:val="0D9A6FCE"/>
    <w:rsid w:val="0DB03C90"/>
    <w:rsid w:val="0DB0738D"/>
    <w:rsid w:val="0DFF2FAC"/>
    <w:rsid w:val="0E076EE0"/>
    <w:rsid w:val="0E0A3400"/>
    <w:rsid w:val="0E0B2B43"/>
    <w:rsid w:val="0E26BC24"/>
    <w:rsid w:val="0E2AC9E3"/>
    <w:rsid w:val="0E311465"/>
    <w:rsid w:val="0E33A5E7"/>
    <w:rsid w:val="0E6B24E7"/>
    <w:rsid w:val="0E861A03"/>
    <w:rsid w:val="0EA2282B"/>
    <w:rsid w:val="0EC4CE09"/>
    <w:rsid w:val="0EF16A38"/>
    <w:rsid w:val="0F17AD96"/>
    <w:rsid w:val="0F1F1A2B"/>
    <w:rsid w:val="0F290E38"/>
    <w:rsid w:val="0F36E9C3"/>
    <w:rsid w:val="0F4BCDEB"/>
    <w:rsid w:val="0F5246CC"/>
    <w:rsid w:val="0F578AA4"/>
    <w:rsid w:val="0FA435E3"/>
    <w:rsid w:val="0FDBAD4F"/>
    <w:rsid w:val="0FFABC4D"/>
    <w:rsid w:val="1032B843"/>
    <w:rsid w:val="1046C28F"/>
    <w:rsid w:val="1052EEE7"/>
    <w:rsid w:val="106DAE59"/>
    <w:rsid w:val="10ADF2F9"/>
    <w:rsid w:val="10B15F20"/>
    <w:rsid w:val="10CADCCB"/>
    <w:rsid w:val="10E081F2"/>
    <w:rsid w:val="1120838C"/>
    <w:rsid w:val="113B1E1E"/>
    <w:rsid w:val="114C182C"/>
    <w:rsid w:val="116D8E08"/>
    <w:rsid w:val="116EE013"/>
    <w:rsid w:val="117345D8"/>
    <w:rsid w:val="11965A4B"/>
    <w:rsid w:val="119D1549"/>
    <w:rsid w:val="11A24166"/>
    <w:rsid w:val="11A6344D"/>
    <w:rsid w:val="11DA0B10"/>
    <w:rsid w:val="11E7F16B"/>
    <w:rsid w:val="11FA30E7"/>
    <w:rsid w:val="120AF26D"/>
    <w:rsid w:val="1211FB9E"/>
    <w:rsid w:val="121B946E"/>
    <w:rsid w:val="1226C366"/>
    <w:rsid w:val="123AC8BE"/>
    <w:rsid w:val="124C3EA6"/>
    <w:rsid w:val="126BA1C8"/>
    <w:rsid w:val="127900AA"/>
    <w:rsid w:val="12D58E0E"/>
    <w:rsid w:val="12ECB106"/>
    <w:rsid w:val="12F1FBDF"/>
    <w:rsid w:val="12FD285A"/>
    <w:rsid w:val="13100A95"/>
    <w:rsid w:val="131BF1FF"/>
    <w:rsid w:val="13279EE8"/>
    <w:rsid w:val="1346EC37"/>
    <w:rsid w:val="13593004"/>
    <w:rsid w:val="1363D182"/>
    <w:rsid w:val="13A3E5BC"/>
    <w:rsid w:val="13F549F2"/>
    <w:rsid w:val="13FF1E68"/>
    <w:rsid w:val="14010952"/>
    <w:rsid w:val="1405BA59"/>
    <w:rsid w:val="14080848"/>
    <w:rsid w:val="140CE07F"/>
    <w:rsid w:val="141EF1D0"/>
    <w:rsid w:val="14466536"/>
    <w:rsid w:val="1455FC11"/>
    <w:rsid w:val="145FD1F4"/>
    <w:rsid w:val="1467203B"/>
    <w:rsid w:val="1484A626"/>
    <w:rsid w:val="148773D0"/>
    <w:rsid w:val="14F54BEA"/>
    <w:rsid w:val="150E6784"/>
    <w:rsid w:val="15143D2D"/>
    <w:rsid w:val="15217EBD"/>
    <w:rsid w:val="15294528"/>
    <w:rsid w:val="152BA022"/>
    <w:rsid w:val="154927E2"/>
    <w:rsid w:val="155865E4"/>
    <w:rsid w:val="1578750D"/>
    <w:rsid w:val="15942E2C"/>
    <w:rsid w:val="15B963A4"/>
    <w:rsid w:val="15F232B1"/>
    <w:rsid w:val="16343BF0"/>
    <w:rsid w:val="163DF6EF"/>
    <w:rsid w:val="163E8CDA"/>
    <w:rsid w:val="164D2587"/>
    <w:rsid w:val="1695B136"/>
    <w:rsid w:val="16AEAF94"/>
    <w:rsid w:val="16D02101"/>
    <w:rsid w:val="16D73F6A"/>
    <w:rsid w:val="16DC89E1"/>
    <w:rsid w:val="16E2AED6"/>
    <w:rsid w:val="16E4CBAB"/>
    <w:rsid w:val="16EA690C"/>
    <w:rsid w:val="16EB847D"/>
    <w:rsid w:val="16FFD099"/>
    <w:rsid w:val="1705DB94"/>
    <w:rsid w:val="1711ECD6"/>
    <w:rsid w:val="1712F53B"/>
    <w:rsid w:val="173F5D16"/>
    <w:rsid w:val="175B2994"/>
    <w:rsid w:val="1772B96D"/>
    <w:rsid w:val="17829FB0"/>
    <w:rsid w:val="17B881FE"/>
    <w:rsid w:val="17FD1AF8"/>
    <w:rsid w:val="18066DFC"/>
    <w:rsid w:val="181B329E"/>
    <w:rsid w:val="183CFAC8"/>
    <w:rsid w:val="1845CAE8"/>
    <w:rsid w:val="18641495"/>
    <w:rsid w:val="1889B7DA"/>
    <w:rsid w:val="1899A7CD"/>
    <w:rsid w:val="18A169DF"/>
    <w:rsid w:val="18AD37BA"/>
    <w:rsid w:val="18B7817A"/>
    <w:rsid w:val="18BB4E4A"/>
    <w:rsid w:val="18EFCFB5"/>
    <w:rsid w:val="18F06D1D"/>
    <w:rsid w:val="190286AA"/>
    <w:rsid w:val="191068ED"/>
    <w:rsid w:val="1911E2F0"/>
    <w:rsid w:val="192D56FD"/>
    <w:rsid w:val="19381A27"/>
    <w:rsid w:val="195BBC1F"/>
    <w:rsid w:val="198DBCAF"/>
    <w:rsid w:val="1996B4D3"/>
    <w:rsid w:val="19A08CA4"/>
    <w:rsid w:val="19ADA23E"/>
    <w:rsid w:val="19BAF7C8"/>
    <w:rsid w:val="19CF882E"/>
    <w:rsid w:val="19D4DEF7"/>
    <w:rsid w:val="19EEE39C"/>
    <w:rsid w:val="19FCA411"/>
    <w:rsid w:val="1A16A970"/>
    <w:rsid w:val="1A22F71F"/>
    <w:rsid w:val="1A63FA21"/>
    <w:rsid w:val="1A7C6B41"/>
    <w:rsid w:val="1A890995"/>
    <w:rsid w:val="1A9896C6"/>
    <w:rsid w:val="1AA95F3D"/>
    <w:rsid w:val="1ABA3903"/>
    <w:rsid w:val="1AC407FE"/>
    <w:rsid w:val="1AD041D6"/>
    <w:rsid w:val="1B4E5067"/>
    <w:rsid w:val="1B6829E3"/>
    <w:rsid w:val="1B76CA4E"/>
    <w:rsid w:val="1B79E587"/>
    <w:rsid w:val="1B8DC78E"/>
    <w:rsid w:val="1BA9C9DA"/>
    <w:rsid w:val="1BB095E4"/>
    <w:rsid w:val="1BBEC17D"/>
    <w:rsid w:val="1BC8235E"/>
    <w:rsid w:val="1BEC93DC"/>
    <w:rsid w:val="1BED1165"/>
    <w:rsid w:val="1BFC5D73"/>
    <w:rsid w:val="1BFE3EDB"/>
    <w:rsid w:val="1C11B9E1"/>
    <w:rsid w:val="1C37C220"/>
    <w:rsid w:val="1C419D44"/>
    <w:rsid w:val="1C550E02"/>
    <w:rsid w:val="1C5F3651"/>
    <w:rsid w:val="1CB5E718"/>
    <w:rsid w:val="1CE0D2B0"/>
    <w:rsid w:val="1D32FC67"/>
    <w:rsid w:val="1D4689D0"/>
    <w:rsid w:val="1D4A0255"/>
    <w:rsid w:val="1D642C4D"/>
    <w:rsid w:val="1D708C99"/>
    <w:rsid w:val="1D72CA2F"/>
    <w:rsid w:val="1D80D68F"/>
    <w:rsid w:val="1D8497F7"/>
    <w:rsid w:val="1DA300F2"/>
    <w:rsid w:val="1DA9A652"/>
    <w:rsid w:val="1E13ABC0"/>
    <w:rsid w:val="1E531710"/>
    <w:rsid w:val="1EA91BAC"/>
    <w:rsid w:val="1EACA164"/>
    <w:rsid w:val="1EBCA7A5"/>
    <w:rsid w:val="1F0C1A1C"/>
    <w:rsid w:val="1F12C81A"/>
    <w:rsid w:val="1F17B770"/>
    <w:rsid w:val="1F17FC36"/>
    <w:rsid w:val="1F3EA866"/>
    <w:rsid w:val="1F55489E"/>
    <w:rsid w:val="1F7A59D3"/>
    <w:rsid w:val="1F9AC277"/>
    <w:rsid w:val="1FCE511E"/>
    <w:rsid w:val="1FD92DDA"/>
    <w:rsid w:val="1FFCA7CD"/>
    <w:rsid w:val="2033046E"/>
    <w:rsid w:val="20728FAF"/>
    <w:rsid w:val="208C1C2F"/>
    <w:rsid w:val="208C7A14"/>
    <w:rsid w:val="2093D048"/>
    <w:rsid w:val="209D0864"/>
    <w:rsid w:val="20EF8500"/>
    <w:rsid w:val="20F7B8ED"/>
    <w:rsid w:val="20FFD4D5"/>
    <w:rsid w:val="2105CF69"/>
    <w:rsid w:val="21068263"/>
    <w:rsid w:val="2108B52E"/>
    <w:rsid w:val="21412ABC"/>
    <w:rsid w:val="21495E45"/>
    <w:rsid w:val="2162FCEB"/>
    <w:rsid w:val="219854CD"/>
    <w:rsid w:val="21AD14E7"/>
    <w:rsid w:val="2225261B"/>
    <w:rsid w:val="222CDB83"/>
    <w:rsid w:val="2232443A"/>
    <w:rsid w:val="22530AD0"/>
    <w:rsid w:val="2258D701"/>
    <w:rsid w:val="2266607F"/>
    <w:rsid w:val="2273494C"/>
    <w:rsid w:val="2275A0E9"/>
    <w:rsid w:val="22850502"/>
    <w:rsid w:val="2286C09D"/>
    <w:rsid w:val="229F4881"/>
    <w:rsid w:val="22AD0347"/>
    <w:rsid w:val="22AE52D2"/>
    <w:rsid w:val="22EF75F3"/>
    <w:rsid w:val="233716A8"/>
    <w:rsid w:val="23419464"/>
    <w:rsid w:val="235B2EC6"/>
    <w:rsid w:val="23677C02"/>
    <w:rsid w:val="2368DF8D"/>
    <w:rsid w:val="237372EF"/>
    <w:rsid w:val="239921F3"/>
    <w:rsid w:val="239B66B4"/>
    <w:rsid w:val="23DB51B9"/>
    <w:rsid w:val="23E32348"/>
    <w:rsid w:val="240AAEC7"/>
    <w:rsid w:val="2411E911"/>
    <w:rsid w:val="242B6C7F"/>
    <w:rsid w:val="247DBBD1"/>
    <w:rsid w:val="248FA965"/>
    <w:rsid w:val="24B326FB"/>
    <w:rsid w:val="24BE3751"/>
    <w:rsid w:val="24DC6707"/>
    <w:rsid w:val="24DFBE9F"/>
    <w:rsid w:val="24F290EE"/>
    <w:rsid w:val="2511C590"/>
    <w:rsid w:val="252CE132"/>
    <w:rsid w:val="252DF80F"/>
    <w:rsid w:val="2549C942"/>
    <w:rsid w:val="256CEACC"/>
    <w:rsid w:val="2576110D"/>
    <w:rsid w:val="257800A4"/>
    <w:rsid w:val="257F4518"/>
    <w:rsid w:val="25B723A4"/>
    <w:rsid w:val="25BFDB54"/>
    <w:rsid w:val="25EC8133"/>
    <w:rsid w:val="26097C36"/>
    <w:rsid w:val="26159E95"/>
    <w:rsid w:val="2616F4BF"/>
    <w:rsid w:val="26279B6F"/>
    <w:rsid w:val="263F5868"/>
    <w:rsid w:val="2651299C"/>
    <w:rsid w:val="266F28C6"/>
    <w:rsid w:val="26700A84"/>
    <w:rsid w:val="26789DA6"/>
    <w:rsid w:val="2683E343"/>
    <w:rsid w:val="26A714AF"/>
    <w:rsid w:val="26A87A76"/>
    <w:rsid w:val="26AE4F85"/>
    <w:rsid w:val="26CEAE4B"/>
    <w:rsid w:val="26F71DB1"/>
    <w:rsid w:val="2722760E"/>
    <w:rsid w:val="273B266E"/>
    <w:rsid w:val="2755E9CD"/>
    <w:rsid w:val="275BCDFE"/>
    <w:rsid w:val="275CB2BF"/>
    <w:rsid w:val="2766CF5B"/>
    <w:rsid w:val="278691D4"/>
    <w:rsid w:val="27887599"/>
    <w:rsid w:val="278D4875"/>
    <w:rsid w:val="27998C4A"/>
    <w:rsid w:val="279D0F24"/>
    <w:rsid w:val="27AEED57"/>
    <w:rsid w:val="27AF4A1E"/>
    <w:rsid w:val="280D7E27"/>
    <w:rsid w:val="281E591C"/>
    <w:rsid w:val="281FEBD3"/>
    <w:rsid w:val="2825A68F"/>
    <w:rsid w:val="285198F9"/>
    <w:rsid w:val="28545042"/>
    <w:rsid w:val="285E17C0"/>
    <w:rsid w:val="28727C25"/>
    <w:rsid w:val="287A8D7D"/>
    <w:rsid w:val="287BE6D1"/>
    <w:rsid w:val="288F0304"/>
    <w:rsid w:val="28AE2C97"/>
    <w:rsid w:val="28E6B14F"/>
    <w:rsid w:val="28FBD7FF"/>
    <w:rsid w:val="2946914B"/>
    <w:rsid w:val="297651C7"/>
    <w:rsid w:val="29904859"/>
    <w:rsid w:val="29ADC681"/>
    <w:rsid w:val="29C3B9AC"/>
    <w:rsid w:val="2A1C43E3"/>
    <w:rsid w:val="2A24F28E"/>
    <w:rsid w:val="2A4475A2"/>
    <w:rsid w:val="2A57F3B2"/>
    <w:rsid w:val="2A6196E3"/>
    <w:rsid w:val="2AAE59AB"/>
    <w:rsid w:val="2AB454A9"/>
    <w:rsid w:val="2ABC1760"/>
    <w:rsid w:val="2ABD39B5"/>
    <w:rsid w:val="2ADD3D94"/>
    <w:rsid w:val="2B17DE87"/>
    <w:rsid w:val="2B43F5D6"/>
    <w:rsid w:val="2B85A00A"/>
    <w:rsid w:val="2B8BDF60"/>
    <w:rsid w:val="2B963EE9"/>
    <w:rsid w:val="2BBC71D0"/>
    <w:rsid w:val="2BC2EE89"/>
    <w:rsid w:val="2BCA3819"/>
    <w:rsid w:val="2BD44FFC"/>
    <w:rsid w:val="2BE4ECF0"/>
    <w:rsid w:val="2C049283"/>
    <w:rsid w:val="2C148ACC"/>
    <w:rsid w:val="2C627474"/>
    <w:rsid w:val="2C69AB66"/>
    <w:rsid w:val="2C7A8DAD"/>
    <w:rsid w:val="2C82C045"/>
    <w:rsid w:val="2CA3541D"/>
    <w:rsid w:val="2CBCCB26"/>
    <w:rsid w:val="2CBD5904"/>
    <w:rsid w:val="2CE94FD6"/>
    <w:rsid w:val="2D03BD32"/>
    <w:rsid w:val="2D13280C"/>
    <w:rsid w:val="2D225326"/>
    <w:rsid w:val="2D2DE124"/>
    <w:rsid w:val="2D34CC1E"/>
    <w:rsid w:val="2D38AFD1"/>
    <w:rsid w:val="2D60D7F3"/>
    <w:rsid w:val="2D71050A"/>
    <w:rsid w:val="2D782275"/>
    <w:rsid w:val="2D867DE0"/>
    <w:rsid w:val="2D940AD6"/>
    <w:rsid w:val="2D94ED0D"/>
    <w:rsid w:val="2D9715C8"/>
    <w:rsid w:val="2E06F58A"/>
    <w:rsid w:val="2E1A32D5"/>
    <w:rsid w:val="2E4E4C21"/>
    <w:rsid w:val="2E52A278"/>
    <w:rsid w:val="2EC0C739"/>
    <w:rsid w:val="2EC531EC"/>
    <w:rsid w:val="2ECDFE8B"/>
    <w:rsid w:val="2ED971FE"/>
    <w:rsid w:val="2F10876C"/>
    <w:rsid w:val="2F1BACBB"/>
    <w:rsid w:val="2F26215F"/>
    <w:rsid w:val="2F5300AF"/>
    <w:rsid w:val="2F5A4AFC"/>
    <w:rsid w:val="2F7C3032"/>
    <w:rsid w:val="2FCEF954"/>
    <w:rsid w:val="2FD37CDB"/>
    <w:rsid w:val="2FF02FDE"/>
    <w:rsid w:val="301FDA98"/>
    <w:rsid w:val="3035A3EE"/>
    <w:rsid w:val="303D5DC0"/>
    <w:rsid w:val="304AF9F7"/>
    <w:rsid w:val="3056D9D5"/>
    <w:rsid w:val="30606143"/>
    <w:rsid w:val="3060F37B"/>
    <w:rsid w:val="3065CB7B"/>
    <w:rsid w:val="30AE797F"/>
    <w:rsid w:val="30B73F24"/>
    <w:rsid w:val="30B77522"/>
    <w:rsid w:val="30E2CBE6"/>
    <w:rsid w:val="30E90BD9"/>
    <w:rsid w:val="31321A74"/>
    <w:rsid w:val="3135EBF7"/>
    <w:rsid w:val="314A0513"/>
    <w:rsid w:val="315126D8"/>
    <w:rsid w:val="317094F5"/>
    <w:rsid w:val="317653BE"/>
    <w:rsid w:val="3182B562"/>
    <w:rsid w:val="3183BC85"/>
    <w:rsid w:val="31BD38F1"/>
    <w:rsid w:val="31C32084"/>
    <w:rsid w:val="3232807C"/>
    <w:rsid w:val="3245F6CB"/>
    <w:rsid w:val="328A1D81"/>
    <w:rsid w:val="32B13842"/>
    <w:rsid w:val="32E1EB0B"/>
    <w:rsid w:val="32E3F833"/>
    <w:rsid w:val="3321B04A"/>
    <w:rsid w:val="332A99A5"/>
    <w:rsid w:val="33356767"/>
    <w:rsid w:val="334667F0"/>
    <w:rsid w:val="335F4CC6"/>
    <w:rsid w:val="336E958C"/>
    <w:rsid w:val="337A3DAF"/>
    <w:rsid w:val="3396B343"/>
    <w:rsid w:val="33BC96BF"/>
    <w:rsid w:val="33C220FB"/>
    <w:rsid w:val="33D0F42D"/>
    <w:rsid w:val="33D90C96"/>
    <w:rsid w:val="33DCF5F6"/>
    <w:rsid w:val="33E2864E"/>
    <w:rsid w:val="33FE11AD"/>
    <w:rsid w:val="340E3288"/>
    <w:rsid w:val="341F3DEF"/>
    <w:rsid w:val="34251DEA"/>
    <w:rsid w:val="3461DAA1"/>
    <w:rsid w:val="34EA495B"/>
    <w:rsid w:val="34EE3536"/>
    <w:rsid w:val="34EE7FE5"/>
    <w:rsid w:val="34F59371"/>
    <w:rsid w:val="3507BB8C"/>
    <w:rsid w:val="353C3D25"/>
    <w:rsid w:val="3595223B"/>
    <w:rsid w:val="3599B792"/>
    <w:rsid w:val="359EF12A"/>
    <w:rsid w:val="35A7D745"/>
    <w:rsid w:val="35F0D92B"/>
    <w:rsid w:val="35F9CE1E"/>
    <w:rsid w:val="3606B57A"/>
    <w:rsid w:val="36303006"/>
    <w:rsid w:val="366DAE58"/>
    <w:rsid w:val="367C1A4A"/>
    <w:rsid w:val="36B545AA"/>
    <w:rsid w:val="3716B0A8"/>
    <w:rsid w:val="37211D9F"/>
    <w:rsid w:val="375C9399"/>
    <w:rsid w:val="37709CB9"/>
    <w:rsid w:val="3775CB92"/>
    <w:rsid w:val="37BF0B67"/>
    <w:rsid w:val="37E9CC97"/>
    <w:rsid w:val="37EF4BF3"/>
    <w:rsid w:val="37F85181"/>
    <w:rsid w:val="3802EF0D"/>
    <w:rsid w:val="380D1929"/>
    <w:rsid w:val="380EFCB3"/>
    <w:rsid w:val="3848B84C"/>
    <w:rsid w:val="385A6D9F"/>
    <w:rsid w:val="387F1843"/>
    <w:rsid w:val="38B13F69"/>
    <w:rsid w:val="38B98EAA"/>
    <w:rsid w:val="38BC96CE"/>
    <w:rsid w:val="39297BAE"/>
    <w:rsid w:val="392EA594"/>
    <w:rsid w:val="3946DB37"/>
    <w:rsid w:val="3949ECD1"/>
    <w:rsid w:val="39611BDC"/>
    <w:rsid w:val="3962D4DF"/>
    <w:rsid w:val="39716D11"/>
    <w:rsid w:val="3989D1BD"/>
    <w:rsid w:val="39987E6F"/>
    <w:rsid w:val="39AC58F2"/>
    <w:rsid w:val="39C2BAB2"/>
    <w:rsid w:val="39D96F08"/>
    <w:rsid w:val="39E2166E"/>
    <w:rsid w:val="39EE4ACF"/>
    <w:rsid w:val="3A037DE8"/>
    <w:rsid w:val="3A4D3A08"/>
    <w:rsid w:val="3A4DADCA"/>
    <w:rsid w:val="3A587CB4"/>
    <w:rsid w:val="3A661CEA"/>
    <w:rsid w:val="3AB6E270"/>
    <w:rsid w:val="3ACDAA20"/>
    <w:rsid w:val="3AFCDECC"/>
    <w:rsid w:val="3B1596DF"/>
    <w:rsid w:val="3B44E6AF"/>
    <w:rsid w:val="3B4FCEB8"/>
    <w:rsid w:val="3B8113A6"/>
    <w:rsid w:val="3B965888"/>
    <w:rsid w:val="3BA27075"/>
    <w:rsid w:val="3BCFA1E5"/>
    <w:rsid w:val="3BDAE8A2"/>
    <w:rsid w:val="3C276F64"/>
    <w:rsid w:val="3C413480"/>
    <w:rsid w:val="3C5DD10F"/>
    <w:rsid w:val="3C7357C7"/>
    <w:rsid w:val="3C8E0CA2"/>
    <w:rsid w:val="3CA52CF9"/>
    <w:rsid w:val="3CADF01F"/>
    <w:rsid w:val="3CC1C2F6"/>
    <w:rsid w:val="3CDB6C1C"/>
    <w:rsid w:val="3CDEC43A"/>
    <w:rsid w:val="3CE6158D"/>
    <w:rsid w:val="3CE6E8A5"/>
    <w:rsid w:val="3D15FA89"/>
    <w:rsid w:val="3D363FBB"/>
    <w:rsid w:val="3D469C0E"/>
    <w:rsid w:val="3D4E19A8"/>
    <w:rsid w:val="3D7D418A"/>
    <w:rsid w:val="3D88B621"/>
    <w:rsid w:val="3D9B84DF"/>
    <w:rsid w:val="3D9BE71A"/>
    <w:rsid w:val="3DA8826B"/>
    <w:rsid w:val="3DB3C1FB"/>
    <w:rsid w:val="3E226857"/>
    <w:rsid w:val="3E5ED511"/>
    <w:rsid w:val="3E63FCBA"/>
    <w:rsid w:val="3E64E621"/>
    <w:rsid w:val="3E750362"/>
    <w:rsid w:val="3E98310D"/>
    <w:rsid w:val="3E998EA9"/>
    <w:rsid w:val="3E9A3EF2"/>
    <w:rsid w:val="3EAF8664"/>
    <w:rsid w:val="3EB0006F"/>
    <w:rsid w:val="3ECB2A81"/>
    <w:rsid w:val="3ECB67FF"/>
    <w:rsid w:val="3ECFECB8"/>
    <w:rsid w:val="3EF54DFA"/>
    <w:rsid w:val="3EF89A38"/>
    <w:rsid w:val="3F241880"/>
    <w:rsid w:val="3F25E087"/>
    <w:rsid w:val="3F3A11C6"/>
    <w:rsid w:val="3F3E3A11"/>
    <w:rsid w:val="3F476420"/>
    <w:rsid w:val="3F905EA0"/>
    <w:rsid w:val="3F92BF0F"/>
    <w:rsid w:val="3F978D38"/>
    <w:rsid w:val="3FA05E0C"/>
    <w:rsid w:val="3FB28C1C"/>
    <w:rsid w:val="3FD0C1D9"/>
    <w:rsid w:val="40034499"/>
    <w:rsid w:val="4007A1F0"/>
    <w:rsid w:val="401D406F"/>
    <w:rsid w:val="4073AB51"/>
    <w:rsid w:val="4096A6E4"/>
    <w:rsid w:val="40A43722"/>
    <w:rsid w:val="40A6FF59"/>
    <w:rsid w:val="40A826FA"/>
    <w:rsid w:val="40C22F4A"/>
    <w:rsid w:val="40C4534D"/>
    <w:rsid w:val="40CB8A47"/>
    <w:rsid w:val="40CD6729"/>
    <w:rsid w:val="40D0103D"/>
    <w:rsid w:val="40D74C78"/>
    <w:rsid w:val="40EBE0E5"/>
    <w:rsid w:val="40F3A37B"/>
    <w:rsid w:val="40F57520"/>
    <w:rsid w:val="410A4CD2"/>
    <w:rsid w:val="4123D070"/>
    <w:rsid w:val="4124CEBA"/>
    <w:rsid w:val="4156844A"/>
    <w:rsid w:val="415974E6"/>
    <w:rsid w:val="41648AD2"/>
    <w:rsid w:val="419C373A"/>
    <w:rsid w:val="419EC3D8"/>
    <w:rsid w:val="41A20621"/>
    <w:rsid w:val="41BA22B5"/>
    <w:rsid w:val="41C8ED87"/>
    <w:rsid w:val="41D290DB"/>
    <w:rsid w:val="41E77CAF"/>
    <w:rsid w:val="41FF6BB2"/>
    <w:rsid w:val="420A12FD"/>
    <w:rsid w:val="42568406"/>
    <w:rsid w:val="42614B47"/>
    <w:rsid w:val="42698B25"/>
    <w:rsid w:val="426E2202"/>
    <w:rsid w:val="42850379"/>
    <w:rsid w:val="42BDECC8"/>
    <w:rsid w:val="432FCE06"/>
    <w:rsid w:val="4354B5BD"/>
    <w:rsid w:val="435CF824"/>
    <w:rsid w:val="4368FEBC"/>
    <w:rsid w:val="4392D5C2"/>
    <w:rsid w:val="4397B243"/>
    <w:rsid w:val="43D760B5"/>
    <w:rsid w:val="44048368"/>
    <w:rsid w:val="440E2672"/>
    <w:rsid w:val="44110990"/>
    <w:rsid w:val="442463B6"/>
    <w:rsid w:val="443B4748"/>
    <w:rsid w:val="443CE982"/>
    <w:rsid w:val="44496EAB"/>
    <w:rsid w:val="444FC62C"/>
    <w:rsid w:val="4456C5A5"/>
    <w:rsid w:val="446AC0CB"/>
    <w:rsid w:val="448B30E9"/>
    <w:rsid w:val="44A2B58D"/>
    <w:rsid w:val="44CC1241"/>
    <w:rsid w:val="451839F5"/>
    <w:rsid w:val="453580BD"/>
    <w:rsid w:val="454F4CC0"/>
    <w:rsid w:val="45542D24"/>
    <w:rsid w:val="457D31FA"/>
    <w:rsid w:val="45804B35"/>
    <w:rsid w:val="4584A45F"/>
    <w:rsid w:val="4584BC10"/>
    <w:rsid w:val="458E86F1"/>
    <w:rsid w:val="45BA7D55"/>
    <w:rsid w:val="45D345E1"/>
    <w:rsid w:val="45E87048"/>
    <w:rsid w:val="45F06B40"/>
    <w:rsid w:val="46112F0D"/>
    <w:rsid w:val="46200859"/>
    <w:rsid w:val="463F02A1"/>
    <w:rsid w:val="464ADBDD"/>
    <w:rsid w:val="465A12C6"/>
    <w:rsid w:val="465CBF3E"/>
    <w:rsid w:val="4671CAA3"/>
    <w:rsid w:val="46985015"/>
    <w:rsid w:val="469DFAEE"/>
    <w:rsid w:val="46DB3CA6"/>
    <w:rsid w:val="46E10C34"/>
    <w:rsid w:val="46F78C20"/>
    <w:rsid w:val="46F807EE"/>
    <w:rsid w:val="47220860"/>
    <w:rsid w:val="475ADF6F"/>
    <w:rsid w:val="479266AB"/>
    <w:rsid w:val="47B5FE90"/>
    <w:rsid w:val="4845FFBE"/>
    <w:rsid w:val="484F837D"/>
    <w:rsid w:val="48525577"/>
    <w:rsid w:val="486FCA43"/>
    <w:rsid w:val="488E31E8"/>
    <w:rsid w:val="48A51B64"/>
    <w:rsid w:val="48AE088F"/>
    <w:rsid w:val="48B3EC04"/>
    <w:rsid w:val="48C83C87"/>
    <w:rsid w:val="48C86AD7"/>
    <w:rsid w:val="48D1C475"/>
    <w:rsid w:val="48E87AE1"/>
    <w:rsid w:val="48ECBF3D"/>
    <w:rsid w:val="48F9710F"/>
    <w:rsid w:val="491E7146"/>
    <w:rsid w:val="49388AA9"/>
    <w:rsid w:val="494FE502"/>
    <w:rsid w:val="4959674D"/>
    <w:rsid w:val="4979771E"/>
    <w:rsid w:val="497C3FDB"/>
    <w:rsid w:val="49BE78CC"/>
    <w:rsid w:val="49E701B0"/>
    <w:rsid w:val="4A06D3CA"/>
    <w:rsid w:val="4A1C43CF"/>
    <w:rsid w:val="4A508A70"/>
    <w:rsid w:val="4A7D1C5E"/>
    <w:rsid w:val="4A9ED5F8"/>
    <w:rsid w:val="4AA17C9E"/>
    <w:rsid w:val="4AB45E2A"/>
    <w:rsid w:val="4AC20E82"/>
    <w:rsid w:val="4AD98DF0"/>
    <w:rsid w:val="4AFFE2D4"/>
    <w:rsid w:val="4B045C7E"/>
    <w:rsid w:val="4B20517A"/>
    <w:rsid w:val="4B552BE9"/>
    <w:rsid w:val="4B5EEFCA"/>
    <w:rsid w:val="4B97F7A7"/>
    <w:rsid w:val="4BB68871"/>
    <w:rsid w:val="4BC47AD1"/>
    <w:rsid w:val="4BDA8735"/>
    <w:rsid w:val="4BE7F672"/>
    <w:rsid w:val="4C1779A1"/>
    <w:rsid w:val="4C1C9BE2"/>
    <w:rsid w:val="4C2C198F"/>
    <w:rsid w:val="4C3E9921"/>
    <w:rsid w:val="4C6B5371"/>
    <w:rsid w:val="4C71C350"/>
    <w:rsid w:val="4C740E6C"/>
    <w:rsid w:val="4C7ADDF9"/>
    <w:rsid w:val="4C81D055"/>
    <w:rsid w:val="4C929F0A"/>
    <w:rsid w:val="4C96D9F0"/>
    <w:rsid w:val="4CA71701"/>
    <w:rsid w:val="4CD1515F"/>
    <w:rsid w:val="4CDE29BB"/>
    <w:rsid w:val="4CE88442"/>
    <w:rsid w:val="4D08F43F"/>
    <w:rsid w:val="4D1ED0AC"/>
    <w:rsid w:val="4D22DC20"/>
    <w:rsid w:val="4D75E847"/>
    <w:rsid w:val="4D7F14C6"/>
    <w:rsid w:val="4D929558"/>
    <w:rsid w:val="4D9A66A0"/>
    <w:rsid w:val="4DA09E2E"/>
    <w:rsid w:val="4DA4D136"/>
    <w:rsid w:val="4DA649D7"/>
    <w:rsid w:val="4DCCD1C6"/>
    <w:rsid w:val="4DD8D4A9"/>
    <w:rsid w:val="4E28B820"/>
    <w:rsid w:val="4E59CC50"/>
    <w:rsid w:val="4E5A6DFC"/>
    <w:rsid w:val="4EB880A4"/>
    <w:rsid w:val="4EC30454"/>
    <w:rsid w:val="4F3C7CA9"/>
    <w:rsid w:val="4F3EF6C5"/>
    <w:rsid w:val="4F509CA1"/>
    <w:rsid w:val="4F9446CD"/>
    <w:rsid w:val="4FB48301"/>
    <w:rsid w:val="4FD58A8A"/>
    <w:rsid w:val="4FF8C7A4"/>
    <w:rsid w:val="500B8A93"/>
    <w:rsid w:val="5014DF85"/>
    <w:rsid w:val="502CF3DE"/>
    <w:rsid w:val="505188DF"/>
    <w:rsid w:val="5053D91F"/>
    <w:rsid w:val="50AC9311"/>
    <w:rsid w:val="50BCB92E"/>
    <w:rsid w:val="50D5D926"/>
    <w:rsid w:val="50F01E0D"/>
    <w:rsid w:val="50F4B903"/>
    <w:rsid w:val="5102694C"/>
    <w:rsid w:val="510304BB"/>
    <w:rsid w:val="511CF320"/>
    <w:rsid w:val="512C4646"/>
    <w:rsid w:val="51315D70"/>
    <w:rsid w:val="514A7007"/>
    <w:rsid w:val="51523843"/>
    <w:rsid w:val="51610C18"/>
    <w:rsid w:val="519C5469"/>
    <w:rsid w:val="51BC4C39"/>
    <w:rsid w:val="51CA567B"/>
    <w:rsid w:val="51DDF9C8"/>
    <w:rsid w:val="51EFC9C5"/>
    <w:rsid w:val="51F39A2D"/>
    <w:rsid w:val="52135CA8"/>
    <w:rsid w:val="522870B8"/>
    <w:rsid w:val="524E3BA0"/>
    <w:rsid w:val="526D4E9B"/>
    <w:rsid w:val="527E5AB6"/>
    <w:rsid w:val="527E82EE"/>
    <w:rsid w:val="528BC369"/>
    <w:rsid w:val="529592D0"/>
    <w:rsid w:val="52A88AF4"/>
    <w:rsid w:val="52B55327"/>
    <w:rsid w:val="52CBCDEF"/>
    <w:rsid w:val="52CFA99B"/>
    <w:rsid w:val="52D78444"/>
    <w:rsid w:val="52E6BA6F"/>
    <w:rsid w:val="52F45C82"/>
    <w:rsid w:val="52F683CB"/>
    <w:rsid w:val="531AFFAB"/>
    <w:rsid w:val="53358D1F"/>
    <w:rsid w:val="536D943C"/>
    <w:rsid w:val="537F1F76"/>
    <w:rsid w:val="53A822E1"/>
    <w:rsid w:val="53BECDDF"/>
    <w:rsid w:val="53CA8453"/>
    <w:rsid w:val="53D53024"/>
    <w:rsid w:val="53E8B342"/>
    <w:rsid w:val="540AB0D3"/>
    <w:rsid w:val="540BDEF3"/>
    <w:rsid w:val="5413D393"/>
    <w:rsid w:val="5423659E"/>
    <w:rsid w:val="542B3740"/>
    <w:rsid w:val="5436D5D3"/>
    <w:rsid w:val="5437A072"/>
    <w:rsid w:val="543B5BB3"/>
    <w:rsid w:val="544A6FAC"/>
    <w:rsid w:val="5466C486"/>
    <w:rsid w:val="546E1235"/>
    <w:rsid w:val="546F7AEC"/>
    <w:rsid w:val="5484CAA3"/>
    <w:rsid w:val="5494007F"/>
    <w:rsid w:val="549B4210"/>
    <w:rsid w:val="54B3D67B"/>
    <w:rsid w:val="54B95627"/>
    <w:rsid w:val="54D95AB7"/>
    <w:rsid w:val="54EEDF68"/>
    <w:rsid w:val="54F9B7C6"/>
    <w:rsid w:val="54FB85A8"/>
    <w:rsid w:val="554F896B"/>
    <w:rsid w:val="555FA72D"/>
    <w:rsid w:val="5578A404"/>
    <w:rsid w:val="5580F08B"/>
    <w:rsid w:val="55A55B00"/>
    <w:rsid w:val="55B7CD32"/>
    <w:rsid w:val="55D7C114"/>
    <w:rsid w:val="55E38675"/>
    <w:rsid w:val="56475FDC"/>
    <w:rsid w:val="56620B9B"/>
    <w:rsid w:val="566E4B9B"/>
    <w:rsid w:val="5691ED2C"/>
    <w:rsid w:val="56C50D62"/>
    <w:rsid w:val="56D8CE7D"/>
    <w:rsid w:val="56DD57F7"/>
    <w:rsid w:val="56FC9CC7"/>
    <w:rsid w:val="570B4D9B"/>
    <w:rsid w:val="57194D44"/>
    <w:rsid w:val="57377B31"/>
    <w:rsid w:val="5740D3D9"/>
    <w:rsid w:val="57560F0D"/>
    <w:rsid w:val="575C8A24"/>
    <w:rsid w:val="577EC22A"/>
    <w:rsid w:val="57963663"/>
    <w:rsid w:val="579DA443"/>
    <w:rsid w:val="57B40DC5"/>
    <w:rsid w:val="57BA91A6"/>
    <w:rsid w:val="57C95FDF"/>
    <w:rsid w:val="57CEC92F"/>
    <w:rsid w:val="57DBC4D8"/>
    <w:rsid w:val="57F3FCE2"/>
    <w:rsid w:val="5877CC27"/>
    <w:rsid w:val="58905A23"/>
    <w:rsid w:val="58A49D34"/>
    <w:rsid w:val="58C3933D"/>
    <w:rsid w:val="58D2DC9B"/>
    <w:rsid w:val="58E0B947"/>
    <w:rsid w:val="59088F5A"/>
    <w:rsid w:val="5911CC43"/>
    <w:rsid w:val="5919116D"/>
    <w:rsid w:val="591C7802"/>
    <w:rsid w:val="591F0256"/>
    <w:rsid w:val="59334FF2"/>
    <w:rsid w:val="593FBE7D"/>
    <w:rsid w:val="594ECB53"/>
    <w:rsid w:val="595D0CE3"/>
    <w:rsid w:val="597B46F7"/>
    <w:rsid w:val="59A45474"/>
    <w:rsid w:val="59B01FB3"/>
    <w:rsid w:val="59DC437D"/>
    <w:rsid w:val="59EF23DC"/>
    <w:rsid w:val="5A00C60B"/>
    <w:rsid w:val="5A3E24B4"/>
    <w:rsid w:val="5A42299D"/>
    <w:rsid w:val="5A5F8897"/>
    <w:rsid w:val="5A9457F9"/>
    <w:rsid w:val="5AA435AF"/>
    <w:rsid w:val="5AAB293B"/>
    <w:rsid w:val="5AAD3584"/>
    <w:rsid w:val="5ACCCF02"/>
    <w:rsid w:val="5ACE964B"/>
    <w:rsid w:val="5AD61E42"/>
    <w:rsid w:val="5B0CDE1A"/>
    <w:rsid w:val="5B29561F"/>
    <w:rsid w:val="5B310940"/>
    <w:rsid w:val="5B524187"/>
    <w:rsid w:val="5B538570"/>
    <w:rsid w:val="5BBC4C89"/>
    <w:rsid w:val="5BC1FFFE"/>
    <w:rsid w:val="5BCA4CDC"/>
    <w:rsid w:val="5BD41ECF"/>
    <w:rsid w:val="5BE7881C"/>
    <w:rsid w:val="5BFBEED8"/>
    <w:rsid w:val="5C3276FE"/>
    <w:rsid w:val="5C757EC8"/>
    <w:rsid w:val="5C787841"/>
    <w:rsid w:val="5C812A8D"/>
    <w:rsid w:val="5C8B2876"/>
    <w:rsid w:val="5C90BF09"/>
    <w:rsid w:val="5CE00253"/>
    <w:rsid w:val="5CE66C70"/>
    <w:rsid w:val="5CE6F313"/>
    <w:rsid w:val="5CEC9772"/>
    <w:rsid w:val="5D057B82"/>
    <w:rsid w:val="5D168051"/>
    <w:rsid w:val="5D3DDE41"/>
    <w:rsid w:val="5D5E8DA6"/>
    <w:rsid w:val="5D8683E4"/>
    <w:rsid w:val="5DA7F206"/>
    <w:rsid w:val="5DAACF38"/>
    <w:rsid w:val="5DCCEF7A"/>
    <w:rsid w:val="5DFEC851"/>
    <w:rsid w:val="5E05BE77"/>
    <w:rsid w:val="5E0C3A7D"/>
    <w:rsid w:val="5E0C5110"/>
    <w:rsid w:val="5E1CB10A"/>
    <w:rsid w:val="5E34B0B0"/>
    <w:rsid w:val="5E44E2BB"/>
    <w:rsid w:val="5E5070C2"/>
    <w:rsid w:val="5E8645B3"/>
    <w:rsid w:val="5E980A38"/>
    <w:rsid w:val="5EB391BE"/>
    <w:rsid w:val="5ECFADBB"/>
    <w:rsid w:val="5EDB2575"/>
    <w:rsid w:val="5EE15FAD"/>
    <w:rsid w:val="5EE80A9C"/>
    <w:rsid w:val="5EFC3E5A"/>
    <w:rsid w:val="5F0A7887"/>
    <w:rsid w:val="5F179EB4"/>
    <w:rsid w:val="5F264B05"/>
    <w:rsid w:val="5F36E3BD"/>
    <w:rsid w:val="5F3B4B28"/>
    <w:rsid w:val="5F3FB1BA"/>
    <w:rsid w:val="5F4B68FD"/>
    <w:rsid w:val="5F51D749"/>
    <w:rsid w:val="5F5EE2EE"/>
    <w:rsid w:val="5F9C8F53"/>
    <w:rsid w:val="5FA6E5E4"/>
    <w:rsid w:val="5FAAD22C"/>
    <w:rsid w:val="5FE2416A"/>
    <w:rsid w:val="5FE6E854"/>
    <w:rsid w:val="5FE8C1BC"/>
    <w:rsid w:val="6017EF23"/>
    <w:rsid w:val="603EF1A7"/>
    <w:rsid w:val="60415239"/>
    <w:rsid w:val="60799DEF"/>
    <w:rsid w:val="609954D8"/>
    <w:rsid w:val="609EBB7A"/>
    <w:rsid w:val="60E6F556"/>
    <w:rsid w:val="60ED8D2A"/>
    <w:rsid w:val="611AF971"/>
    <w:rsid w:val="61819947"/>
    <w:rsid w:val="61908C88"/>
    <w:rsid w:val="6197C294"/>
    <w:rsid w:val="619DDA38"/>
    <w:rsid w:val="61B7EB77"/>
    <w:rsid w:val="61C31719"/>
    <w:rsid w:val="61E294A8"/>
    <w:rsid w:val="61E6A017"/>
    <w:rsid w:val="61F25F63"/>
    <w:rsid w:val="620F77D1"/>
    <w:rsid w:val="6219C4EE"/>
    <w:rsid w:val="623359A1"/>
    <w:rsid w:val="624F311F"/>
    <w:rsid w:val="625BFF0D"/>
    <w:rsid w:val="625DA969"/>
    <w:rsid w:val="626AE411"/>
    <w:rsid w:val="626DCB9A"/>
    <w:rsid w:val="628C392D"/>
    <w:rsid w:val="628E43C5"/>
    <w:rsid w:val="62967BD5"/>
    <w:rsid w:val="62A545A9"/>
    <w:rsid w:val="62B358CD"/>
    <w:rsid w:val="62BD1F5A"/>
    <w:rsid w:val="62BE42D7"/>
    <w:rsid w:val="62FD0816"/>
    <w:rsid w:val="63026532"/>
    <w:rsid w:val="633BB8A2"/>
    <w:rsid w:val="6342E7B8"/>
    <w:rsid w:val="634EDB41"/>
    <w:rsid w:val="6359CB1C"/>
    <w:rsid w:val="63735117"/>
    <w:rsid w:val="638B789A"/>
    <w:rsid w:val="63A11169"/>
    <w:rsid w:val="63A11AC2"/>
    <w:rsid w:val="63BAB382"/>
    <w:rsid w:val="63C2F36D"/>
    <w:rsid w:val="63CBC031"/>
    <w:rsid w:val="6415F026"/>
    <w:rsid w:val="6435AAFA"/>
    <w:rsid w:val="643AF540"/>
    <w:rsid w:val="6450CED9"/>
    <w:rsid w:val="645E73D9"/>
    <w:rsid w:val="6489E0AB"/>
    <w:rsid w:val="64939931"/>
    <w:rsid w:val="649C7C2D"/>
    <w:rsid w:val="64A29A6E"/>
    <w:rsid w:val="64D829DA"/>
    <w:rsid w:val="64E24EFB"/>
    <w:rsid w:val="6527469D"/>
    <w:rsid w:val="652754CA"/>
    <w:rsid w:val="653F51F8"/>
    <w:rsid w:val="65B7576A"/>
    <w:rsid w:val="65C92E96"/>
    <w:rsid w:val="65CFA258"/>
    <w:rsid w:val="65F29267"/>
    <w:rsid w:val="66100889"/>
    <w:rsid w:val="661C1E7D"/>
    <w:rsid w:val="66243D86"/>
    <w:rsid w:val="66358973"/>
    <w:rsid w:val="66369D50"/>
    <w:rsid w:val="66484B29"/>
    <w:rsid w:val="6661E2AD"/>
    <w:rsid w:val="6674C495"/>
    <w:rsid w:val="667A5DB0"/>
    <w:rsid w:val="6686C153"/>
    <w:rsid w:val="669307E8"/>
    <w:rsid w:val="66B12C93"/>
    <w:rsid w:val="66B46B10"/>
    <w:rsid w:val="66F11CD0"/>
    <w:rsid w:val="6720B50D"/>
    <w:rsid w:val="672D8597"/>
    <w:rsid w:val="67836A13"/>
    <w:rsid w:val="6784D538"/>
    <w:rsid w:val="67914DFA"/>
    <w:rsid w:val="67F9EF80"/>
    <w:rsid w:val="680A8CCC"/>
    <w:rsid w:val="682077EE"/>
    <w:rsid w:val="682AC2EF"/>
    <w:rsid w:val="683E4A04"/>
    <w:rsid w:val="685227E3"/>
    <w:rsid w:val="68750629"/>
    <w:rsid w:val="68843FB9"/>
    <w:rsid w:val="688F2AF8"/>
    <w:rsid w:val="68AE3128"/>
    <w:rsid w:val="68C6E2AB"/>
    <w:rsid w:val="68D0A68D"/>
    <w:rsid w:val="68D69A70"/>
    <w:rsid w:val="68EB4494"/>
    <w:rsid w:val="68FA4090"/>
    <w:rsid w:val="692513D8"/>
    <w:rsid w:val="695B3BE5"/>
    <w:rsid w:val="695DADBE"/>
    <w:rsid w:val="696C0A1B"/>
    <w:rsid w:val="699452F8"/>
    <w:rsid w:val="699D84DE"/>
    <w:rsid w:val="69D9AE8A"/>
    <w:rsid w:val="69EBD056"/>
    <w:rsid w:val="6A0C3214"/>
    <w:rsid w:val="6A2FD75E"/>
    <w:rsid w:val="6A757175"/>
    <w:rsid w:val="6A7C74D6"/>
    <w:rsid w:val="6A800042"/>
    <w:rsid w:val="6A8495B7"/>
    <w:rsid w:val="6AADE951"/>
    <w:rsid w:val="6ABABC11"/>
    <w:rsid w:val="6AFBF37A"/>
    <w:rsid w:val="6B07C48F"/>
    <w:rsid w:val="6B1125C2"/>
    <w:rsid w:val="6B507533"/>
    <w:rsid w:val="6B6AC360"/>
    <w:rsid w:val="6B82D1A7"/>
    <w:rsid w:val="6BB02CDD"/>
    <w:rsid w:val="6BF4BDC3"/>
    <w:rsid w:val="6BFA9B34"/>
    <w:rsid w:val="6BFE4A59"/>
    <w:rsid w:val="6BFFD9CF"/>
    <w:rsid w:val="6C04E65E"/>
    <w:rsid w:val="6C3391DB"/>
    <w:rsid w:val="6C4BEC00"/>
    <w:rsid w:val="6C759BC4"/>
    <w:rsid w:val="6CDB1E3C"/>
    <w:rsid w:val="6CF30430"/>
    <w:rsid w:val="6CF4FE98"/>
    <w:rsid w:val="6D068CE8"/>
    <w:rsid w:val="6D1B69FC"/>
    <w:rsid w:val="6D1C9E11"/>
    <w:rsid w:val="6D485B06"/>
    <w:rsid w:val="6D49610C"/>
    <w:rsid w:val="6D4ED6DB"/>
    <w:rsid w:val="6D513ACB"/>
    <w:rsid w:val="6D92DD83"/>
    <w:rsid w:val="6DBF0B37"/>
    <w:rsid w:val="6DD519EE"/>
    <w:rsid w:val="6DE714A2"/>
    <w:rsid w:val="6E0298EA"/>
    <w:rsid w:val="6E0E8881"/>
    <w:rsid w:val="6E207286"/>
    <w:rsid w:val="6E2395A0"/>
    <w:rsid w:val="6E3408DD"/>
    <w:rsid w:val="6E43EAA9"/>
    <w:rsid w:val="6E5AE4FF"/>
    <w:rsid w:val="6E8CEF41"/>
    <w:rsid w:val="6E9E39EC"/>
    <w:rsid w:val="6EA344BF"/>
    <w:rsid w:val="6EAD73B7"/>
    <w:rsid w:val="6EBD5B34"/>
    <w:rsid w:val="6ECA44E3"/>
    <w:rsid w:val="6F6672D3"/>
    <w:rsid w:val="6F759787"/>
    <w:rsid w:val="6FC908AE"/>
    <w:rsid w:val="6FE3B71B"/>
    <w:rsid w:val="6FE86A44"/>
    <w:rsid w:val="6FFBE364"/>
    <w:rsid w:val="7024FB94"/>
    <w:rsid w:val="70354818"/>
    <w:rsid w:val="7035FC70"/>
    <w:rsid w:val="70695094"/>
    <w:rsid w:val="707A3828"/>
    <w:rsid w:val="708D9E08"/>
    <w:rsid w:val="708EA4C3"/>
    <w:rsid w:val="70A41AC5"/>
    <w:rsid w:val="70BCF1A9"/>
    <w:rsid w:val="70C39B43"/>
    <w:rsid w:val="70C3AB61"/>
    <w:rsid w:val="70DA8106"/>
    <w:rsid w:val="70E587FA"/>
    <w:rsid w:val="70FC9CD4"/>
    <w:rsid w:val="7107663C"/>
    <w:rsid w:val="710E4A3B"/>
    <w:rsid w:val="71195F59"/>
    <w:rsid w:val="7126A4E5"/>
    <w:rsid w:val="714BB0D1"/>
    <w:rsid w:val="716EF5D1"/>
    <w:rsid w:val="7173F54C"/>
    <w:rsid w:val="717DA40D"/>
    <w:rsid w:val="71811554"/>
    <w:rsid w:val="719ED73D"/>
    <w:rsid w:val="71A39278"/>
    <w:rsid w:val="71B89F5D"/>
    <w:rsid w:val="71C786D5"/>
    <w:rsid w:val="71FEDE67"/>
    <w:rsid w:val="72014995"/>
    <w:rsid w:val="72032570"/>
    <w:rsid w:val="7208F57B"/>
    <w:rsid w:val="720CFA31"/>
    <w:rsid w:val="7214515D"/>
    <w:rsid w:val="7221FBF1"/>
    <w:rsid w:val="722D4501"/>
    <w:rsid w:val="72319B44"/>
    <w:rsid w:val="725C55E9"/>
    <w:rsid w:val="726D6CFB"/>
    <w:rsid w:val="7286E7F1"/>
    <w:rsid w:val="728FC2CB"/>
    <w:rsid w:val="729ED9E9"/>
    <w:rsid w:val="72CAC13A"/>
    <w:rsid w:val="72E812E5"/>
    <w:rsid w:val="72F7C459"/>
    <w:rsid w:val="72F82886"/>
    <w:rsid w:val="730A8960"/>
    <w:rsid w:val="731BF8B4"/>
    <w:rsid w:val="73450E0F"/>
    <w:rsid w:val="736A7683"/>
    <w:rsid w:val="73A5C5FB"/>
    <w:rsid w:val="73B8F029"/>
    <w:rsid w:val="73C75B17"/>
    <w:rsid w:val="7423EC05"/>
    <w:rsid w:val="745607CA"/>
    <w:rsid w:val="74773050"/>
    <w:rsid w:val="7487042A"/>
    <w:rsid w:val="74CF4FB4"/>
    <w:rsid w:val="74D1FF06"/>
    <w:rsid w:val="74D59FC1"/>
    <w:rsid w:val="74DD19FB"/>
    <w:rsid w:val="74E4D469"/>
    <w:rsid w:val="751402E7"/>
    <w:rsid w:val="751574F9"/>
    <w:rsid w:val="75274755"/>
    <w:rsid w:val="756553A9"/>
    <w:rsid w:val="75B9E370"/>
    <w:rsid w:val="75E72BE4"/>
    <w:rsid w:val="75E86B8F"/>
    <w:rsid w:val="75ED2867"/>
    <w:rsid w:val="75FDBF73"/>
    <w:rsid w:val="7612652E"/>
    <w:rsid w:val="761832DA"/>
    <w:rsid w:val="7629CA48"/>
    <w:rsid w:val="76364EB2"/>
    <w:rsid w:val="764C0B85"/>
    <w:rsid w:val="76630DC7"/>
    <w:rsid w:val="766FB296"/>
    <w:rsid w:val="767BBCC0"/>
    <w:rsid w:val="768B9899"/>
    <w:rsid w:val="7690B754"/>
    <w:rsid w:val="76A3E667"/>
    <w:rsid w:val="76BD67ED"/>
    <w:rsid w:val="76C921FC"/>
    <w:rsid w:val="76DBA94D"/>
    <w:rsid w:val="76F5B6E6"/>
    <w:rsid w:val="7707FDEB"/>
    <w:rsid w:val="7723FB0F"/>
    <w:rsid w:val="7788D44F"/>
    <w:rsid w:val="77CF440D"/>
    <w:rsid w:val="77D5A960"/>
    <w:rsid w:val="77E4F972"/>
    <w:rsid w:val="77F123CC"/>
    <w:rsid w:val="78382AA3"/>
    <w:rsid w:val="783E41E0"/>
    <w:rsid w:val="7843C6E5"/>
    <w:rsid w:val="78575E68"/>
    <w:rsid w:val="788ADC3C"/>
    <w:rsid w:val="78AB2550"/>
    <w:rsid w:val="78BB556B"/>
    <w:rsid w:val="78CF4207"/>
    <w:rsid w:val="78E67CD8"/>
    <w:rsid w:val="78E6D505"/>
    <w:rsid w:val="790F0A2E"/>
    <w:rsid w:val="791DA19A"/>
    <w:rsid w:val="7922F93C"/>
    <w:rsid w:val="7929D401"/>
    <w:rsid w:val="79A687C1"/>
    <w:rsid w:val="79B57D0C"/>
    <w:rsid w:val="79EE76B5"/>
    <w:rsid w:val="79FD491C"/>
    <w:rsid w:val="79FF024C"/>
    <w:rsid w:val="7A0B047F"/>
    <w:rsid w:val="7A2A9C5B"/>
    <w:rsid w:val="7A467CBD"/>
    <w:rsid w:val="7A47ADF9"/>
    <w:rsid w:val="7AC5B9DB"/>
    <w:rsid w:val="7AD128B0"/>
    <w:rsid w:val="7ADC7B5C"/>
    <w:rsid w:val="7AE7A86B"/>
    <w:rsid w:val="7AF71493"/>
    <w:rsid w:val="7AFB5770"/>
    <w:rsid w:val="7B295B60"/>
    <w:rsid w:val="7B436A04"/>
    <w:rsid w:val="7B54C0F3"/>
    <w:rsid w:val="7B70FA8E"/>
    <w:rsid w:val="7B8BCF69"/>
    <w:rsid w:val="7B8D5666"/>
    <w:rsid w:val="7BAC357B"/>
    <w:rsid w:val="7BEB8953"/>
    <w:rsid w:val="7C1263F5"/>
    <w:rsid w:val="7C1E8BBB"/>
    <w:rsid w:val="7C32A8EF"/>
    <w:rsid w:val="7CB8B373"/>
    <w:rsid w:val="7CC1BACC"/>
    <w:rsid w:val="7CCC3340"/>
    <w:rsid w:val="7CD33BB5"/>
    <w:rsid w:val="7CD935FC"/>
    <w:rsid w:val="7CD9A1E1"/>
    <w:rsid w:val="7CFA60BC"/>
    <w:rsid w:val="7D169DFF"/>
    <w:rsid w:val="7D486BAE"/>
    <w:rsid w:val="7D7BE0EC"/>
    <w:rsid w:val="7D870F73"/>
    <w:rsid w:val="7DB2F0C6"/>
    <w:rsid w:val="7E1F7936"/>
    <w:rsid w:val="7E324E02"/>
    <w:rsid w:val="7E5D217A"/>
    <w:rsid w:val="7E63EF10"/>
    <w:rsid w:val="7E6849E6"/>
    <w:rsid w:val="7EAC0627"/>
    <w:rsid w:val="7F09E8DD"/>
    <w:rsid w:val="7F194E2E"/>
    <w:rsid w:val="7F1A85F8"/>
    <w:rsid w:val="7F1B93C4"/>
    <w:rsid w:val="7F44F2C9"/>
    <w:rsid w:val="7F51C19A"/>
    <w:rsid w:val="7FADF327"/>
    <w:rsid w:val="7FB1EF69"/>
    <w:rsid w:val="7FC12BFD"/>
    <w:rsid w:val="7FD83814"/>
    <w:rsid w:val="7FE142C9"/>
    <w:rsid w:val="7FE869B0"/>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47EB2CB"/>
  <w15:chartTrackingRefBased/>
  <w15:docId w15:val="{C97CEF99-D0A1-4997-A986-A5FDC4355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 w:eastAsia="fr-BE"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658A"/>
    <w:pPr>
      <w:spacing w:after="200" w:line="276" w:lineRule="auto"/>
    </w:pPr>
    <w:rPr>
      <w:rFonts w:ascii="Calibri" w:eastAsia="Calibri" w:hAnsi="Calibri" w:cs="Myanmar Text"/>
      <w:kern w:val="0"/>
    </w:rPr>
  </w:style>
  <w:style w:type="paragraph" w:styleId="Heading1">
    <w:name w:val="heading 1"/>
    <w:basedOn w:val="Normal"/>
    <w:next w:val="Normal"/>
    <w:link w:val="Heading1Char"/>
    <w:uiPriority w:val="9"/>
    <w:qFormat/>
    <w:rsid w:val="00620A4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620A4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620A46"/>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620A46"/>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unhideWhenUsed/>
    <w:qFormat/>
    <w:rsid w:val="00620A46"/>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620A4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20A4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20A4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20A4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sz w:val="23"/>
      <w:u w:val="none"/>
    </w:rPr>
  </w:style>
  <w:style w:type="character" w:customStyle="1" w:styleId="Heading1Char">
    <w:name w:val="Heading 1 Char"/>
    <w:basedOn w:val="DefaultParagraphFont"/>
    <w:link w:val="Heading1"/>
    <w:uiPriority w:val="9"/>
    <w:rsid w:val="00620A4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620A4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620A4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rsid w:val="00620A4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rsid w:val="00620A4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20A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0A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0A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0A46"/>
    <w:rPr>
      <w:rFonts w:eastAsiaTheme="majorEastAsia" w:cstheme="majorBidi"/>
      <w:color w:val="272727" w:themeColor="text1" w:themeTint="D8"/>
    </w:rPr>
  </w:style>
  <w:style w:type="paragraph" w:styleId="Title">
    <w:name w:val="Title"/>
    <w:basedOn w:val="Normal"/>
    <w:next w:val="Normal"/>
    <w:link w:val="TitleChar"/>
    <w:uiPriority w:val="10"/>
    <w:qFormat/>
    <w:rsid w:val="00620A46"/>
    <w:pPr>
      <w:spacing w:after="80"/>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620A46"/>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620A46"/>
    <w:pPr>
      <w:numPr>
        <w:ilvl w:val="1"/>
      </w:numPr>
      <w:spacing w:after="160"/>
    </w:pPr>
    <w:rPr>
      <w:rFonts w:asciiTheme="minorHAnsi" w:eastAsiaTheme="majorEastAsia" w:hAnsiTheme="minorHAnsi" w:cstheme="majorBidi"/>
      <w:color w:val="595959" w:themeColor="text1" w:themeTint="A6"/>
      <w:sz w:val="28"/>
      <w:szCs w:val="28"/>
    </w:rPr>
  </w:style>
  <w:style w:type="character" w:customStyle="1" w:styleId="SubtitleChar">
    <w:name w:val="Subtitle Char"/>
    <w:basedOn w:val="DefaultParagraphFont"/>
    <w:link w:val="Subtitle"/>
    <w:uiPriority w:val="11"/>
    <w:rsid w:val="00620A46"/>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620A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20A46"/>
    <w:rPr>
      <w:rFonts w:ascii="Calibri" w:hAnsi="Calibri" w:cs="Calibri"/>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620A46"/>
    <w:pPr>
      <w:ind w:left="720"/>
      <w:contextualSpacing/>
    </w:pPr>
  </w:style>
  <w:style w:type="character" w:styleId="IntenseEmphasis">
    <w:name w:val="Intense Emphasis"/>
    <w:basedOn w:val="DefaultParagraphFont"/>
    <w:uiPriority w:val="21"/>
    <w:qFormat/>
    <w:rsid w:val="00620A46"/>
    <w:rPr>
      <w:i/>
      <w:iCs/>
      <w:color w:val="365F91" w:themeColor="accent1" w:themeShade="BF"/>
    </w:rPr>
  </w:style>
  <w:style w:type="paragraph" w:styleId="IntenseQuote">
    <w:name w:val="Intense Quote"/>
    <w:basedOn w:val="Normal"/>
    <w:next w:val="Normal"/>
    <w:link w:val="IntenseQuoteChar"/>
    <w:uiPriority w:val="30"/>
    <w:qFormat/>
    <w:rsid w:val="00620A4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20A46"/>
    <w:rPr>
      <w:rFonts w:ascii="Calibri" w:hAnsi="Calibri" w:cs="Calibri"/>
      <w:i/>
      <w:iCs/>
      <w:color w:val="365F91" w:themeColor="accent1" w:themeShade="BF"/>
    </w:rPr>
  </w:style>
  <w:style w:type="character" w:styleId="IntenseReference">
    <w:name w:val="Intense Reference"/>
    <w:basedOn w:val="DefaultParagraphFont"/>
    <w:uiPriority w:val="32"/>
    <w:qFormat/>
    <w:rsid w:val="00620A46"/>
    <w:rPr>
      <w:b/>
      <w:bCs/>
      <w:smallCaps/>
      <w:color w:val="365F91" w:themeColor="accent1" w:themeShade="BF"/>
    </w:rPr>
  </w:style>
  <w:style w:type="paragraph" w:styleId="Header">
    <w:name w:val="header"/>
    <w:basedOn w:val="Normal"/>
    <w:link w:val="HeaderChar"/>
    <w:uiPriority w:val="99"/>
    <w:unhideWhenUsed/>
    <w:rsid w:val="00620A46"/>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620A46"/>
    <w:rPr>
      <w:rFonts w:ascii="Times New Roman" w:eastAsia="Calibri" w:hAnsi="Times New Roman" w:cs="Times New Roman"/>
      <w:kern w:val="0"/>
      <w:sz w:val="24"/>
    </w:rPr>
  </w:style>
  <w:style w:type="paragraph" w:styleId="Footer">
    <w:name w:val="footer"/>
    <w:basedOn w:val="Normal"/>
    <w:link w:val="FooterChar"/>
    <w:uiPriority w:val="99"/>
    <w:unhideWhenUsed/>
    <w:rsid w:val="00620A4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620A46"/>
    <w:rPr>
      <w:rFonts w:ascii="Times New Roman" w:eastAsia="Calibri" w:hAnsi="Times New Roman" w:cs="Times New Roman"/>
      <w:kern w:val="0"/>
      <w:sz w:val="24"/>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link w:val="ListParagraph"/>
    <w:uiPriority w:val="34"/>
    <w:qFormat/>
    <w:locked/>
    <w:rsid w:val="00620A46"/>
    <w:rPr>
      <w:rFonts w:ascii="Calibri" w:hAnsi="Calibri" w:cs="Calibri"/>
    </w:rPr>
  </w:style>
  <w:style w:type="paragraph" w:customStyle="1" w:styleId="HeaderCouncilLarge">
    <w:name w:val="Header Council Large"/>
    <w:basedOn w:val="Normal"/>
    <w:link w:val="HeaderCouncilLargeChar"/>
    <w:rsid w:val="00620A46"/>
    <w:pPr>
      <w:spacing w:after="440"/>
    </w:pPr>
    <w:rPr>
      <w:rFonts w:ascii="Times New Roman" w:hAnsi="Times New Roman"/>
      <w:sz w:val="2"/>
    </w:rPr>
  </w:style>
  <w:style w:type="character" w:customStyle="1" w:styleId="HeaderCouncilLargeChar">
    <w:name w:val="Header Council Large Char"/>
    <w:basedOn w:val="DefaultParagraphFont"/>
    <w:link w:val="HeaderCouncilLarge"/>
    <w:rsid w:val="00620A46"/>
    <w:rPr>
      <w:rFonts w:ascii="Calibri" w:eastAsia="Calibri" w:hAnsi="Calibri" w:cs="Myanmar Text"/>
      <w:kern w:val="0"/>
      <w:sz w:val="2"/>
    </w:rPr>
  </w:style>
  <w:style w:type="paragraph" w:customStyle="1" w:styleId="FooterCouncil">
    <w:name w:val="Footer Council"/>
    <w:basedOn w:val="Normal"/>
    <w:link w:val="FooterCouncilChar"/>
    <w:rsid w:val="00620A46"/>
    <w:pPr>
      <w:spacing w:after="0"/>
    </w:pPr>
    <w:rPr>
      <w:rFonts w:ascii="Times New Roman" w:hAnsi="Times New Roman"/>
      <w:sz w:val="2"/>
    </w:rPr>
  </w:style>
  <w:style w:type="character" w:customStyle="1" w:styleId="FooterCouncilChar">
    <w:name w:val="Footer Council Char"/>
    <w:basedOn w:val="DefaultParagraphFont"/>
    <w:link w:val="FooterCouncil"/>
    <w:rsid w:val="00620A46"/>
    <w:rPr>
      <w:rFonts w:ascii="Calibri" w:eastAsia="Calibri" w:hAnsi="Calibri" w:cs="Myanmar Text"/>
      <w:kern w:val="0"/>
      <w:sz w:val="2"/>
    </w:rPr>
  </w:style>
  <w:style w:type="paragraph" w:styleId="Revision">
    <w:name w:val="Revision"/>
    <w:hidden/>
    <w:uiPriority w:val="99"/>
    <w:semiHidden/>
    <w:rsid w:val="00184BFD"/>
    <w:rPr>
      <w:rFonts w:ascii="Calibri" w:eastAsia="Calibri" w:hAnsi="Calibri" w:cs="Myanmar Text"/>
      <w:kern w:val="0"/>
    </w:rPr>
  </w:style>
  <w:style w:type="character" w:styleId="CommentReference">
    <w:name w:val="annotation reference"/>
    <w:basedOn w:val="DefaultParagraphFont"/>
    <w:uiPriority w:val="99"/>
    <w:unhideWhenUsed/>
    <w:rsid w:val="00717D82"/>
    <w:rPr>
      <w:sz w:val="16"/>
      <w:szCs w:val="16"/>
    </w:rPr>
  </w:style>
  <w:style w:type="paragraph" w:styleId="CommentText">
    <w:name w:val="annotation text"/>
    <w:basedOn w:val="Normal"/>
    <w:link w:val="CommentTextChar"/>
    <w:uiPriority w:val="99"/>
    <w:unhideWhenUsed/>
    <w:rsid w:val="00717D82"/>
    <w:pPr>
      <w:spacing w:line="240" w:lineRule="auto"/>
    </w:pPr>
    <w:rPr>
      <w:sz w:val="20"/>
      <w:szCs w:val="20"/>
    </w:rPr>
  </w:style>
  <w:style w:type="character" w:customStyle="1" w:styleId="CommentTextChar">
    <w:name w:val="Comment Text Char"/>
    <w:basedOn w:val="DefaultParagraphFont"/>
    <w:link w:val="CommentText"/>
    <w:uiPriority w:val="99"/>
    <w:rsid w:val="00717D82"/>
    <w:rPr>
      <w:rFonts w:ascii="Calibri" w:eastAsia="Calibri" w:hAnsi="Calibri" w:cs="Myanmar Text"/>
      <w:kern w:val="0"/>
      <w:sz w:val="20"/>
      <w:szCs w:val="20"/>
    </w:rPr>
  </w:style>
  <w:style w:type="paragraph" w:styleId="CommentSubject">
    <w:name w:val="annotation subject"/>
    <w:basedOn w:val="CommentText"/>
    <w:next w:val="CommentText"/>
    <w:link w:val="CommentSubjectChar"/>
    <w:uiPriority w:val="99"/>
    <w:semiHidden/>
    <w:unhideWhenUsed/>
    <w:rsid w:val="00717D82"/>
    <w:rPr>
      <w:b/>
      <w:bCs/>
    </w:rPr>
  </w:style>
  <w:style w:type="character" w:customStyle="1" w:styleId="CommentSubjectChar">
    <w:name w:val="Comment Subject Char"/>
    <w:basedOn w:val="CommentTextChar"/>
    <w:link w:val="CommentSubject"/>
    <w:uiPriority w:val="99"/>
    <w:semiHidden/>
    <w:rsid w:val="00717D82"/>
    <w:rPr>
      <w:rFonts w:ascii="Calibri" w:eastAsia="Calibri" w:hAnsi="Calibri" w:cs="Myanmar Text"/>
      <w:b/>
      <w:bCs/>
      <w:kern w:val="0"/>
      <w:sz w:val="20"/>
      <w:szCs w:val="20"/>
    </w:rPr>
  </w:style>
  <w:style w:type="character" w:customStyle="1" w:styleId="Mention1">
    <w:name w:val="Mention1"/>
    <w:basedOn w:val="DefaultParagraphFont"/>
    <w:uiPriority w:val="99"/>
    <w:unhideWhenUsed/>
    <w:rsid w:val="00CD745B"/>
    <w:rPr>
      <w:color w:val="2B579A"/>
      <w:shd w:val="clear" w:color="auto" w:fill="E1DFDD"/>
    </w:rPr>
  </w:style>
  <w:style w:type="character" w:styleId="Hyperlink">
    <w:name w:val="Hyperlink"/>
    <w:basedOn w:val="DefaultParagraphFont"/>
    <w:uiPriority w:val="99"/>
    <w:unhideWhenUsed/>
    <w:rsid w:val="0090177B"/>
    <w:rPr>
      <w:color w:val="0000FF" w:themeColor="hyperlink"/>
      <w:u w:val="single"/>
    </w:rPr>
  </w:style>
  <w:style w:type="character" w:customStyle="1" w:styleId="UnresolvedMention1">
    <w:name w:val="Unresolved Mention1"/>
    <w:basedOn w:val="DefaultParagraphFont"/>
    <w:uiPriority w:val="99"/>
    <w:semiHidden/>
    <w:unhideWhenUsed/>
    <w:rsid w:val="0090177B"/>
    <w:rPr>
      <w:color w:val="605E5C"/>
      <w:shd w:val="clear" w:color="auto" w:fill="E1DFDD"/>
    </w:rPr>
  </w:style>
  <w:style w:type="paragraph" w:styleId="FootnoteText">
    <w:name w:val="footnote text"/>
    <w:basedOn w:val="Normal"/>
    <w:link w:val="FootnoteTextChar"/>
    <w:uiPriority w:val="99"/>
    <w:unhideWhenUsed/>
    <w:rsid w:val="00315FC0"/>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sid w:val="00315FC0"/>
    <w:rPr>
      <w:rFonts w:ascii="Times New Roman" w:eastAsia="Calibri" w:hAnsi="Times New Roman" w:cs="Times New Roman"/>
      <w:kern w:val="0"/>
      <w:sz w:val="20"/>
      <w:szCs w:val="20"/>
    </w:rPr>
  </w:style>
  <w:style w:type="character" w:styleId="FootnoteReference">
    <w:name w:val="footnote reference"/>
    <w:uiPriority w:val="99"/>
    <w:unhideWhenUsed/>
    <w:rsid w:val="00315FC0"/>
    <w:rPr>
      <w:shd w:val="clear" w:color="auto" w:fill="auto"/>
      <w:vertAlign w:val="superscript"/>
    </w:rPr>
  </w:style>
  <w:style w:type="character" w:customStyle="1" w:styleId="normaltextrun">
    <w:name w:val="normaltextrun"/>
    <w:basedOn w:val="DefaultParagraphFont"/>
    <w:rsid w:val="00315FC0"/>
  </w:style>
  <w:style w:type="paragraph" w:customStyle="1" w:styleId="LegalNumPar">
    <w:name w:val="LegalNumPar"/>
    <w:basedOn w:val="Normal"/>
    <w:rsid w:val="00315FC0"/>
    <w:pPr>
      <w:numPr>
        <w:numId w:val="1"/>
      </w:numPr>
      <w:spacing w:after="160" w:line="259" w:lineRule="auto"/>
    </w:pPr>
    <w:rPr>
      <w:rFonts w:asciiTheme="minorHAnsi" w:eastAsiaTheme="minorHAnsi" w:hAnsiTheme="minorHAnsi" w:cstheme="minorBidi"/>
    </w:rPr>
  </w:style>
  <w:style w:type="paragraph" w:customStyle="1" w:styleId="LegalNumPar2">
    <w:name w:val="LegalNumPar2"/>
    <w:basedOn w:val="Normal"/>
    <w:rsid w:val="00315FC0"/>
    <w:pPr>
      <w:numPr>
        <w:ilvl w:val="1"/>
        <w:numId w:val="1"/>
      </w:numPr>
      <w:spacing w:after="160" w:line="259" w:lineRule="auto"/>
    </w:pPr>
    <w:rPr>
      <w:rFonts w:asciiTheme="minorHAnsi" w:eastAsiaTheme="minorHAnsi" w:hAnsiTheme="minorHAnsi" w:cstheme="minorBidi"/>
    </w:rPr>
  </w:style>
  <w:style w:type="paragraph" w:customStyle="1" w:styleId="LegalNumPar3">
    <w:name w:val="LegalNumPar3"/>
    <w:basedOn w:val="Normal"/>
    <w:rsid w:val="00315FC0"/>
    <w:pPr>
      <w:numPr>
        <w:ilvl w:val="2"/>
        <w:numId w:val="1"/>
      </w:numPr>
      <w:spacing w:after="160" w:line="259" w:lineRule="auto"/>
    </w:pPr>
    <w:rPr>
      <w:rFonts w:asciiTheme="minorHAnsi" w:eastAsiaTheme="minorHAnsi" w:hAnsiTheme="minorHAnsi" w:cstheme="minorBidi"/>
    </w:rPr>
  </w:style>
  <w:style w:type="table" w:styleId="TableGrid">
    <w:name w:val="Table Grid"/>
    <w:basedOn w:val="TableNormal"/>
    <w:uiPriority w:val="39"/>
    <w:rsid w:val="00315FC0"/>
    <w:rPr>
      <w:kern w:val="0"/>
    </w:rPr>
    <w:tblPr/>
  </w:style>
  <w:style w:type="paragraph" w:customStyle="1" w:styleId="xmsonormal">
    <w:name w:val="x_msonormal"/>
    <w:basedOn w:val="Normal"/>
    <w:rsid w:val="00315FC0"/>
    <w:pPr>
      <w:spacing w:after="0" w:line="240" w:lineRule="auto"/>
    </w:pPr>
    <w:rPr>
      <w:rFonts w:ascii="Times New Roman" w:eastAsiaTheme="minorHAnsi" w:hAnsi="Times New Roman" w:cs="Times New Roman"/>
      <w:sz w:val="24"/>
      <w:szCs w:val="24"/>
    </w:rPr>
  </w:style>
  <w:style w:type="paragraph" w:customStyle="1" w:styleId="paragraph">
    <w:name w:val="paragraph"/>
    <w:basedOn w:val="Normal"/>
    <w:rsid w:val="00315F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315FC0"/>
  </w:style>
  <w:style w:type="paragraph" w:customStyle="1" w:styleId="Default">
    <w:name w:val="Default"/>
    <w:rsid w:val="00315FC0"/>
    <w:pPr>
      <w:autoSpaceDE w:val="0"/>
      <w:autoSpaceDN w:val="0"/>
      <w:adjustRightInd w:val="0"/>
    </w:pPr>
    <w:rPr>
      <w:rFonts w:ascii="Calibri" w:hAnsi="Calibri" w:cs="Calibri"/>
      <w:color w:val="000000"/>
      <w:kern w:val="0"/>
      <w:sz w:val="24"/>
      <w:szCs w:val="24"/>
    </w:rPr>
  </w:style>
  <w:style w:type="paragraph" w:styleId="PlainText">
    <w:name w:val="Plain Text"/>
    <w:basedOn w:val="Normal"/>
    <w:link w:val="PlainTextChar"/>
    <w:uiPriority w:val="99"/>
    <w:unhideWhenUsed/>
    <w:rsid w:val="00315FC0"/>
    <w:pPr>
      <w:spacing w:after="0" w:line="240" w:lineRule="auto"/>
    </w:pPr>
    <w:rPr>
      <w:rFonts w:eastAsiaTheme="minorHAnsi" w:cs="Calibri"/>
    </w:rPr>
  </w:style>
  <w:style w:type="character" w:customStyle="1" w:styleId="PlainTextChar">
    <w:name w:val="Plain Text Char"/>
    <w:basedOn w:val="DefaultParagraphFont"/>
    <w:link w:val="PlainText"/>
    <w:uiPriority w:val="99"/>
    <w:rsid w:val="00315FC0"/>
    <w:rPr>
      <w:rFonts w:ascii="Calibri" w:hAnsi="Calibri" w:cs="Calibri"/>
      <w:kern w:val="0"/>
    </w:rPr>
  </w:style>
  <w:style w:type="numbering" w:customStyle="1" w:styleId="NoList1">
    <w:name w:val="No List1"/>
    <w:next w:val="NoList"/>
    <w:uiPriority w:val="99"/>
    <w:semiHidden/>
    <w:unhideWhenUsed/>
    <w:rsid w:val="00315FC0"/>
  </w:style>
  <w:style w:type="paragraph" w:styleId="TOCHeading">
    <w:name w:val="TOC Heading"/>
    <w:basedOn w:val="Normal"/>
    <w:next w:val="Normal"/>
    <w:uiPriority w:val="39"/>
    <w:semiHidden/>
    <w:unhideWhenUsed/>
    <w:qFormat/>
    <w:rsid w:val="00315FC0"/>
    <w:pPr>
      <w:spacing w:before="120" w:after="240" w:line="240" w:lineRule="auto"/>
      <w:jc w:val="center"/>
    </w:pPr>
    <w:rPr>
      <w:rFonts w:ascii="Times New Roman" w:hAnsi="Times New Roman" w:cs="Times New Roman"/>
      <w:b/>
      <w:sz w:val="28"/>
    </w:rPr>
  </w:style>
  <w:style w:type="paragraph" w:styleId="TOC1">
    <w:name w:val="toc 1"/>
    <w:basedOn w:val="Normal"/>
    <w:next w:val="Normal"/>
    <w:uiPriority w:val="39"/>
    <w:semiHidden/>
    <w:unhideWhenUsed/>
    <w:rsid w:val="00315FC0"/>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semiHidden/>
    <w:unhideWhenUsed/>
    <w:rsid w:val="00315FC0"/>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semiHidden/>
    <w:unhideWhenUsed/>
    <w:rsid w:val="00315FC0"/>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semiHidden/>
    <w:unhideWhenUsed/>
    <w:rsid w:val="00315FC0"/>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rsid w:val="00315FC0"/>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rsid w:val="00315FC0"/>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semiHidden/>
    <w:unhideWhenUsed/>
    <w:rsid w:val="00315FC0"/>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rsid w:val="00315FC0"/>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rsid w:val="00315FC0"/>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
    <w:rsid w:val="00315FC0"/>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rsid w:val="00315FC0"/>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HeaderSensitivity">
    <w:name w:val="Header Sensitivity"/>
    <w:basedOn w:val="Normal"/>
    <w:rsid w:val="00315FC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315FC0"/>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315FC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rsid w:val="00315FC0"/>
    <w:pPr>
      <w:spacing w:before="120" w:after="120" w:line="240" w:lineRule="auto"/>
      <w:ind w:left="850"/>
      <w:jc w:val="both"/>
    </w:pPr>
    <w:rPr>
      <w:rFonts w:ascii="Times New Roman" w:hAnsi="Times New Roman" w:cs="Times New Roman"/>
      <w:sz w:val="24"/>
    </w:rPr>
  </w:style>
  <w:style w:type="paragraph" w:customStyle="1" w:styleId="Text2">
    <w:name w:val="Text 2"/>
    <w:basedOn w:val="Normal"/>
    <w:rsid w:val="00315FC0"/>
    <w:pPr>
      <w:spacing w:before="120" w:after="120" w:line="240" w:lineRule="auto"/>
      <w:ind w:left="1417"/>
      <w:jc w:val="both"/>
    </w:pPr>
    <w:rPr>
      <w:rFonts w:ascii="Times New Roman" w:hAnsi="Times New Roman" w:cs="Times New Roman"/>
      <w:sz w:val="24"/>
    </w:rPr>
  </w:style>
  <w:style w:type="paragraph" w:customStyle="1" w:styleId="Text3">
    <w:name w:val="Text 3"/>
    <w:basedOn w:val="Normal"/>
    <w:rsid w:val="00315FC0"/>
    <w:pPr>
      <w:spacing w:before="120" w:after="120" w:line="240" w:lineRule="auto"/>
      <w:ind w:left="1984"/>
      <w:jc w:val="both"/>
    </w:pPr>
    <w:rPr>
      <w:rFonts w:ascii="Times New Roman" w:hAnsi="Times New Roman" w:cs="Times New Roman"/>
      <w:sz w:val="24"/>
    </w:rPr>
  </w:style>
  <w:style w:type="paragraph" w:customStyle="1" w:styleId="Text4">
    <w:name w:val="Text 4"/>
    <w:basedOn w:val="Normal"/>
    <w:rsid w:val="00315FC0"/>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
    <w:rsid w:val="00315FC0"/>
    <w:pPr>
      <w:spacing w:before="120" w:after="120" w:line="240" w:lineRule="auto"/>
      <w:jc w:val="center"/>
    </w:pPr>
    <w:rPr>
      <w:rFonts w:ascii="Times New Roman" w:hAnsi="Times New Roman" w:cs="Times New Roman"/>
      <w:sz w:val="24"/>
    </w:rPr>
  </w:style>
  <w:style w:type="paragraph" w:customStyle="1" w:styleId="NormalLeft">
    <w:name w:val="Normal Left"/>
    <w:basedOn w:val="Normal"/>
    <w:rsid w:val="00315FC0"/>
    <w:pPr>
      <w:spacing w:before="120" w:after="120" w:line="240" w:lineRule="auto"/>
    </w:pPr>
    <w:rPr>
      <w:rFonts w:ascii="Times New Roman" w:hAnsi="Times New Roman" w:cs="Times New Roman"/>
      <w:sz w:val="24"/>
    </w:rPr>
  </w:style>
  <w:style w:type="paragraph" w:customStyle="1" w:styleId="NormalRight">
    <w:name w:val="Normal Right"/>
    <w:basedOn w:val="Normal"/>
    <w:rsid w:val="00315FC0"/>
    <w:pPr>
      <w:spacing w:before="120" w:after="120" w:line="240" w:lineRule="auto"/>
      <w:jc w:val="right"/>
    </w:pPr>
    <w:rPr>
      <w:rFonts w:ascii="Times New Roman" w:hAnsi="Times New Roman" w:cs="Times New Roman"/>
      <w:sz w:val="24"/>
    </w:rPr>
  </w:style>
  <w:style w:type="paragraph" w:customStyle="1" w:styleId="QuotedText">
    <w:name w:val="Quoted Text"/>
    <w:basedOn w:val="Normal"/>
    <w:rsid w:val="00315FC0"/>
    <w:pPr>
      <w:spacing w:before="120" w:after="120" w:line="240" w:lineRule="auto"/>
      <w:ind w:left="1417"/>
      <w:jc w:val="both"/>
    </w:pPr>
    <w:rPr>
      <w:rFonts w:ascii="Times New Roman" w:hAnsi="Times New Roman" w:cs="Times New Roman"/>
      <w:sz w:val="24"/>
    </w:rPr>
  </w:style>
  <w:style w:type="paragraph" w:customStyle="1" w:styleId="Point0">
    <w:name w:val="Point 0"/>
    <w:basedOn w:val="Normal"/>
    <w:rsid w:val="00315FC0"/>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
    <w:rsid w:val="00315FC0"/>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
    <w:rsid w:val="00315FC0"/>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
    <w:rsid w:val="00315FC0"/>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
    <w:rsid w:val="00315FC0"/>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rsid w:val="00315FC0"/>
    <w:pPr>
      <w:numPr>
        <w:numId w:val="2"/>
      </w:numPr>
      <w:tabs>
        <w:tab w:val="clear" w:pos="850"/>
        <w:tab w:val="num" w:pos="3118"/>
      </w:tabs>
      <w:ind w:left="3118" w:hanging="567"/>
    </w:pPr>
  </w:style>
  <w:style w:type="paragraph" w:customStyle="1" w:styleId="Tiret1">
    <w:name w:val="Tiret 1"/>
    <w:basedOn w:val="Point1"/>
    <w:rsid w:val="00315FC0"/>
    <w:pPr>
      <w:numPr>
        <w:numId w:val="3"/>
      </w:numPr>
      <w:tabs>
        <w:tab w:val="clear" w:pos="1417"/>
        <w:tab w:val="num" w:pos="850"/>
      </w:tabs>
      <w:ind w:left="850" w:hanging="850"/>
    </w:pPr>
  </w:style>
  <w:style w:type="paragraph" w:customStyle="1" w:styleId="Tiret2">
    <w:name w:val="Tiret 2"/>
    <w:basedOn w:val="Point2"/>
    <w:rsid w:val="00315FC0"/>
    <w:pPr>
      <w:numPr>
        <w:numId w:val="4"/>
      </w:numPr>
      <w:tabs>
        <w:tab w:val="clear" w:pos="1984"/>
        <w:tab w:val="num" w:pos="850"/>
      </w:tabs>
      <w:ind w:left="850" w:hanging="850"/>
    </w:pPr>
  </w:style>
  <w:style w:type="paragraph" w:customStyle="1" w:styleId="Tiret3">
    <w:name w:val="Tiret 3"/>
    <w:basedOn w:val="Point3"/>
    <w:rsid w:val="00315FC0"/>
    <w:pPr>
      <w:numPr>
        <w:numId w:val="5"/>
      </w:numPr>
      <w:tabs>
        <w:tab w:val="clear" w:pos="2551"/>
        <w:tab w:val="num" w:pos="850"/>
      </w:tabs>
      <w:ind w:left="850" w:hanging="850"/>
    </w:pPr>
  </w:style>
  <w:style w:type="paragraph" w:customStyle="1" w:styleId="Tiret4">
    <w:name w:val="Tiret 4"/>
    <w:basedOn w:val="Point4"/>
    <w:rsid w:val="00315FC0"/>
    <w:pPr>
      <w:numPr>
        <w:numId w:val="6"/>
      </w:numPr>
      <w:tabs>
        <w:tab w:val="clear" w:pos="3118"/>
        <w:tab w:val="num" w:pos="850"/>
      </w:tabs>
      <w:ind w:left="850" w:hanging="850"/>
    </w:pPr>
  </w:style>
  <w:style w:type="paragraph" w:customStyle="1" w:styleId="PointDouble0">
    <w:name w:val="PointDouble 0"/>
    <w:basedOn w:val="Normal"/>
    <w:rsid w:val="00315FC0"/>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rsid w:val="00315FC0"/>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rsid w:val="00315FC0"/>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rsid w:val="00315FC0"/>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rsid w:val="00315FC0"/>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rsid w:val="00315FC0"/>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rsid w:val="00315FC0"/>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rsid w:val="00315FC0"/>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rsid w:val="00315FC0"/>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rsid w:val="00315FC0"/>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
    <w:next w:val="Text1"/>
    <w:rsid w:val="00315FC0"/>
    <w:pPr>
      <w:numPr>
        <w:numId w:val="7"/>
      </w:numPr>
      <w:tabs>
        <w:tab w:val="clear" w:pos="850"/>
        <w:tab w:val="num" w:pos="1417"/>
      </w:tabs>
      <w:spacing w:before="120" w:after="120" w:line="240" w:lineRule="auto"/>
      <w:ind w:left="1417" w:hanging="567"/>
      <w:jc w:val="both"/>
    </w:pPr>
    <w:rPr>
      <w:rFonts w:ascii="Times New Roman" w:hAnsi="Times New Roman" w:cs="Times New Roman"/>
      <w:sz w:val="24"/>
    </w:rPr>
  </w:style>
  <w:style w:type="paragraph" w:customStyle="1" w:styleId="NumPar2">
    <w:name w:val="NumPar 2"/>
    <w:basedOn w:val="Normal"/>
    <w:next w:val="Text1"/>
    <w:rsid w:val="00315FC0"/>
    <w:pPr>
      <w:numPr>
        <w:ilvl w:val="1"/>
        <w:numId w:val="7"/>
      </w:numPr>
      <w:tabs>
        <w:tab w:val="clear" w:pos="850"/>
        <w:tab w:val="num" w:pos="1417"/>
      </w:tabs>
      <w:spacing w:before="120" w:after="120" w:line="240" w:lineRule="auto"/>
      <w:ind w:left="1417" w:hanging="567"/>
      <w:jc w:val="both"/>
    </w:pPr>
    <w:rPr>
      <w:rFonts w:ascii="Times New Roman" w:hAnsi="Times New Roman" w:cs="Times New Roman"/>
      <w:sz w:val="24"/>
    </w:rPr>
  </w:style>
  <w:style w:type="paragraph" w:customStyle="1" w:styleId="NumPar3">
    <w:name w:val="NumPar 3"/>
    <w:basedOn w:val="Normal"/>
    <w:next w:val="Text1"/>
    <w:rsid w:val="00315FC0"/>
    <w:pPr>
      <w:numPr>
        <w:ilvl w:val="2"/>
        <w:numId w:val="7"/>
      </w:numPr>
      <w:tabs>
        <w:tab w:val="clear" w:pos="850"/>
        <w:tab w:val="num" w:pos="1417"/>
      </w:tabs>
      <w:spacing w:before="120" w:after="120" w:line="240" w:lineRule="auto"/>
      <w:ind w:left="1417" w:hanging="567"/>
      <w:jc w:val="both"/>
    </w:pPr>
    <w:rPr>
      <w:rFonts w:ascii="Times New Roman" w:hAnsi="Times New Roman" w:cs="Times New Roman"/>
      <w:sz w:val="24"/>
    </w:rPr>
  </w:style>
  <w:style w:type="paragraph" w:customStyle="1" w:styleId="NumPar4">
    <w:name w:val="NumPar 4"/>
    <w:basedOn w:val="Normal"/>
    <w:next w:val="Text1"/>
    <w:rsid w:val="00315FC0"/>
    <w:pPr>
      <w:numPr>
        <w:ilvl w:val="3"/>
        <w:numId w:val="7"/>
      </w:numPr>
      <w:tabs>
        <w:tab w:val="clear" w:pos="850"/>
        <w:tab w:val="num" w:pos="1417"/>
      </w:tabs>
      <w:spacing w:before="120" w:after="120" w:line="240" w:lineRule="auto"/>
      <w:ind w:left="1417" w:hanging="567"/>
      <w:jc w:val="both"/>
    </w:pPr>
    <w:rPr>
      <w:rFonts w:ascii="Times New Roman" w:hAnsi="Times New Roman" w:cs="Times New Roman"/>
      <w:sz w:val="24"/>
    </w:rPr>
  </w:style>
  <w:style w:type="paragraph" w:customStyle="1" w:styleId="ManualNumPar1">
    <w:name w:val="Manual NumPar 1"/>
    <w:basedOn w:val="Normal"/>
    <w:next w:val="Text1"/>
    <w:rsid w:val="00315FC0"/>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Text1"/>
    <w:rsid w:val="00315FC0"/>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Text1"/>
    <w:rsid w:val="00315FC0"/>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Text1"/>
    <w:rsid w:val="00315FC0"/>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
    <w:rsid w:val="00315FC0"/>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
    <w:next w:val="Text1"/>
    <w:rsid w:val="00315FC0"/>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Text1"/>
    <w:rsid w:val="00315FC0"/>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Text1"/>
    <w:rsid w:val="00315FC0"/>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Text1"/>
    <w:rsid w:val="00315FC0"/>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
    <w:next w:val="Normal"/>
    <w:rsid w:val="00315FC0"/>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
    <w:next w:val="ChapterTitle"/>
    <w:rsid w:val="00315FC0"/>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
    <w:next w:val="Heading1"/>
    <w:rsid w:val="00315FC0"/>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
    <w:next w:val="Normal"/>
    <w:rsid w:val="00315FC0"/>
    <w:pPr>
      <w:spacing w:before="120" w:after="120" w:line="240" w:lineRule="auto"/>
      <w:jc w:val="center"/>
    </w:pPr>
    <w:rPr>
      <w:rFonts w:ascii="Times New Roman" w:hAnsi="Times New Roman" w:cs="Times New Roman"/>
      <w:b/>
      <w:sz w:val="24"/>
    </w:rPr>
  </w:style>
  <w:style w:type="character" w:customStyle="1" w:styleId="Marker">
    <w:name w:val="Marker"/>
    <w:basedOn w:val="DefaultParagraphFont"/>
    <w:rsid w:val="00315FC0"/>
    <w:rPr>
      <w:color w:val="0000FF"/>
      <w:bdr w:val="none" w:sz="0" w:space="0" w:color="auto"/>
      <w:shd w:val="clear" w:color="auto" w:fill="auto"/>
    </w:rPr>
  </w:style>
  <w:style w:type="character" w:customStyle="1" w:styleId="Marker1">
    <w:name w:val="Marker1"/>
    <w:rsid w:val="00315FC0"/>
    <w:rPr>
      <w:color w:val="008000"/>
      <w:shd w:val="clear" w:color="auto" w:fill="auto"/>
    </w:rPr>
  </w:style>
  <w:style w:type="character" w:customStyle="1" w:styleId="Marker2">
    <w:name w:val="Marker2"/>
    <w:rsid w:val="00315FC0"/>
    <w:rPr>
      <w:color w:val="FF0000"/>
      <w:shd w:val="clear" w:color="auto" w:fill="auto"/>
    </w:rPr>
  </w:style>
  <w:style w:type="paragraph" w:customStyle="1" w:styleId="Point0number">
    <w:name w:val="Point 0 (number)"/>
    <w:basedOn w:val="Normal"/>
    <w:rsid w:val="00315FC0"/>
    <w:pPr>
      <w:numPr>
        <w:numId w:val="8"/>
      </w:numPr>
      <w:tabs>
        <w:tab w:val="clear" w:pos="850"/>
        <w:tab w:val="num" w:pos="360"/>
        <w:tab w:val="num" w:pos="2551"/>
      </w:tabs>
      <w:spacing w:before="120" w:after="120" w:line="240" w:lineRule="auto"/>
      <w:ind w:left="2551" w:hanging="567"/>
      <w:jc w:val="both"/>
    </w:pPr>
    <w:rPr>
      <w:rFonts w:ascii="Times New Roman" w:hAnsi="Times New Roman" w:cs="Times New Roman"/>
      <w:sz w:val="24"/>
    </w:rPr>
  </w:style>
  <w:style w:type="paragraph" w:customStyle="1" w:styleId="Point1number">
    <w:name w:val="Point 1 (number)"/>
    <w:basedOn w:val="Normal"/>
    <w:rsid w:val="00315FC0"/>
    <w:pPr>
      <w:numPr>
        <w:ilvl w:val="2"/>
        <w:numId w:val="8"/>
      </w:numPr>
      <w:tabs>
        <w:tab w:val="clear" w:pos="1417"/>
        <w:tab w:val="num" w:pos="360"/>
        <w:tab w:val="num" w:pos="2551"/>
      </w:tabs>
      <w:spacing w:before="120" w:after="120" w:line="240" w:lineRule="auto"/>
      <w:ind w:left="2551" w:firstLine="0"/>
      <w:jc w:val="both"/>
    </w:pPr>
    <w:rPr>
      <w:rFonts w:ascii="Times New Roman" w:hAnsi="Times New Roman" w:cs="Times New Roman"/>
      <w:sz w:val="24"/>
    </w:rPr>
  </w:style>
  <w:style w:type="paragraph" w:customStyle="1" w:styleId="Point2number">
    <w:name w:val="Point 2 (number)"/>
    <w:basedOn w:val="Normal"/>
    <w:rsid w:val="00315FC0"/>
    <w:pPr>
      <w:numPr>
        <w:ilvl w:val="4"/>
        <w:numId w:val="8"/>
      </w:numPr>
      <w:tabs>
        <w:tab w:val="clear" w:pos="1984"/>
        <w:tab w:val="num" w:pos="360"/>
        <w:tab w:val="num" w:pos="2551"/>
      </w:tabs>
      <w:spacing w:before="120" w:after="120" w:line="240" w:lineRule="auto"/>
      <w:ind w:left="2551" w:firstLine="0"/>
      <w:jc w:val="both"/>
    </w:pPr>
    <w:rPr>
      <w:rFonts w:ascii="Times New Roman" w:hAnsi="Times New Roman" w:cs="Times New Roman"/>
      <w:sz w:val="24"/>
    </w:rPr>
  </w:style>
  <w:style w:type="paragraph" w:customStyle="1" w:styleId="Point3number">
    <w:name w:val="Point 3 (number)"/>
    <w:basedOn w:val="Normal"/>
    <w:rsid w:val="00315FC0"/>
    <w:pPr>
      <w:numPr>
        <w:ilvl w:val="6"/>
        <w:numId w:val="8"/>
      </w:numPr>
      <w:tabs>
        <w:tab w:val="clear" w:pos="2551"/>
        <w:tab w:val="num" w:pos="360"/>
      </w:tabs>
      <w:spacing w:before="120" w:after="120" w:line="240" w:lineRule="auto"/>
      <w:ind w:left="0" w:firstLine="0"/>
      <w:jc w:val="both"/>
    </w:pPr>
    <w:rPr>
      <w:rFonts w:ascii="Times New Roman" w:hAnsi="Times New Roman" w:cs="Times New Roman"/>
      <w:sz w:val="24"/>
    </w:rPr>
  </w:style>
  <w:style w:type="paragraph" w:customStyle="1" w:styleId="Point0letter">
    <w:name w:val="Point 0 (letter)"/>
    <w:basedOn w:val="Normal"/>
    <w:rsid w:val="00315FC0"/>
    <w:pPr>
      <w:numPr>
        <w:ilvl w:val="1"/>
        <w:numId w:val="8"/>
      </w:numPr>
      <w:tabs>
        <w:tab w:val="clear" w:pos="850"/>
        <w:tab w:val="num" w:pos="360"/>
        <w:tab w:val="num" w:pos="2551"/>
      </w:tabs>
      <w:spacing w:before="120" w:after="120" w:line="240" w:lineRule="auto"/>
      <w:ind w:left="2551" w:hanging="567"/>
      <w:jc w:val="both"/>
    </w:pPr>
    <w:rPr>
      <w:rFonts w:ascii="Times New Roman" w:hAnsi="Times New Roman" w:cs="Times New Roman"/>
      <w:sz w:val="24"/>
    </w:rPr>
  </w:style>
  <w:style w:type="paragraph" w:customStyle="1" w:styleId="Point1letter">
    <w:name w:val="Point 1 (letter)"/>
    <w:basedOn w:val="Normal"/>
    <w:rsid w:val="00315FC0"/>
    <w:pPr>
      <w:numPr>
        <w:ilvl w:val="3"/>
        <w:numId w:val="8"/>
      </w:numPr>
      <w:tabs>
        <w:tab w:val="clear" w:pos="1417"/>
        <w:tab w:val="num" w:pos="360"/>
        <w:tab w:val="num" w:pos="2551"/>
      </w:tabs>
      <w:spacing w:before="120" w:after="120" w:line="240" w:lineRule="auto"/>
      <w:ind w:left="2551" w:firstLine="0"/>
      <w:jc w:val="both"/>
    </w:pPr>
    <w:rPr>
      <w:rFonts w:ascii="Times New Roman" w:hAnsi="Times New Roman" w:cs="Times New Roman"/>
      <w:sz w:val="24"/>
    </w:rPr>
  </w:style>
  <w:style w:type="paragraph" w:customStyle="1" w:styleId="Point2letter">
    <w:name w:val="Point 2 (letter)"/>
    <w:basedOn w:val="Normal"/>
    <w:rsid w:val="00315FC0"/>
    <w:pPr>
      <w:numPr>
        <w:ilvl w:val="5"/>
        <w:numId w:val="8"/>
      </w:numPr>
      <w:tabs>
        <w:tab w:val="clear" w:pos="1984"/>
        <w:tab w:val="num" w:pos="360"/>
        <w:tab w:val="num" w:pos="2551"/>
      </w:tabs>
      <w:spacing w:before="120" w:after="120" w:line="240" w:lineRule="auto"/>
      <w:ind w:left="2551" w:firstLine="0"/>
      <w:jc w:val="both"/>
    </w:pPr>
    <w:rPr>
      <w:rFonts w:ascii="Times New Roman" w:hAnsi="Times New Roman" w:cs="Times New Roman"/>
      <w:sz w:val="24"/>
    </w:rPr>
  </w:style>
  <w:style w:type="paragraph" w:customStyle="1" w:styleId="Point3letter">
    <w:name w:val="Point 3 (letter)"/>
    <w:basedOn w:val="Normal"/>
    <w:rsid w:val="00315FC0"/>
    <w:pPr>
      <w:numPr>
        <w:ilvl w:val="7"/>
        <w:numId w:val="8"/>
      </w:numPr>
      <w:tabs>
        <w:tab w:val="clear" w:pos="2551"/>
        <w:tab w:val="num" w:pos="360"/>
      </w:tabs>
      <w:spacing w:before="120" w:after="120" w:line="240" w:lineRule="auto"/>
      <w:ind w:left="0" w:firstLine="0"/>
      <w:jc w:val="both"/>
    </w:pPr>
    <w:rPr>
      <w:rFonts w:ascii="Times New Roman" w:hAnsi="Times New Roman" w:cs="Times New Roman"/>
      <w:sz w:val="24"/>
    </w:rPr>
  </w:style>
  <w:style w:type="paragraph" w:customStyle="1" w:styleId="Point4letter">
    <w:name w:val="Point 4 (letter)"/>
    <w:basedOn w:val="Normal"/>
    <w:rsid w:val="00315FC0"/>
    <w:pPr>
      <w:numPr>
        <w:ilvl w:val="8"/>
        <w:numId w:val="8"/>
      </w:numPr>
      <w:tabs>
        <w:tab w:val="clear" w:pos="3118"/>
        <w:tab w:val="num" w:pos="360"/>
        <w:tab w:val="num" w:pos="2551"/>
      </w:tabs>
      <w:spacing w:before="120" w:after="120" w:line="240" w:lineRule="auto"/>
      <w:ind w:left="2551" w:firstLine="0"/>
      <w:jc w:val="both"/>
    </w:pPr>
    <w:rPr>
      <w:rFonts w:ascii="Times New Roman" w:hAnsi="Times New Roman" w:cs="Times New Roman"/>
      <w:sz w:val="24"/>
    </w:rPr>
  </w:style>
  <w:style w:type="paragraph" w:customStyle="1" w:styleId="Bullet0">
    <w:name w:val="Bullet 0"/>
    <w:basedOn w:val="Normal"/>
    <w:rsid w:val="00315FC0"/>
    <w:pPr>
      <w:numPr>
        <w:numId w:val="9"/>
      </w:numPr>
      <w:tabs>
        <w:tab w:val="clear" w:pos="850"/>
        <w:tab w:val="num" w:pos="360"/>
        <w:tab w:val="num" w:pos="3118"/>
      </w:tabs>
      <w:spacing w:before="120" w:after="120" w:line="240" w:lineRule="auto"/>
      <w:ind w:left="3118" w:hanging="567"/>
      <w:jc w:val="both"/>
    </w:pPr>
    <w:rPr>
      <w:rFonts w:ascii="Times New Roman" w:hAnsi="Times New Roman" w:cs="Times New Roman"/>
      <w:sz w:val="24"/>
    </w:rPr>
  </w:style>
  <w:style w:type="paragraph" w:customStyle="1" w:styleId="Bullet1">
    <w:name w:val="Bullet 1"/>
    <w:basedOn w:val="Normal"/>
    <w:rsid w:val="00315FC0"/>
    <w:pPr>
      <w:numPr>
        <w:numId w:val="10"/>
      </w:numPr>
      <w:tabs>
        <w:tab w:val="clear" w:pos="1417"/>
        <w:tab w:val="num" w:pos="360"/>
        <w:tab w:val="num" w:pos="709"/>
      </w:tabs>
      <w:spacing w:before="120" w:after="120" w:line="240" w:lineRule="auto"/>
      <w:ind w:left="709" w:hanging="709"/>
      <w:jc w:val="both"/>
    </w:pPr>
    <w:rPr>
      <w:rFonts w:ascii="Times New Roman" w:hAnsi="Times New Roman" w:cs="Times New Roman"/>
      <w:sz w:val="24"/>
    </w:rPr>
  </w:style>
  <w:style w:type="paragraph" w:customStyle="1" w:styleId="Bullet2">
    <w:name w:val="Bullet 2"/>
    <w:basedOn w:val="Normal"/>
    <w:rsid w:val="00315FC0"/>
    <w:pPr>
      <w:numPr>
        <w:numId w:val="11"/>
      </w:numPr>
      <w:tabs>
        <w:tab w:val="clear" w:pos="1984"/>
        <w:tab w:val="num" w:pos="360"/>
        <w:tab w:val="num" w:pos="850"/>
      </w:tabs>
      <w:spacing w:before="120" w:after="120" w:line="240" w:lineRule="auto"/>
      <w:ind w:left="850" w:hanging="850"/>
      <w:jc w:val="both"/>
    </w:pPr>
    <w:rPr>
      <w:rFonts w:ascii="Times New Roman" w:hAnsi="Times New Roman" w:cs="Times New Roman"/>
      <w:sz w:val="24"/>
    </w:rPr>
  </w:style>
  <w:style w:type="paragraph" w:customStyle="1" w:styleId="Bullet3">
    <w:name w:val="Bullet 3"/>
    <w:basedOn w:val="Normal"/>
    <w:rsid w:val="00315FC0"/>
    <w:pPr>
      <w:numPr>
        <w:numId w:val="12"/>
      </w:numPr>
      <w:tabs>
        <w:tab w:val="clear" w:pos="2551"/>
        <w:tab w:val="num" w:pos="360"/>
      </w:tabs>
      <w:spacing w:before="120" w:after="120" w:line="240" w:lineRule="auto"/>
      <w:ind w:left="360" w:hanging="360"/>
      <w:jc w:val="both"/>
    </w:pPr>
    <w:rPr>
      <w:rFonts w:ascii="Times New Roman" w:hAnsi="Times New Roman" w:cs="Times New Roman"/>
      <w:sz w:val="24"/>
    </w:rPr>
  </w:style>
  <w:style w:type="paragraph" w:customStyle="1" w:styleId="Bullet4">
    <w:name w:val="Bullet 4"/>
    <w:basedOn w:val="Normal"/>
    <w:rsid w:val="00315FC0"/>
    <w:pPr>
      <w:numPr>
        <w:numId w:val="13"/>
      </w:numPr>
      <w:tabs>
        <w:tab w:val="clear" w:pos="3118"/>
        <w:tab w:val="num" w:pos="360"/>
        <w:tab w:val="num" w:pos="643"/>
      </w:tabs>
      <w:spacing w:before="120" w:after="120" w:line="240" w:lineRule="auto"/>
      <w:ind w:left="643" w:hanging="360"/>
      <w:jc w:val="both"/>
    </w:pPr>
    <w:rPr>
      <w:rFonts w:ascii="Times New Roman" w:hAnsi="Times New Roman" w:cs="Times New Roman"/>
      <w:sz w:val="24"/>
    </w:rPr>
  </w:style>
  <w:style w:type="paragraph" w:customStyle="1" w:styleId="Langue">
    <w:name w:val="Langue"/>
    <w:basedOn w:val="Normal"/>
    <w:next w:val="Rfrenceinterne"/>
    <w:rsid w:val="00315FC0"/>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Emission"/>
    <w:rsid w:val="00315FC0"/>
    <w:pPr>
      <w:spacing w:after="0" w:line="240" w:lineRule="auto"/>
    </w:pPr>
    <w:rPr>
      <w:rFonts w:ascii="Arial" w:hAnsi="Arial" w:cs="Arial"/>
      <w:sz w:val="24"/>
    </w:rPr>
  </w:style>
  <w:style w:type="paragraph" w:customStyle="1" w:styleId="Emission">
    <w:name w:val="Emission"/>
    <w:basedOn w:val="Normal"/>
    <w:next w:val="Rfrenceinstitutionnelle"/>
    <w:rsid w:val="00315FC0"/>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
    <w:next w:val="Confidentialit"/>
    <w:rsid w:val="00315FC0"/>
    <w:pPr>
      <w:spacing w:after="240" w:line="240" w:lineRule="auto"/>
      <w:ind w:left="5103"/>
    </w:pPr>
    <w:rPr>
      <w:rFonts w:ascii="Times New Roman" w:hAnsi="Times New Roman" w:cs="Times New Roman"/>
      <w:sz w:val="24"/>
    </w:rPr>
  </w:style>
  <w:style w:type="paragraph" w:customStyle="1" w:styleId="Pagedecouverture">
    <w:name w:val="Page de couverture"/>
    <w:basedOn w:val="Normal"/>
    <w:next w:val="Normal"/>
    <w:rsid w:val="00315FC0"/>
    <w:pPr>
      <w:spacing w:after="0" w:line="240" w:lineRule="auto"/>
      <w:jc w:val="both"/>
    </w:pPr>
    <w:rPr>
      <w:rFonts w:ascii="Times New Roman" w:hAnsi="Times New Roman" w:cs="Times New Roman"/>
      <w:sz w:val="24"/>
    </w:rPr>
  </w:style>
  <w:style w:type="paragraph" w:customStyle="1" w:styleId="Declassification">
    <w:name w:val="Declassification"/>
    <w:basedOn w:val="Normal"/>
    <w:next w:val="Normal"/>
    <w:rsid w:val="00315FC0"/>
    <w:pPr>
      <w:spacing w:after="0" w:line="240" w:lineRule="auto"/>
      <w:jc w:val="both"/>
    </w:pPr>
    <w:rPr>
      <w:rFonts w:ascii="Times New Roman" w:hAnsi="Times New Roman" w:cs="Times New Roman"/>
      <w:sz w:val="24"/>
    </w:rPr>
  </w:style>
  <w:style w:type="paragraph" w:customStyle="1" w:styleId="Disclaimer">
    <w:name w:val="Disclaimer"/>
    <w:basedOn w:val="Normal"/>
    <w:rsid w:val="00315FC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315FC0"/>
    <w:pPr>
      <w:spacing w:after="0"/>
      <w:ind w:left="5103"/>
    </w:pPr>
    <w:rPr>
      <w:rFonts w:ascii="Times New Roman" w:eastAsiaTheme="minorHAnsi" w:hAnsi="Times New Roman" w:cs="Times New Roman"/>
      <w:sz w:val="28"/>
    </w:rPr>
  </w:style>
  <w:style w:type="paragraph" w:customStyle="1" w:styleId="DateMarking">
    <w:name w:val="DateMarking"/>
    <w:basedOn w:val="Normal"/>
    <w:rsid w:val="00315FC0"/>
    <w:pPr>
      <w:spacing w:after="0"/>
      <w:ind w:left="5103"/>
    </w:pPr>
    <w:rPr>
      <w:rFonts w:ascii="Times New Roman" w:eastAsiaTheme="minorHAnsi" w:hAnsi="Times New Roman" w:cs="Times New Roman"/>
      <w:i/>
      <w:sz w:val="28"/>
    </w:rPr>
  </w:style>
  <w:style w:type="paragraph" w:customStyle="1" w:styleId="ReleasableTo">
    <w:name w:val="ReleasableTo"/>
    <w:basedOn w:val="Normal"/>
    <w:rsid w:val="00315FC0"/>
    <w:pPr>
      <w:spacing w:after="0"/>
      <w:ind w:left="5103"/>
    </w:pPr>
    <w:rPr>
      <w:rFonts w:ascii="Times New Roman" w:eastAsiaTheme="minorHAnsi" w:hAnsi="Times New Roman" w:cs="Times New Roman"/>
      <w:i/>
      <w:sz w:val="28"/>
    </w:rPr>
  </w:style>
  <w:style w:type="paragraph" w:customStyle="1" w:styleId="Annexetitreexpos">
    <w:name w:val="Annexe titre (exposé)"/>
    <w:basedOn w:val="Normal"/>
    <w:next w:val="Normal"/>
    <w:rsid w:val="00315FC0"/>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
    <w:next w:val="Normal"/>
    <w:rsid w:val="00315FC0"/>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rsid w:val="00315FC0"/>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Fait"/>
    <w:rsid w:val="00315FC0"/>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rsid w:val="00315FC0"/>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
    <w:next w:val="Normal"/>
    <w:rsid w:val="00315FC0"/>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TypedudocumentPagedecouverture"/>
    <w:rsid w:val="00315FC0"/>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rsid w:val="00315FC0"/>
    <w:pPr>
      <w:numPr>
        <w:numId w:val="14"/>
      </w:numPr>
      <w:tabs>
        <w:tab w:val="clear" w:pos="709"/>
        <w:tab w:val="num" w:pos="360"/>
        <w:tab w:val="num" w:pos="926"/>
      </w:tabs>
      <w:spacing w:before="120" w:after="120" w:line="240" w:lineRule="auto"/>
      <w:ind w:left="926" w:hanging="360"/>
      <w:jc w:val="both"/>
    </w:pPr>
    <w:rPr>
      <w:rFonts w:ascii="Times New Roman" w:hAnsi="Times New Roman" w:cs="Times New Roman"/>
      <w:sz w:val="24"/>
    </w:rPr>
  </w:style>
  <w:style w:type="paragraph" w:customStyle="1" w:styleId="Corrigendum">
    <w:name w:val="Corrigendum"/>
    <w:basedOn w:val="Normal"/>
    <w:next w:val="Normal"/>
    <w:rsid w:val="00315FC0"/>
    <w:pPr>
      <w:spacing w:after="240" w:line="240" w:lineRule="auto"/>
    </w:pPr>
    <w:rPr>
      <w:rFonts w:ascii="Times New Roman" w:hAnsi="Times New Roman" w:cs="Times New Roman"/>
      <w:sz w:val="24"/>
    </w:rPr>
  </w:style>
  <w:style w:type="paragraph" w:customStyle="1" w:styleId="Datedadoption">
    <w:name w:val="Date d'adoption"/>
    <w:basedOn w:val="Normal"/>
    <w:next w:val="IntrtEEE"/>
    <w:rsid w:val="00315FC0"/>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
    <w:next w:val="Normal"/>
    <w:rsid w:val="00315FC0"/>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rsid w:val="00315FC0"/>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rsid w:val="00315FC0"/>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rsid w:val="00315FC0"/>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rsid w:val="00315FC0"/>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
    <w:rsid w:val="00315FC0"/>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
    <w:next w:val="Institutionquisigne"/>
    <w:rsid w:val="00315FC0"/>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
    <w:next w:val="Statut"/>
    <w:rsid w:val="00315FC0"/>
    <w:pPr>
      <w:spacing w:after="0" w:line="240" w:lineRule="auto"/>
      <w:ind w:left="5103"/>
    </w:pPr>
    <w:rPr>
      <w:rFonts w:ascii="Times New Roman" w:hAnsi="Times New Roman" w:cs="Times New Roman"/>
      <w:sz w:val="24"/>
    </w:rPr>
  </w:style>
  <w:style w:type="paragraph" w:customStyle="1" w:styleId="Rfrenceinterne">
    <w:name w:val="Référence interne"/>
    <w:basedOn w:val="Normal"/>
    <w:next w:val="Rfrenceinterinstitutionnelle"/>
    <w:rsid w:val="00315FC0"/>
    <w:pPr>
      <w:spacing w:after="0" w:line="240" w:lineRule="auto"/>
      <w:ind w:left="5103"/>
    </w:pPr>
    <w:rPr>
      <w:rFonts w:ascii="Times New Roman" w:hAnsi="Times New Roman" w:cs="Times New Roman"/>
      <w:sz w:val="24"/>
    </w:rPr>
  </w:style>
  <w:style w:type="paragraph" w:customStyle="1" w:styleId="Statut">
    <w:name w:val="Statut"/>
    <w:basedOn w:val="Normal"/>
    <w:next w:val="Typedudocument"/>
    <w:rsid w:val="00315FC0"/>
    <w:pPr>
      <w:spacing w:after="240" w:line="240" w:lineRule="auto"/>
      <w:jc w:val="center"/>
    </w:pPr>
    <w:rPr>
      <w:rFonts w:ascii="Times New Roman" w:hAnsi="Times New Roman" w:cs="Times New Roman"/>
      <w:sz w:val="24"/>
    </w:rPr>
  </w:style>
  <w:style w:type="paragraph" w:customStyle="1" w:styleId="Titrearticle">
    <w:name w:val="Titre article"/>
    <w:basedOn w:val="Normal"/>
    <w:next w:val="Normal"/>
    <w:rsid w:val="00315FC0"/>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
    <w:next w:val="Accompagnant"/>
    <w:rsid w:val="00315FC0"/>
    <w:pPr>
      <w:spacing w:before="360" w:after="180" w:line="240" w:lineRule="auto"/>
      <w:jc w:val="center"/>
    </w:pPr>
    <w:rPr>
      <w:rFonts w:ascii="Times New Roman" w:hAnsi="Times New Roman" w:cs="Times New Roman"/>
      <w:b/>
      <w:sz w:val="24"/>
    </w:rPr>
  </w:style>
  <w:style w:type="character" w:customStyle="1" w:styleId="Added">
    <w:name w:val="Added"/>
    <w:rsid w:val="00315FC0"/>
    <w:rPr>
      <w:b/>
      <w:u w:val="single"/>
      <w:shd w:val="clear" w:color="auto" w:fill="auto"/>
    </w:rPr>
  </w:style>
  <w:style w:type="character" w:customStyle="1" w:styleId="Deleted">
    <w:name w:val="Deleted"/>
    <w:rsid w:val="00315FC0"/>
    <w:rPr>
      <w:strike/>
      <w:dstrike w:val="0"/>
      <w:shd w:val="clear" w:color="auto" w:fill="auto"/>
    </w:rPr>
  </w:style>
  <w:style w:type="paragraph" w:customStyle="1" w:styleId="Address">
    <w:name w:val="Address"/>
    <w:basedOn w:val="Normal"/>
    <w:next w:val="Normal"/>
    <w:rsid w:val="00315FC0"/>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
    <w:next w:val="Normal"/>
    <w:rsid w:val="00315FC0"/>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
    <w:next w:val="Normal"/>
    <w:rsid w:val="00315FC0"/>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315FC0"/>
    <w:pPr>
      <w:spacing w:before="360" w:after="0" w:line="240" w:lineRule="auto"/>
      <w:jc w:val="center"/>
    </w:pPr>
    <w:rPr>
      <w:rFonts w:ascii="Times New Roman" w:hAnsi="Times New Roman" w:cs="Times New Roman"/>
      <w:sz w:val="24"/>
    </w:rPr>
  </w:style>
  <w:style w:type="paragraph" w:customStyle="1" w:styleId="Rfrencecroise">
    <w:name w:val="Référence croisée"/>
    <w:basedOn w:val="Normal"/>
    <w:rsid w:val="00315FC0"/>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
    <w:next w:val="Normal"/>
    <w:rsid w:val="00315FC0"/>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rsid w:val="00315FC0"/>
  </w:style>
  <w:style w:type="paragraph" w:customStyle="1" w:styleId="RfrenceinterinstitutionnellePagedecouverture">
    <w:name w:val="Référence interinstitutionnelle (Page de couverture)"/>
    <w:basedOn w:val="Rfrenceinterinstitutionnelle"/>
    <w:next w:val="Confidentialit"/>
    <w:rsid w:val="00315FC0"/>
  </w:style>
  <w:style w:type="paragraph" w:customStyle="1" w:styleId="StatutPagedecouverture">
    <w:name w:val="Statut (Page de couverture)"/>
    <w:basedOn w:val="Statut"/>
    <w:next w:val="TypedudocumentPagedecouverture"/>
    <w:rsid w:val="00315FC0"/>
  </w:style>
  <w:style w:type="paragraph" w:customStyle="1" w:styleId="TypedudocumentPagedecouverture">
    <w:name w:val="Type du document (Page de couverture)"/>
    <w:basedOn w:val="Typedudocument"/>
    <w:next w:val="AccompagnantPagedecouverture"/>
    <w:rsid w:val="00315FC0"/>
  </w:style>
  <w:style w:type="paragraph" w:customStyle="1" w:styleId="Volume">
    <w:name w:val="Volume"/>
    <w:basedOn w:val="Normal"/>
    <w:next w:val="Confidentialit"/>
    <w:rsid w:val="00315FC0"/>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315FC0"/>
    <w:pPr>
      <w:spacing w:after="240"/>
    </w:pPr>
  </w:style>
  <w:style w:type="paragraph" w:customStyle="1" w:styleId="Accompagnant">
    <w:name w:val="Accompagnant"/>
    <w:basedOn w:val="Normal"/>
    <w:next w:val="Typeacteprincipal"/>
    <w:rsid w:val="00315FC0"/>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
    <w:next w:val="Objetacteprincipal"/>
    <w:rsid w:val="00315FC0"/>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Titrearticle"/>
    <w:rsid w:val="00315FC0"/>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Rfrencecroise"/>
    <w:rsid w:val="00315FC0"/>
  </w:style>
  <w:style w:type="paragraph" w:customStyle="1" w:styleId="AccompagnantPagedecouverture">
    <w:name w:val="Accompagnant (Page de couverture)"/>
    <w:basedOn w:val="Accompagnant"/>
    <w:next w:val="TypeacteprincipalPagedecouverture"/>
    <w:rsid w:val="00315FC0"/>
  </w:style>
  <w:style w:type="paragraph" w:customStyle="1" w:styleId="TypeacteprincipalPagedecouverture">
    <w:name w:val="Type acte principal (Page de couverture)"/>
    <w:basedOn w:val="Typeacteprincipal"/>
    <w:next w:val="ObjetacteprincipalPagedecouverture"/>
    <w:rsid w:val="00315FC0"/>
  </w:style>
  <w:style w:type="paragraph" w:customStyle="1" w:styleId="ObjetacteprincipalPagedecouverture">
    <w:name w:val="Objet acte principal (Page de couverture)"/>
    <w:basedOn w:val="Objetacteprincipal"/>
    <w:next w:val="Rfrencecroise"/>
    <w:rsid w:val="00315FC0"/>
  </w:style>
  <w:style w:type="paragraph" w:customStyle="1" w:styleId="LanguesfaisantfoiPagedecouverture">
    <w:name w:val="Langues faisant foi (Page de couverture)"/>
    <w:basedOn w:val="Normal"/>
    <w:next w:val="Normal"/>
    <w:rsid w:val="00315FC0"/>
    <w:pPr>
      <w:spacing w:before="360" w:after="0" w:line="240" w:lineRule="auto"/>
      <w:jc w:val="center"/>
    </w:pPr>
    <w:rPr>
      <w:rFonts w:ascii="Times New Roman" w:hAnsi="Times New Roman" w:cs="Times New Roman"/>
      <w:sz w:val="24"/>
    </w:rPr>
  </w:style>
  <w:style w:type="paragraph" w:styleId="BalloonText">
    <w:name w:val="Balloon Text"/>
    <w:basedOn w:val="Normal"/>
    <w:link w:val="BalloonTextChar"/>
    <w:uiPriority w:val="99"/>
    <w:semiHidden/>
    <w:unhideWhenUsed/>
    <w:rsid w:val="00315FC0"/>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5FC0"/>
    <w:rPr>
      <w:rFonts w:ascii="Segoe UI" w:eastAsia="Calibri" w:hAnsi="Segoe UI" w:cs="Segoe UI"/>
      <w:kern w:val="0"/>
      <w:sz w:val="18"/>
      <w:szCs w:val="18"/>
    </w:rPr>
  </w:style>
  <w:style w:type="paragraph" w:styleId="ListBullet">
    <w:name w:val="List Bullet"/>
    <w:basedOn w:val="Normal"/>
    <w:uiPriority w:val="99"/>
    <w:semiHidden/>
    <w:unhideWhenUsed/>
    <w:rsid w:val="00315FC0"/>
    <w:pPr>
      <w:numPr>
        <w:numId w:val="15"/>
      </w:numPr>
      <w:tabs>
        <w:tab w:val="clear" w:pos="360"/>
      </w:tabs>
      <w:spacing w:before="120" w:after="120" w:line="240" w:lineRule="auto"/>
      <w:ind w:left="0" w:firstLine="0"/>
      <w:contextualSpacing/>
      <w:jc w:val="both"/>
    </w:pPr>
    <w:rPr>
      <w:rFonts w:ascii="Times New Roman" w:hAnsi="Times New Roman" w:cs="Times New Roman"/>
      <w:sz w:val="24"/>
    </w:rPr>
  </w:style>
  <w:style w:type="paragraph" w:styleId="ListBullet2">
    <w:name w:val="List Bullet 2"/>
    <w:basedOn w:val="Normal"/>
    <w:uiPriority w:val="99"/>
    <w:semiHidden/>
    <w:unhideWhenUsed/>
    <w:rsid w:val="00315FC0"/>
    <w:pPr>
      <w:numPr>
        <w:numId w:val="16"/>
      </w:numPr>
      <w:tabs>
        <w:tab w:val="clear" w:pos="643"/>
        <w:tab w:val="num" w:pos="360"/>
      </w:tabs>
      <w:spacing w:before="120" w:after="120" w:line="240" w:lineRule="auto"/>
      <w:ind w:left="720" w:firstLine="0"/>
      <w:contextualSpacing/>
      <w:jc w:val="both"/>
    </w:pPr>
    <w:rPr>
      <w:rFonts w:ascii="Times New Roman" w:hAnsi="Times New Roman" w:cs="Times New Roman"/>
      <w:sz w:val="24"/>
    </w:rPr>
  </w:style>
  <w:style w:type="paragraph" w:styleId="ListBullet3">
    <w:name w:val="List Bullet 3"/>
    <w:basedOn w:val="Normal"/>
    <w:uiPriority w:val="99"/>
    <w:semiHidden/>
    <w:unhideWhenUsed/>
    <w:rsid w:val="00315FC0"/>
    <w:pPr>
      <w:numPr>
        <w:numId w:val="17"/>
      </w:numPr>
      <w:tabs>
        <w:tab w:val="clear" w:pos="926"/>
        <w:tab w:val="num" w:pos="360"/>
      </w:tabs>
      <w:spacing w:before="120" w:after="120" w:line="240" w:lineRule="auto"/>
      <w:ind w:left="720" w:firstLine="0"/>
      <w:contextualSpacing/>
      <w:jc w:val="both"/>
    </w:pPr>
    <w:rPr>
      <w:rFonts w:ascii="Times New Roman" w:hAnsi="Times New Roman" w:cs="Times New Roman"/>
      <w:sz w:val="24"/>
    </w:rPr>
  </w:style>
  <w:style w:type="paragraph" w:styleId="ListBullet4">
    <w:name w:val="List Bullet 4"/>
    <w:basedOn w:val="Normal"/>
    <w:uiPriority w:val="99"/>
    <w:semiHidden/>
    <w:unhideWhenUsed/>
    <w:rsid w:val="00315FC0"/>
    <w:pPr>
      <w:numPr>
        <w:numId w:val="18"/>
      </w:numPr>
      <w:tabs>
        <w:tab w:val="num" w:pos="360"/>
      </w:tabs>
      <w:spacing w:before="120" w:after="120" w:line="240" w:lineRule="auto"/>
      <w:ind w:left="720" w:firstLine="0"/>
      <w:contextualSpacing/>
      <w:jc w:val="both"/>
    </w:pPr>
    <w:rPr>
      <w:rFonts w:ascii="Times New Roman" w:hAnsi="Times New Roman" w:cs="Times New Roman"/>
      <w:sz w:val="24"/>
    </w:rPr>
  </w:style>
  <w:style w:type="paragraph" w:customStyle="1" w:styleId="FooterCoverPage">
    <w:name w:val="Footer Cover Page"/>
    <w:basedOn w:val="Normal"/>
    <w:link w:val="FooterCoverPageChar"/>
    <w:rsid w:val="00315FC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link w:val="FooterCoverPage"/>
    <w:rsid w:val="00315FC0"/>
    <w:rPr>
      <w:rFonts w:ascii="Times New Roman" w:eastAsia="Calibri" w:hAnsi="Times New Roman" w:cs="Times New Roman"/>
      <w:kern w:val="0"/>
      <w:sz w:val="24"/>
    </w:rPr>
  </w:style>
  <w:style w:type="paragraph" w:customStyle="1" w:styleId="HeaderCoverPage">
    <w:name w:val="Header Cover Page"/>
    <w:basedOn w:val="Normal"/>
    <w:link w:val="HeaderCoverPageChar"/>
    <w:rsid w:val="00315FC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link w:val="HeaderCoverPage"/>
    <w:rsid w:val="00315FC0"/>
    <w:rPr>
      <w:rFonts w:ascii="Times New Roman" w:eastAsia="Calibri" w:hAnsi="Times New Roman" w:cs="Times New Roman"/>
      <w:kern w:val="0"/>
      <w:sz w:val="24"/>
    </w:rPr>
  </w:style>
  <w:style w:type="numbering" w:customStyle="1" w:styleId="NoList2">
    <w:name w:val="No List2"/>
    <w:next w:val="NoList"/>
    <w:uiPriority w:val="99"/>
    <w:semiHidden/>
    <w:unhideWhenUsed/>
    <w:rsid w:val="00315FC0"/>
  </w:style>
  <w:style w:type="paragraph" w:customStyle="1" w:styleId="Titreobjet">
    <w:name w:val="Titre objet"/>
    <w:basedOn w:val="Normal"/>
    <w:next w:val="IntrtEEE"/>
    <w:rsid w:val="00315FC0"/>
    <w:pPr>
      <w:spacing w:before="360" w:after="360" w:line="240" w:lineRule="auto"/>
      <w:jc w:val="center"/>
    </w:pPr>
    <w:rPr>
      <w:rFonts w:ascii="Times New Roman" w:hAnsi="Times New Roman" w:cs="Times New Roman"/>
      <w:b/>
      <w:sz w:val="24"/>
    </w:rPr>
  </w:style>
  <w:style w:type="paragraph" w:customStyle="1" w:styleId="TitreobjetPagedecouverture">
    <w:name w:val="Titre objet (Page de couverture)"/>
    <w:basedOn w:val="Titreobjet"/>
    <w:next w:val="IntrtEEEPagedecouverture"/>
    <w:rsid w:val="00315FC0"/>
  </w:style>
  <w:style w:type="numbering" w:customStyle="1" w:styleId="NoList3">
    <w:name w:val="No List3"/>
    <w:next w:val="NoList"/>
    <w:uiPriority w:val="99"/>
    <w:semiHidden/>
    <w:unhideWhenUsed/>
    <w:rsid w:val="00315FC0"/>
  </w:style>
  <w:style w:type="character" w:customStyle="1" w:styleId="findhit">
    <w:name w:val="findhit"/>
    <w:basedOn w:val="DefaultParagraphFont"/>
    <w:rsid w:val="00315FC0"/>
  </w:style>
  <w:style w:type="numbering" w:customStyle="1" w:styleId="NoList4">
    <w:name w:val="No List4"/>
    <w:next w:val="NoList"/>
    <w:uiPriority w:val="99"/>
    <w:semiHidden/>
    <w:unhideWhenUsed/>
    <w:rsid w:val="00315FC0"/>
  </w:style>
  <w:style w:type="paragraph" w:customStyle="1" w:styleId="TechnicalBlock">
    <w:name w:val="Technical Block"/>
    <w:basedOn w:val="Normal"/>
    <w:link w:val="TechnicalBlockChar"/>
    <w:rsid w:val="00315FC0"/>
    <w:pPr>
      <w:spacing w:after="240" w:line="240" w:lineRule="auto"/>
      <w:jc w:val="center"/>
    </w:pPr>
  </w:style>
  <w:style w:type="character" w:customStyle="1" w:styleId="TechnicalBlockChar">
    <w:name w:val="Technical Block Char"/>
    <w:basedOn w:val="DefaultParagraphFont"/>
    <w:link w:val="TechnicalBlock"/>
    <w:rsid w:val="00315FC0"/>
    <w:rPr>
      <w:rFonts w:ascii="Calibri" w:eastAsia="Calibri" w:hAnsi="Calibri" w:cs="Myanmar Text"/>
      <w:kern w:val="0"/>
    </w:rPr>
  </w:style>
  <w:style w:type="paragraph" w:customStyle="1" w:styleId="EntText">
    <w:name w:val="EntText"/>
    <w:basedOn w:val="Normal"/>
    <w:rsid w:val="00315FC0"/>
    <w:pPr>
      <w:spacing w:before="120" w:after="120" w:line="360" w:lineRule="auto"/>
    </w:pPr>
    <w:rPr>
      <w:rFonts w:ascii="Times New Roman" w:eastAsiaTheme="minorHAnsi" w:hAnsi="Times New Roman" w:cs="Times New Roman"/>
      <w:sz w:val="24"/>
    </w:rPr>
  </w:style>
  <w:style w:type="paragraph" w:customStyle="1" w:styleId="Lignefinal">
    <w:name w:val="Ligne final"/>
    <w:basedOn w:val="Normal"/>
    <w:next w:val="Normal"/>
    <w:rsid w:val="00315FC0"/>
    <w:pPr>
      <w:pBdr>
        <w:bottom w:val="single" w:sz="4" w:space="0" w:color="000000"/>
      </w:pBdr>
      <w:spacing w:before="360" w:after="120" w:line="360" w:lineRule="auto"/>
      <w:ind w:left="3400" w:right="3400"/>
      <w:jc w:val="center"/>
    </w:pPr>
    <w:rPr>
      <w:rFonts w:ascii="Times New Roman" w:eastAsiaTheme="minorHAnsi" w:hAnsi="Times New Roman" w:cs="Times New Roman"/>
      <w:b/>
      <w:sz w:val="24"/>
    </w:rPr>
  </w:style>
  <w:style w:type="paragraph" w:customStyle="1" w:styleId="pj">
    <w:name w:val="p.j."/>
    <w:basedOn w:val="Normal"/>
    <w:link w:val="pjChar"/>
    <w:rsid w:val="00315FC0"/>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315FC0"/>
    <w:rPr>
      <w:rFonts w:ascii="Times New Roman" w:eastAsia="Calibri" w:hAnsi="Times New Roman" w:cs="Times New Roman"/>
      <w:kern w:val="0"/>
      <w:sz w:val="24"/>
    </w:rPr>
  </w:style>
  <w:style w:type="paragraph" w:customStyle="1" w:styleId="nbbordered">
    <w:name w:val="nb bordered"/>
    <w:basedOn w:val="Normal"/>
    <w:link w:val="nbborderedChar"/>
    <w:rsid w:val="00315FC0"/>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315FC0"/>
    <w:rPr>
      <w:rFonts w:ascii="Times New Roman" w:eastAsia="Calibri" w:hAnsi="Times New Roman" w:cs="Times New Roman"/>
      <w:b/>
      <w:kern w:val="0"/>
      <w:sz w:val="24"/>
    </w:rPr>
  </w:style>
  <w:style w:type="paragraph" w:customStyle="1" w:styleId="HeaderCouncil">
    <w:name w:val="Header Council"/>
    <w:basedOn w:val="Normal"/>
    <w:link w:val="HeaderCouncilChar"/>
    <w:rsid w:val="00315FC0"/>
    <w:pPr>
      <w:spacing w:after="0"/>
    </w:pPr>
    <w:rPr>
      <w:rFonts w:ascii="Times New Roman" w:hAnsi="Times New Roman"/>
      <w:sz w:val="2"/>
    </w:rPr>
  </w:style>
  <w:style w:type="character" w:customStyle="1" w:styleId="HeaderCouncilChar">
    <w:name w:val="Header Council Char"/>
    <w:basedOn w:val="DefaultParagraphFont"/>
    <w:link w:val="HeaderCouncil"/>
    <w:rsid w:val="00315FC0"/>
    <w:rPr>
      <w:rFonts w:ascii="Calibri" w:eastAsia="Calibri" w:hAnsi="Calibri" w:cs="Myanmar Text"/>
      <w:kern w:val="0"/>
      <w:sz w:val="2"/>
    </w:rPr>
  </w:style>
  <w:style w:type="paragraph" w:customStyle="1" w:styleId="FooterText">
    <w:name w:val="Footer Text"/>
    <w:basedOn w:val="Normal"/>
    <w:rsid w:val="00315FC0"/>
    <w:pPr>
      <w:spacing w:after="0"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315FC0"/>
    <w:rPr>
      <w:color w:val="808080"/>
    </w:rPr>
  </w:style>
  <w:style w:type="character" w:styleId="FollowedHyperlink">
    <w:name w:val="FollowedHyperlink"/>
    <w:basedOn w:val="DefaultParagraphFont"/>
    <w:uiPriority w:val="99"/>
    <w:semiHidden/>
    <w:unhideWhenUsed/>
    <w:rsid w:val="00315FC0"/>
    <w:rPr>
      <w:color w:val="800080" w:themeColor="followedHyperlink"/>
      <w:u w:val="single"/>
    </w:rPr>
  </w:style>
  <w:style w:type="character" w:customStyle="1" w:styleId="Mention10">
    <w:name w:val="Mention10"/>
    <w:basedOn w:val="DefaultParagraphFont"/>
    <w:uiPriority w:val="99"/>
    <w:unhideWhenUsed/>
    <w:rsid w:val="00315FC0"/>
    <w:rPr>
      <w:color w:val="2B579A"/>
      <w:shd w:val="clear" w:color="auto" w:fill="E1DFDD"/>
    </w:rPr>
  </w:style>
  <w:style w:type="character" w:customStyle="1" w:styleId="Mention20">
    <w:name w:val="Mention20"/>
    <w:basedOn w:val="DefaultParagraphFont"/>
    <w:uiPriority w:val="99"/>
    <w:unhideWhenUsed/>
    <w:rsid w:val="00315FC0"/>
    <w:rPr>
      <w:color w:val="2B579A"/>
      <w:shd w:val="clear" w:color="auto" w:fill="E1DFDD"/>
    </w:rPr>
  </w:style>
  <w:style w:type="character" w:customStyle="1" w:styleId="Mention2">
    <w:name w:val="Mention2"/>
    <w:basedOn w:val="DefaultParagraphFont"/>
    <w:uiPriority w:val="99"/>
    <w:unhideWhenUsed/>
    <w:rsid w:val="00315FC0"/>
    <w:rPr>
      <w:color w:val="2B579A"/>
      <w:shd w:val="clear" w:color="auto" w:fill="E1DFDD"/>
    </w:rPr>
  </w:style>
  <w:style w:type="character" w:customStyle="1" w:styleId="Mention3">
    <w:name w:val="Mention3"/>
    <w:basedOn w:val="DefaultParagraphFont"/>
    <w:uiPriority w:val="99"/>
    <w:unhideWhenUsed/>
    <w:rsid w:val="00315FC0"/>
    <w:rPr>
      <w:color w:val="2B579A"/>
      <w:shd w:val="clear" w:color="auto" w:fill="E1DFDD"/>
    </w:rPr>
  </w:style>
  <w:style w:type="character" w:customStyle="1" w:styleId="Mention30">
    <w:name w:val="Mention30"/>
    <w:basedOn w:val="DefaultParagraphFont"/>
    <w:uiPriority w:val="99"/>
    <w:unhideWhenUsed/>
    <w:rsid w:val="00315FC0"/>
    <w:rPr>
      <w:color w:val="2B579A"/>
      <w:shd w:val="clear" w:color="auto" w:fill="E1DFDD"/>
    </w:rPr>
  </w:style>
  <w:style w:type="character" w:customStyle="1" w:styleId="Mention4">
    <w:name w:val="Mention4"/>
    <w:basedOn w:val="DefaultParagraphFont"/>
    <w:uiPriority w:val="99"/>
    <w:unhideWhenUsed/>
    <w:rsid w:val="00315FC0"/>
    <w:rPr>
      <w:color w:val="2B579A"/>
      <w:shd w:val="clear" w:color="auto" w:fill="E1DFDD"/>
    </w:rPr>
  </w:style>
  <w:style w:type="character" w:customStyle="1" w:styleId="Mention100">
    <w:name w:val="Mention100"/>
    <w:basedOn w:val="DefaultParagraphFont"/>
    <w:uiPriority w:val="99"/>
    <w:unhideWhenUsed/>
    <w:rsid w:val="00315FC0"/>
    <w:rPr>
      <w:color w:val="2B579A"/>
      <w:shd w:val="clear" w:color="auto" w:fill="E6E6E6"/>
    </w:rPr>
  </w:style>
  <w:style w:type="character" w:customStyle="1" w:styleId="ui-provider">
    <w:name w:val="ui-provider"/>
    <w:basedOn w:val="DefaultParagraphFont"/>
    <w:rsid w:val="00315FC0"/>
  </w:style>
  <w:style w:type="character" w:customStyle="1" w:styleId="Mention1000">
    <w:name w:val="Mention1000"/>
    <w:basedOn w:val="DefaultParagraphFont"/>
    <w:uiPriority w:val="99"/>
    <w:unhideWhenUsed/>
    <w:rsid w:val="00315FC0"/>
    <w:rPr>
      <w:color w:val="2B579A"/>
      <w:shd w:val="clear" w:color="auto" w:fill="E6E6E6"/>
    </w:rPr>
  </w:style>
  <w:style w:type="character" w:customStyle="1" w:styleId="contentcontrolboundarysink">
    <w:name w:val="contentcontrolboundarysink"/>
    <w:basedOn w:val="DefaultParagraphFont"/>
    <w:rsid w:val="00315FC0"/>
  </w:style>
  <w:style w:type="character" w:customStyle="1" w:styleId="Mention5">
    <w:name w:val="Mention5"/>
    <w:basedOn w:val="DefaultParagraphFont"/>
    <w:uiPriority w:val="99"/>
    <w:unhideWhenUsed/>
    <w:rsid w:val="00315FC0"/>
    <w:rPr>
      <w:color w:val="2B579A"/>
      <w:shd w:val="clear" w:color="auto" w:fill="E1DFDD"/>
    </w:rPr>
  </w:style>
  <w:style w:type="character" w:customStyle="1" w:styleId="Mention50">
    <w:name w:val="Mention50"/>
    <w:basedOn w:val="DefaultParagraphFont"/>
    <w:uiPriority w:val="99"/>
    <w:unhideWhenUsed/>
    <w:rsid w:val="00315FC0"/>
    <w:rPr>
      <w:color w:val="2B579A"/>
      <w:shd w:val="clear" w:color="auto" w:fill="E1DFDD"/>
    </w:rPr>
  </w:style>
  <w:style w:type="character" w:customStyle="1" w:styleId="Mention6">
    <w:name w:val="Mention6"/>
    <w:basedOn w:val="DefaultParagraphFont"/>
    <w:uiPriority w:val="99"/>
    <w:unhideWhenUsed/>
    <w:rsid w:val="00315FC0"/>
    <w:rPr>
      <w:color w:val="2B579A"/>
      <w:shd w:val="clear" w:color="auto" w:fill="E1DFDD"/>
    </w:rPr>
  </w:style>
  <w:style w:type="character" w:customStyle="1" w:styleId="Mention7">
    <w:name w:val="Mention7"/>
    <w:basedOn w:val="DefaultParagraphFont"/>
    <w:uiPriority w:val="99"/>
    <w:unhideWhenUsed/>
    <w:rsid w:val="00315FC0"/>
    <w:rPr>
      <w:color w:val="2B579A"/>
      <w:shd w:val="clear" w:color="auto" w:fill="E6E6E6"/>
    </w:rPr>
  </w:style>
  <w:style w:type="character" w:customStyle="1" w:styleId="Mention8">
    <w:name w:val="Mention8"/>
    <w:basedOn w:val="DefaultParagraphFont"/>
    <w:uiPriority w:val="99"/>
    <w:unhideWhenUsed/>
    <w:rsid w:val="00315FC0"/>
    <w:rPr>
      <w:color w:val="2B579A"/>
      <w:shd w:val="clear" w:color="auto" w:fill="E1DFDD"/>
    </w:rPr>
  </w:style>
  <w:style w:type="character" w:customStyle="1" w:styleId="cf01">
    <w:name w:val="cf01"/>
    <w:basedOn w:val="DefaultParagraphFont"/>
    <w:rsid w:val="00315FC0"/>
    <w:rPr>
      <w:rFonts w:ascii="Segoe UI" w:hAnsi="Segoe UI" w:cs="Segoe UI" w:hint="default"/>
      <w:sz w:val="18"/>
      <w:szCs w:val="18"/>
    </w:rPr>
  </w:style>
  <w:style w:type="character" w:styleId="Strong">
    <w:name w:val="Strong"/>
    <w:basedOn w:val="DefaultParagraphFont"/>
    <w:uiPriority w:val="22"/>
    <w:qFormat/>
    <w:rsid w:val="00315FC0"/>
    <w:rPr>
      <w:b/>
      <w:bCs/>
    </w:rPr>
  </w:style>
  <w:style w:type="character" w:customStyle="1" w:styleId="Mention60">
    <w:name w:val="Mention60"/>
    <w:basedOn w:val="DefaultParagraphFont"/>
    <w:uiPriority w:val="99"/>
    <w:unhideWhenUsed/>
    <w:rsid w:val="00315FC0"/>
    <w:rPr>
      <w:color w:val="2B579A"/>
      <w:shd w:val="clear" w:color="auto" w:fill="E1DFDD"/>
    </w:rPr>
  </w:style>
  <w:style w:type="character" w:customStyle="1" w:styleId="cf21">
    <w:name w:val="cf21"/>
    <w:basedOn w:val="DefaultParagraphFont"/>
    <w:rsid w:val="00315FC0"/>
    <w:rPr>
      <w:rFonts w:ascii="Segoe UI" w:hAnsi="Segoe UI" w:cs="Segoe UI" w:hint="default"/>
      <w:color w:val="006100"/>
    </w:rPr>
  </w:style>
  <w:style w:type="paragraph" w:customStyle="1" w:styleId="Style1">
    <w:name w:val="Style1"/>
    <w:basedOn w:val="Normal"/>
    <w:link w:val="Style1Char"/>
    <w:qFormat/>
    <w:rsid w:val="00315FC0"/>
    <w:pPr>
      <w:spacing w:before="120" w:after="120"/>
    </w:pPr>
    <w:rPr>
      <w:rFonts w:ascii="Times New Roman" w:hAnsi="Times New Roman" w:cs="Times New Roman"/>
      <w:b/>
      <w:sz w:val="24"/>
      <w:szCs w:val="24"/>
    </w:rPr>
  </w:style>
  <w:style w:type="character" w:customStyle="1" w:styleId="Style1Char">
    <w:name w:val="Style1 Char"/>
    <w:basedOn w:val="DefaultParagraphFont"/>
    <w:link w:val="Style1"/>
    <w:rsid w:val="00315FC0"/>
    <w:rPr>
      <w:rFonts w:ascii="Times New Roman" w:eastAsia="Calibri" w:hAnsi="Times New Roman" w:cs="Times New Roman"/>
      <w:b/>
      <w:kern w:val="0"/>
      <w:sz w:val="24"/>
      <w:szCs w:val="24"/>
    </w:rPr>
  </w:style>
  <w:style w:type="character" w:customStyle="1" w:styleId="Mention9">
    <w:name w:val="Mention9"/>
    <w:basedOn w:val="DefaultParagraphFont"/>
    <w:uiPriority w:val="99"/>
    <w:unhideWhenUsed/>
    <w:rsid w:val="00315FC0"/>
    <w:rPr>
      <w:color w:val="2B579A"/>
      <w:shd w:val="clear" w:color="auto" w:fill="E1DFDD"/>
    </w:rPr>
  </w:style>
  <w:style w:type="character" w:customStyle="1" w:styleId="Mention11">
    <w:name w:val="Mention11"/>
    <w:basedOn w:val="DefaultParagraphFont"/>
    <w:uiPriority w:val="99"/>
    <w:unhideWhenUsed/>
    <w:rsid w:val="00315FC0"/>
    <w:rPr>
      <w:color w:val="2B579A"/>
      <w:shd w:val="clear" w:color="auto" w:fill="E1DFDD"/>
    </w:rPr>
  </w:style>
  <w:style w:type="character" w:customStyle="1" w:styleId="Mention12">
    <w:name w:val="Mention12"/>
    <w:basedOn w:val="DefaultParagraphFont"/>
    <w:uiPriority w:val="99"/>
    <w:unhideWhenUsed/>
    <w:rsid w:val="00315FC0"/>
    <w:rPr>
      <w:color w:val="2B579A"/>
      <w:shd w:val="clear" w:color="auto" w:fill="E1DFDD"/>
    </w:rPr>
  </w:style>
  <w:style w:type="character" w:customStyle="1" w:styleId="UnresolvedMention10">
    <w:name w:val="Unresolved Mention10"/>
    <w:basedOn w:val="DefaultParagraphFont"/>
    <w:uiPriority w:val="99"/>
    <w:semiHidden/>
    <w:unhideWhenUsed/>
    <w:rsid w:val="00315FC0"/>
    <w:rPr>
      <w:color w:val="605E5C"/>
      <w:shd w:val="clear" w:color="auto" w:fill="E1DFDD"/>
    </w:rPr>
  </w:style>
  <w:style w:type="character" w:customStyle="1" w:styleId="UnresolvedMention2">
    <w:name w:val="Unresolved Mention2"/>
    <w:basedOn w:val="DefaultParagraphFont"/>
    <w:uiPriority w:val="99"/>
    <w:semiHidden/>
    <w:unhideWhenUsed/>
    <w:rsid w:val="00315FC0"/>
    <w:rPr>
      <w:color w:val="605E5C"/>
      <w:shd w:val="clear" w:color="auto" w:fill="E1DFDD"/>
    </w:rPr>
  </w:style>
  <w:style w:type="character" w:customStyle="1" w:styleId="Mention13">
    <w:name w:val="Mention13"/>
    <w:basedOn w:val="DefaultParagraphFont"/>
    <w:uiPriority w:val="99"/>
    <w:unhideWhenUsed/>
    <w:rsid w:val="00315FC0"/>
    <w:rPr>
      <w:color w:val="2B579A"/>
      <w:shd w:val="clear" w:color="auto" w:fill="E1DFDD"/>
    </w:rPr>
  </w:style>
  <w:style w:type="character" w:customStyle="1" w:styleId="UnresolvedMention3">
    <w:name w:val="Unresolved Mention3"/>
    <w:basedOn w:val="DefaultParagraphFont"/>
    <w:uiPriority w:val="99"/>
    <w:semiHidden/>
    <w:unhideWhenUsed/>
    <w:rsid w:val="00315FC0"/>
    <w:rPr>
      <w:color w:val="605E5C"/>
      <w:shd w:val="clear" w:color="auto" w:fill="E1DFDD"/>
    </w:rPr>
  </w:style>
  <w:style w:type="character" w:customStyle="1" w:styleId="Mention14">
    <w:name w:val="Mention14"/>
    <w:basedOn w:val="DefaultParagraphFont"/>
    <w:uiPriority w:val="99"/>
    <w:unhideWhenUsed/>
    <w:rsid w:val="00315FC0"/>
    <w:rPr>
      <w:color w:val="2B579A"/>
      <w:shd w:val="clear" w:color="auto" w:fill="E1DFDD"/>
    </w:rPr>
  </w:style>
  <w:style w:type="paragraph" w:styleId="NormalWeb">
    <w:name w:val="Normal (Web)"/>
    <w:basedOn w:val="Normal"/>
    <w:uiPriority w:val="99"/>
    <w:semiHidden/>
    <w:unhideWhenUsed/>
    <w:rsid w:val="00315FC0"/>
    <w:rPr>
      <w:rFonts w:ascii="Times New Roman" w:hAnsi="Times New Roman" w:cs="Times New Roman"/>
      <w:sz w:val="24"/>
      <w:szCs w:val="24"/>
    </w:rPr>
  </w:style>
  <w:style w:type="character" w:customStyle="1" w:styleId="Mention">
    <w:name w:val="Mention"/>
    <w:basedOn w:val="DefaultParagraphFont"/>
    <w:uiPriority w:val="99"/>
    <w:unhideWhenUsed/>
    <w:rsid w:val="004565C8"/>
    <w:rPr>
      <w:color w:val="2B579A"/>
      <w:shd w:val="clear" w:color="auto" w:fill="E1DFDD"/>
    </w:rPr>
  </w:style>
  <w:style w:type="table" w:customStyle="1" w:styleId="TableGrid1">
    <w:name w:val="Table Grid1"/>
    <w:basedOn w:val="TableNormal"/>
    <w:next w:val="TableGrid"/>
    <w:uiPriority w:val="39"/>
    <w:rsid w:val="00F613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613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8B1DB1-Normal1">
    <w:name w:val="P68B1DB1-Normal1"/>
    <w:basedOn w:val="Normal"/>
    <w:rPr>
      <w:rFonts w:ascii="Times New Roman" w:hAnsi="Times New Roman" w:cs="Times New Roman"/>
      <w:b/>
      <w:u w:val="single"/>
    </w:rPr>
  </w:style>
  <w:style w:type="paragraph" w:customStyle="1" w:styleId="P68B1DB1-Normal2">
    <w:name w:val="P68B1DB1-Normal2"/>
    <w:basedOn w:val="Normal"/>
    <w:rPr>
      <w:rFonts w:ascii="Times New Roman" w:hAnsi="Times New Roman"/>
      <w:b/>
      <w:smallCaps/>
      <w:sz w:val="24"/>
    </w:rPr>
  </w:style>
  <w:style w:type="paragraph" w:customStyle="1" w:styleId="P68B1DB1-ListParagraph3">
    <w:name w:val="P68B1DB1-ListParagraph3"/>
    <w:basedOn w:val="ListParagraph"/>
    <w:rPr>
      <w:rFonts w:ascii="Times New Roman" w:hAnsi="Times New Roman"/>
      <w:b/>
      <w:sz w:val="24"/>
      <w:u w:val="single"/>
    </w:rPr>
  </w:style>
  <w:style w:type="paragraph" w:customStyle="1" w:styleId="P68B1DB1-ListParagraph4">
    <w:name w:val="P68B1DB1-ListParagraph4"/>
    <w:basedOn w:val="ListParagraph"/>
    <w:rPr>
      <w:rFonts w:ascii="Times New Roman" w:hAnsi="Times New Roman"/>
      <w:b/>
      <w:sz w:val="24"/>
    </w:rPr>
  </w:style>
  <w:style w:type="paragraph" w:customStyle="1" w:styleId="P68B1DB1-Normal5">
    <w:name w:val="P68B1DB1-Normal5"/>
    <w:basedOn w:val="Normal"/>
    <w:rPr>
      <w:rFonts w:ascii="Times New Roman" w:hAnsi="Times New Roman"/>
      <w:sz w:val="24"/>
    </w:rPr>
  </w:style>
  <w:style w:type="paragraph" w:customStyle="1" w:styleId="P68B1DB1-Normal6">
    <w:name w:val="P68B1DB1-Normal6"/>
    <w:basedOn w:val="Normal"/>
    <w:rPr>
      <w:rFonts w:ascii="Times New Roman" w:hAnsi="Times New Roman"/>
      <w:b/>
      <w:sz w:val="24"/>
      <w:u w:val="single"/>
    </w:rPr>
  </w:style>
  <w:style w:type="paragraph" w:customStyle="1" w:styleId="P68B1DB1-Normal7">
    <w:name w:val="P68B1DB1-Normal7"/>
    <w:basedOn w:val="Normal"/>
    <w:rPr>
      <w:rFonts w:ascii="Times New Roman" w:hAnsi="Times New Roman"/>
      <w:sz w:val="24"/>
      <w:szCs w:val="24"/>
    </w:rPr>
  </w:style>
  <w:style w:type="paragraph" w:customStyle="1" w:styleId="P68B1DB1-Normal8">
    <w:name w:val="P68B1DB1-Normal8"/>
    <w:basedOn w:val="Normal"/>
    <w:rPr>
      <w:sz w:val="24"/>
      <w:szCs w:val="24"/>
    </w:rPr>
  </w:style>
  <w:style w:type="paragraph" w:customStyle="1" w:styleId="P68B1DB1-Normal9">
    <w:name w:val="P68B1DB1-Normal9"/>
    <w:basedOn w:val="Normal"/>
    <w:rPr>
      <w:rFonts w:ascii="Cambria" w:hAnsi="Cambria"/>
      <w:color w:val="365F91"/>
      <w:sz w:val="24"/>
    </w:rPr>
  </w:style>
  <w:style w:type="paragraph" w:customStyle="1" w:styleId="P68B1DB1-Normal10">
    <w:name w:val="P68B1DB1-Normal10"/>
    <w:basedOn w:val="Normal"/>
    <w:rPr>
      <w:rFonts w:ascii="Times New Roman" w:hAnsi="Times New Roman"/>
      <w:b/>
      <w:sz w:val="18"/>
    </w:rPr>
  </w:style>
  <w:style w:type="paragraph" w:customStyle="1" w:styleId="P68B1DB1-Normal11">
    <w:name w:val="P68B1DB1-Normal11"/>
    <w:basedOn w:val="Normal"/>
    <w:rPr>
      <w:rFonts w:ascii="Times New Roman" w:hAnsi="Times New Roman"/>
      <w:sz w:val="18"/>
      <w:szCs w:val="18"/>
    </w:rPr>
  </w:style>
  <w:style w:type="paragraph" w:customStyle="1" w:styleId="P68B1DB1-Normal12">
    <w:name w:val="P68B1DB1-Normal12"/>
    <w:basedOn w:val="Normal"/>
    <w:rPr>
      <w:rFonts w:ascii="Times New Roman" w:hAnsi="Times New Roman" w:cs="Times New Roman"/>
      <w:color w:val="006100"/>
      <w:sz w:val="18"/>
      <w:szCs w:val="18"/>
    </w:rPr>
  </w:style>
  <w:style w:type="paragraph" w:customStyle="1" w:styleId="P68B1DB1-Normal13">
    <w:name w:val="P68B1DB1-Normal13"/>
    <w:basedOn w:val="Normal"/>
    <w:rPr>
      <w:rFonts w:ascii="Times New Roman" w:hAnsi="Times New Roman" w:cs="Times New Roman"/>
      <w:color w:val="006100"/>
      <w:sz w:val="18"/>
    </w:rPr>
  </w:style>
  <w:style w:type="paragraph" w:customStyle="1" w:styleId="P68B1DB1-Normal14">
    <w:name w:val="P68B1DB1-Normal14"/>
    <w:basedOn w:val="Normal"/>
    <w:rPr>
      <w:sz w:val="24"/>
    </w:rPr>
  </w:style>
  <w:style w:type="paragraph" w:customStyle="1" w:styleId="P68B1DB1-Normal15">
    <w:name w:val="P68B1DB1-Normal15"/>
    <w:basedOn w:val="Normal"/>
    <w:rPr>
      <w:rFonts w:ascii="Times New Roman" w:hAnsi="Times New Roman" w:cs="Times New Roman"/>
      <w:b/>
      <w:sz w:val="18"/>
      <w:szCs w:val="18"/>
    </w:rPr>
  </w:style>
  <w:style w:type="paragraph" w:customStyle="1" w:styleId="P68B1DB1-Normal16">
    <w:name w:val="P68B1DB1-Normal16"/>
    <w:basedOn w:val="Normal"/>
    <w:rPr>
      <w:rFonts w:ascii="Times New Roman" w:hAnsi="Times New Roman" w:cs="Times New Roman"/>
      <w:sz w:val="18"/>
      <w:szCs w:val="18"/>
    </w:rPr>
  </w:style>
  <w:style w:type="paragraph" w:customStyle="1" w:styleId="P68B1DB1-Normal17">
    <w:name w:val="P68B1DB1-Normal17"/>
    <w:basedOn w:val="Normal"/>
    <w:rPr>
      <w:rFonts w:ascii="Times New Roman" w:hAnsi="Times New Roman"/>
      <w:b/>
      <w:sz w:val="24"/>
    </w:rPr>
  </w:style>
  <w:style w:type="paragraph" w:customStyle="1" w:styleId="P68B1DB1-Normal18">
    <w:name w:val="P68B1DB1-Normal18"/>
    <w:basedOn w:val="Normal"/>
    <w:rPr>
      <w:b/>
      <w:sz w:val="18"/>
    </w:rPr>
  </w:style>
  <w:style w:type="paragraph" w:customStyle="1" w:styleId="P68B1DB1-Normal19">
    <w:name w:val="P68B1DB1-Normal19"/>
    <w:basedOn w:val="Normal"/>
    <w:rPr>
      <w:rFonts w:ascii="Times New Roman" w:hAnsi="Times New Roman"/>
      <w:b/>
      <w:sz w:val="24"/>
      <w:szCs w:val="24"/>
      <w:u w:val="single"/>
    </w:rPr>
  </w:style>
  <w:style w:type="paragraph" w:customStyle="1" w:styleId="P68B1DB1-LegalNumPar220">
    <w:name w:val="P68B1DB1-LegalNumPar220"/>
    <w:basedOn w:val="LegalNumPar2"/>
    <w:rPr>
      <w:rFonts w:ascii="Times New Roman" w:hAnsi="Times New Roman" w:cs="Times New Roman"/>
      <w:sz w:val="24"/>
      <w:szCs w:val="24"/>
    </w:rPr>
  </w:style>
  <w:style w:type="paragraph" w:customStyle="1" w:styleId="P68B1DB1-LegalNumPar21">
    <w:name w:val="P68B1DB1-LegalNumPar21"/>
    <w:basedOn w:val="LegalNumPar"/>
    <w:rPr>
      <w:rFonts w:ascii="Times New Roman" w:hAnsi="Times New Roman" w:cs="Times New Roman"/>
      <w:sz w:val="24"/>
      <w:szCs w:val="24"/>
    </w:rPr>
  </w:style>
  <w:style w:type="paragraph" w:customStyle="1" w:styleId="P68B1DB1-LegalNumPar22">
    <w:name w:val="P68B1DB1-LegalNumPar22"/>
    <w:basedOn w:val="LegalNumPar"/>
    <w:rPr>
      <w:sz w:val="24"/>
      <w:szCs w:val="24"/>
    </w:rPr>
  </w:style>
  <w:style w:type="paragraph" w:customStyle="1" w:styleId="P68B1DB1-Normal23">
    <w:name w:val="P68B1DB1-Normal23"/>
    <w:basedOn w:val="Normal"/>
    <w:rPr>
      <w:rFonts w:ascii="Times New Roman" w:eastAsia="Times New Roman" w:hAnsi="Times New Roman" w:cs="Times New Roman"/>
      <w:color w:val="006100"/>
      <w:sz w:val="18"/>
      <w:szCs w:val="18"/>
    </w:rPr>
  </w:style>
  <w:style w:type="paragraph" w:customStyle="1" w:styleId="P68B1DB1-Normal24">
    <w:name w:val="P68B1DB1-Normal24"/>
    <w:basedOn w:val="Normal"/>
    <w:rPr>
      <w:rFonts w:ascii="Times New Roman" w:hAnsi="Times New Roman" w:cs="Times New Roman"/>
      <w:b/>
      <w:sz w:val="24"/>
      <w:szCs w:val="24"/>
    </w:rPr>
  </w:style>
  <w:style w:type="paragraph" w:customStyle="1" w:styleId="P68B1DB1-Normal25">
    <w:name w:val="P68B1DB1-Normal25"/>
    <w:basedOn w:val="Normal"/>
    <w:rPr>
      <w:u w:val="single"/>
    </w:rPr>
  </w:style>
  <w:style w:type="paragraph" w:customStyle="1" w:styleId="P68B1DB1-Normal26">
    <w:name w:val="P68B1DB1-Normal26"/>
    <w:basedOn w:val="Normal"/>
    <w:rPr>
      <w:rFonts w:ascii="Times New Roman" w:hAnsi="Times New Roman" w:cs="Times New Roman"/>
      <w:color w:val="006100"/>
      <w:sz w:val="16"/>
      <w:szCs w:val="16"/>
    </w:rPr>
  </w:style>
  <w:style w:type="paragraph" w:customStyle="1" w:styleId="P68B1DB1-Normal27">
    <w:name w:val="P68B1DB1-Normal27"/>
    <w:basedOn w:val="Normal"/>
    <w:rPr>
      <w:rFonts w:ascii="Times New Roman" w:eastAsiaTheme="minorEastAsia" w:hAnsi="Times New Roman" w:cs="Times New Roman"/>
      <w:color w:val="006100"/>
      <w:sz w:val="18"/>
      <w:szCs w:val="18"/>
    </w:rPr>
  </w:style>
  <w:style w:type="paragraph" w:customStyle="1" w:styleId="P68B1DB1-Normal28">
    <w:name w:val="P68B1DB1-Normal28"/>
    <w:basedOn w:val="Normal"/>
    <w:rPr>
      <w:rFonts w:ascii="Times New Roman" w:eastAsia="Aptos" w:hAnsi="Times New Roman" w:cs="Times New Roman"/>
      <w:b/>
      <w:kern w:val="2"/>
      <w:sz w:val="18"/>
    </w:rPr>
  </w:style>
  <w:style w:type="paragraph" w:customStyle="1" w:styleId="P68B1DB1-Normal29">
    <w:name w:val="P68B1DB1-Normal29"/>
    <w:basedOn w:val="Normal"/>
    <w:rPr>
      <w:rFonts w:ascii="Times New Roman" w:eastAsia="Aptos" w:hAnsi="Times New Roman" w:cs="Times New Roman"/>
      <w:color w:val="006100"/>
      <w:kern w:val="2"/>
      <w:sz w:val="18"/>
      <w:szCs w:val="18"/>
    </w:rPr>
  </w:style>
  <w:style w:type="paragraph" w:customStyle="1" w:styleId="P68B1DB1-Normal30">
    <w:name w:val="P68B1DB1-Normal30"/>
    <w:basedOn w:val="Normal"/>
    <w:rPr>
      <w:rFonts w:ascii="Times New Roman" w:eastAsia="Aptos" w:hAnsi="Times New Roman" w:cs="Times New Roman"/>
      <w:color w:val="006100"/>
      <w:kern w:val="2"/>
      <w:sz w:val="18"/>
    </w:rPr>
  </w:style>
  <w:style w:type="paragraph" w:customStyle="1" w:styleId="P68B1DB1-ListParagraph31">
    <w:name w:val="P68B1DB1-ListParagraph31"/>
    <w:basedOn w:val="ListParagraph"/>
    <w:rPr>
      <w:rFonts w:ascii="Times New Roman" w:eastAsiaTheme="minorEastAsia" w:hAnsi="Times New Roman" w:cs="Times New Roman"/>
      <w:color w:val="006100"/>
      <w:sz w:val="18"/>
      <w:szCs w:val="18"/>
    </w:rPr>
  </w:style>
  <w:style w:type="paragraph" w:customStyle="1" w:styleId="P68B1DB1-ListParagraph32">
    <w:name w:val="P68B1DB1-ListParagraph32"/>
    <w:basedOn w:val="ListParagraph"/>
    <w:rPr>
      <w:rFonts w:ascii="Times New Roman" w:hAnsi="Times New Roman"/>
      <w:sz w:val="24"/>
    </w:rPr>
  </w:style>
  <w:style w:type="paragraph" w:customStyle="1" w:styleId="P68B1DB1-xmsonormal33">
    <w:name w:val="P68B1DB1-xmsonormal33"/>
    <w:basedOn w:val="xmsonormal"/>
    <w:rPr>
      <w:color w:val="006100"/>
      <w:sz w:val="18"/>
      <w:szCs w:val="18"/>
    </w:rPr>
  </w:style>
  <w:style w:type="paragraph" w:customStyle="1" w:styleId="P68B1DB1-ListParagraph34">
    <w:name w:val="P68B1DB1-ListParagraph34"/>
    <w:basedOn w:val="ListParagraph"/>
    <w:rPr>
      <w:rFonts w:ascii="Times New Roman" w:hAnsi="Times New Roman" w:cs="Times New Roman"/>
      <w:color w:val="006100"/>
      <w:sz w:val="18"/>
      <w:szCs w:val="18"/>
    </w:rPr>
  </w:style>
  <w:style w:type="paragraph" w:customStyle="1" w:styleId="P68B1DB1-Normal35">
    <w:name w:val="P68B1DB1-Normal35"/>
    <w:basedOn w:val="Normal"/>
    <w:rPr>
      <w:color w:val="006100"/>
    </w:rPr>
  </w:style>
  <w:style w:type="paragraph" w:customStyle="1" w:styleId="P68B1DB1-Normal36">
    <w:name w:val="P68B1DB1-Normal36"/>
    <w:basedOn w:val="Normal"/>
    <w:rPr>
      <w:sz w:val="18"/>
    </w:rPr>
  </w:style>
  <w:style w:type="paragraph" w:customStyle="1" w:styleId="P68B1DB1-paragraph37">
    <w:name w:val="P68B1DB1-paragraph37"/>
    <w:basedOn w:val="paragraph"/>
    <w:rPr>
      <w:color w:val="006100"/>
      <w:sz w:val="18"/>
      <w:szCs w:val="18"/>
    </w:rPr>
  </w:style>
  <w:style w:type="paragraph" w:customStyle="1" w:styleId="P68B1DB1-Normal38">
    <w:name w:val="P68B1DB1-Normal38"/>
    <w:basedOn w:val="Normal"/>
    <w:rPr>
      <w:rFonts w:ascii="Cambria" w:hAnsi="Cambria"/>
      <w:color w:val="365F91" w:themeColor="accent1" w:themeShade="BF"/>
      <w:sz w:val="24"/>
      <w:szCs w:val="24"/>
    </w:rPr>
  </w:style>
  <w:style w:type="paragraph" w:customStyle="1" w:styleId="P68B1DB1-paragraph39">
    <w:name w:val="P68B1DB1-paragraph39"/>
    <w:basedOn w:val="paragraph"/>
    <w:rPr>
      <w:rFonts w:eastAsia="Calibri"/>
      <w:color w:val="006100"/>
      <w:sz w:val="18"/>
      <w:szCs w:val="18"/>
    </w:rPr>
  </w:style>
  <w:style w:type="paragraph" w:customStyle="1" w:styleId="P68B1DB1-Default40">
    <w:name w:val="P68B1DB1-Default40"/>
    <w:basedOn w:val="Default"/>
    <w:rPr>
      <w:rFonts w:ascii="Times New Roman" w:hAnsi="Times New Roman"/>
    </w:rPr>
  </w:style>
  <w:style w:type="paragraph" w:customStyle="1" w:styleId="P68B1DB1-Normal41">
    <w:name w:val="P68B1DB1-Normal41"/>
    <w:basedOn w:val="Normal"/>
    <w:rPr>
      <w:rFonts w:ascii="Times New Roman" w:hAnsi="Times New Roman"/>
      <w:b/>
      <w:sz w:val="18"/>
      <w:szCs w:val="18"/>
    </w:rPr>
  </w:style>
  <w:style w:type="paragraph" w:customStyle="1" w:styleId="P68B1DB1-ListParagraph42">
    <w:name w:val="P68B1DB1-ListParagraph42"/>
    <w:basedOn w:val="ListParagraph"/>
    <w:rPr>
      <w:rFonts w:ascii="Times New Roman" w:hAnsi="Times New Roman" w:cs="Times New Roman"/>
      <w:sz w:val="18"/>
      <w:szCs w:val="18"/>
    </w:rPr>
  </w:style>
  <w:style w:type="paragraph" w:customStyle="1" w:styleId="P68B1DB1-Normal43">
    <w:name w:val="P68B1DB1-Normal43"/>
    <w:basedOn w:val="Normal"/>
    <w:rPr>
      <w:color w:val="006100"/>
      <w:sz w:val="18"/>
      <w:szCs w:val="18"/>
    </w:rPr>
  </w:style>
  <w:style w:type="paragraph" w:customStyle="1" w:styleId="P68B1DB1-Normal44">
    <w:name w:val="P68B1DB1-Normal44"/>
    <w:basedOn w:val="Normal"/>
    <w:rPr>
      <w:rFonts w:ascii="Times New Roman" w:hAnsi="Times New Roman"/>
      <w:color w:val="000000" w:themeColor="text1"/>
      <w:sz w:val="24"/>
    </w:rPr>
  </w:style>
  <w:style w:type="paragraph" w:customStyle="1" w:styleId="P68B1DB1-Normal45">
    <w:name w:val="P68B1DB1-Normal45"/>
    <w:basedOn w:val="Normal"/>
    <w:rPr>
      <w:rFonts w:ascii="Times New Roman" w:hAnsi="Times New Roman" w:cs="Times New Roman"/>
      <w:color w:val="006100"/>
    </w:rPr>
  </w:style>
  <w:style w:type="paragraph" w:customStyle="1" w:styleId="P68B1DB1-LegalNumPar46">
    <w:name w:val="P68B1DB1-LegalNumPar46"/>
    <w:basedOn w:val="LegalNumPar"/>
    <w:rPr>
      <w:sz w:val="24"/>
    </w:rPr>
  </w:style>
  <w:style w:type="paragraph" w:customStyle="1" w:styleId="P68B1DB1-ListParagraph47">
    <w:name w:val="P68B1DB1-ListParagraph47"/>
    <w:basedOn w:val="ListParagraph"/>
    <w:rPr>
      <w:rFonts w:ascii="Times New Roman" w:hAnsi="Times New Roman"/>
      <w:sz w:val="24"/>
      <w:szCs w:val="24"/>
    </w:rPr>
  </w:style>
  <w:style w:type="paragraph" w:customStyle="1" w:styleId="P68B1DB1-Normal48">
    <w:name w:val="P68B1DB1-Normal48"/>
    <w:basedOn w:val="Normal"/>
    <w:rPr>
      <w:rFonts w:ascii="Times New Roman" w:hAnsi="Times New Roman"/>
      <w:b/>
      <w:sz w:val="24"/>
      <w:szCs w:val="24"/>
    </w:rPr>
  </w:style>
  <w:style w:type="paragraph" w:customStyle="1" w:styleId="P68B1DB1-Normal49">
    <w:name w:val="P68B1DB1-Normal49"/>
    <w:basedOn w:val="Normal"/>
    <w:rPr>
      <w:sz w:val="18"/>
      <w:szCs w:val="18"/>
    </w:rPr>
  </w:style>
  <w:style w:type="paragraph" w:customStyle="1" w:styleId="P68B1DB1-Normal50">
    <w:name w:val="P68B1DB1-Normal50"/>
    <w:basedOn w:val="Normal"/>
    <w:rPr>
      <w:rFonts w:ascii="Times New Roman" w:hAnsi="Times New Roman" w:cs="Times New Roman"/>
      <w:sz w:val="24"/>
    </w:rPr>
  </w:style>
  <w:style w:type="paragraph" w:customStyle="1" w:styleId="P68B1DB1-Normal51">
    <w:name w:val="P68B1DB1-Normal51"/>
    <w:basedOn w:val="Normal"/>
    <w:rPr>
      <w:rFonts w:ascii="Times New Roman" w:hAnsi="Times New Roman"/>
      <w:b/>
    </w:rPr>
  </w:style>
  <w:style w:type="paragraph" w:customStyle="1" w:styleId="P68B1DB1-Normal52">
    <w:name w:val="P68B1DB1-Normal52"/>
    <w:basedOn w:val="Normal"/>
    <w:rPr>
      <w:rFonts w:ascii="Times New Roman" w:hAnsi="Times New Roman"/>
    </w:rPr>
  </w:style>
  <w:style w:type="paragraph" w:customStyle="1" w:styleId="P68B1DB1-ListParagraph53">
    <w:name w:val="P68B1DB1-ListParagraph53"/>
    <w:basedOn w:val="ListParagraph"/>
    <w:rPr>
      <w:rFonts w:ascii="Times New Roman" w:hAnsi="Times New Roman" w:cs="Times New Roman"/>
      <w:color w:val="006100"/>
      <w:sz w:val="18"/>
    </w:rPr>
  </w:style>
  <w:style w:type="paragraph" w:customStyle="1" w:styleId="P68B1DB1-ListParagraph54">
    <w:name w:val="P68B1DB1-ListParagraph54"/>
    <w:basedOn w:val="ListParagraph"/>
    <w:rPr>
      <w:rFonts w:ascii="Times New Roman" w:eastAsia="Times New Roman" w:hAnsi="Times New Roman" w:cs="Times New Roman"/>
      <w:color w:val="006100"/>
      <w:sz w:val="18"/>
      <w:szCs w:val="18"/>
    </w:rPr>
  </w:style>
  <w:style w:type="paragraph" w:customStyle="1" w:styleId="P68B1DB1-Normal55">
    <w:name w:val="P68B1DB1-Normal55"/>
    <w:basedOn w:val="Normal"/>
    <w:rPr>
      <w:rFonts w:ascii="Times New Roman" w:hAnsi="Times New Roman"/>
      <w:sz w:val="18"/>
    </w:rPr>
  </w:style>
  <w:style w:type="paragraph" w:customStyle="1" w:styleId="P68B1DB1-Normal56">
    <w:name w:val="P68B1DB1-Normal56"/>
    <w:basedOn w:val="Normal"/>
    <w:rPr>
      <w:rFonts w:ascii="Times New Roman" w:hAnsi="Times New Roman"/>
      <w:sz w:val="20"/>
    </w:rPr>
  </w:style>
  <w:style w:type="paragraph" w:customStyle="1" w:styleId="P68B1DB1-Normal57">
    <w:name w:val="P68B1DB1-Normal57"/>
    <w:basedOn w:val="Normal"/>
    <w:rPr>
      <w:rFonts w:eastAsia="Times New Roman"/>
      <w:i/>
      <w:color w:val="4F81BD"/>
    </w:rPr>
  </w:style>
  <w:style w:type="paragraph" w:customStyle="1" w:styleId="P68B1DB1-Normal58">
    <w:name w:val="P68B1DB1-Normal58"/>
    <w:basedOn w:val="Normal"/>
    <w:rPr>
      <w:rFonts w:ascii="Times New Roman" w:eastAsia="Times New Roman" w:hAnsi="Times New Roman" w:cs="Times New Roman"/>
      <w:sz w:val="18"/>
      <w:szCs w:val="18"/>
    </w:rPr>
  </w:style>
  <w:style w:type="paragraph" w:customStyle="1" w:styleId="P68B1DB1-Normal59">
    <w:name w:val="P68B1DB1-Normal59"/>
    <w:basedOn w:val="Normal"/>
    <w:rPr>
      <w:rFonts w:ascii="Times New Roman" w:eastAsia="Times New Roman" w:hAnsi="Times New Roman" w:cs="Times New Roman"/>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61710">
      <w:bodyDiv w:val="1"/>
      <w:marLeft w:val="0"/>
      <w:marRight w:val="0"/>
      <w:marTop w:val="0"/>
      <w:marBottom w:val="0"/>
      <w:divBdr>
        <w:top w:val="none" w:sz="0" w:space="0" w:color="auto"/>
        <w:left w:val="none" w:sz="0" w:space="0" w:color="auto"/>
        <w:bottom w:val="none" w:sz="0" w:space="0" w:color="auto"/>
        <w:right w:val="none" w:sz="0" w:space="0" w:color="auto"/>
      </w:divBdr>
      <w:divsChild>
        <w:div w:id="524904397">
          <w:marLeft w:val="0"/>
          <w:marRight w:val="0"/>
          <w:marTop w:val="0"/>
          <w:marBottom w:val="0"/>
          <w:divBdr>
            <w:top w:val="none" w:sz="0" w:space="0" w:color="auto"/>
            <w:left w:val="none" w:sz="0" w:space="0" w:color="auto"/>
            <w:bottom w:val="none" w:sz="0" w:space="0" w:color="auto"/>
            <w:right w:val="none" w:sz="0" w:space="0" w:color="auto"/>
          </w:divBdr>
          <w:divsChild>
            <w:div w:id="268896401">
              <w:marLeft w:val="0"/>
              <w:marRight w:val="0"/>
              <w:marTop w:val="0"/>
              <w:marBottom w:val="0"/>
              <w:divBdr>
                <w:top w:val="none" w:sz="0" w:space="0" w:color="auto"/>
                <w:left w:val="none" w:sz="0" w:space="0" w:color="auto"/>
                <w:bottom w:val="none" w:sz="0" w:space="0" w:color="auto"/>
                <w:right w:val="none" w:sz="0" w:space="0" w:color="auto"/>
              </w:divBdr>
            </w:div>
          </w:divsChild>
        </w:div>
        <w:div w:id="605357092">
          <w:marLeft w:val="0"/>
          <w:marRight w:val="0"/>
          <w:marTop w:val="0"/>
          <w:marBottom w:val="0"/>
          <w:divBdr>
            <w:top w:val="none" w:sz="0" w:space="0" w:color="auto"/>
            <w:left w:val="none" w:sz="0" w:space="0" w:color="auto"/>
            <w:bottom w:val="none" w:sz="0" w:space="0" w:color="auto"/>
            <w:right w:val="none" w:sz="0" w:space="0" w:color="auto"/>
          </w:divBdr>
          <w:divsChild>
            <w:div w:id="1312254864">
              <w:marLeft w:val="0"/>
              <w:marRight w:val="0"/>
              <w:marTop w:val="0"/>
              <w:marBottom w:val="0"/>
              <w:divBdr>
                <w:top w:val="none" w:sz="0" w:space="0" w:color="auto"/>
                <w:left w:val="none" w:sz="0" w:space="0" w:color="auto"/>
                <w:bottom w:val="none" w:sz="0" w:space="0" w:color="auto"/>
                <w:right w:val="none" w:sz="0" w:space="0" w:color="auto"/>
              </w:divBdr>
            </w:div>
          </w:divsChild>
        </w:div>
        <w:div w:id="1815757289">
          <w:marLeft w:val="0"/>
          <w:marRight w:val="0"/>
          <w:marTop w:val="0"/>
          <w:marBottom w:val="0"/>
          <w:divBdr>
            <w:top w:val="none" w:sz="0" w:space="0" w:color="auto"/>
            <w:left w:val="none" w:sz="0" w:space="0" w:color="auto"/>
            <w:bottom w:val="none" w:sz="0" w:space="0" w:color="auto"/>
            <w:right w:val="none" w:sz="0" w:space="0" w:color="auto"/>
          </w:divBdr>
          <w:divsChild>
            <w:div w:id="1751272970">
              <w:marLeft w:val="0"/>
              <w:marRight w:val="0"/>
              <w:marTop w:val="0"/>
              <w:marBottom w:val="0"/>
              <w:divBdr>
                <w:top w:val="none" w:sz="0" w:space="0" w:color="auto"/>
                <w:left w:val="none" w:sz="0" w:space="0" w:color="auto"/>
                <w:bottom w:val="none" w:sz="0" w:space="0" w:color="auto"/>
                <w:right w:val="none" w:sz="0" w:space="0" w:color="auto"/>
              </w:divBdr>
            </w:div>
          </w:divsChild>
        </w:div>
        <w:div w:id="1856842909">
          <w:marLeft w:val="0"/>
          <w:marRight w:val="0"/>
          <w:marTop w:val="0"/>
          <w:marBottom w:val="0"/>
          <w:divBdr>
            <w:top w:val="none" w:sz="0" w:space="0" w:color="auto"/>
            <w:left w:val="none" w:sz="0" w:space="0" w:color="auto"/>
            <w:bottom w:val="none" w:sz="0" w:space="0" w:color="auto"/>
            <w:right w:val="none" w:sz="0" w:space="0" w:color="auto"/>
          </w:divBdr>
          <w:divsChild>
            <w:div w:id="144789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31549">
      <w:bodyDiv w:val="1"/>
      <w:marLeft w:val="0"/>
      <w:marRight w:val="0"/>
      <w:marTop w:val="0"/>
      <w:marBottom w:val="0"/>
      <w:divBdr>
        <w:top w:val="none" w:sz="0" w:space="0" w:color="auto"/>
        <w:left w:val="none" w:sz="0" w:space="0" w:color="auto"/>
        <w:bottom w:val="none" w:sz="0" w:space="0" w:color="auto"/>
        <w:right w:val="none" w:sz="0" w:space="0" w:color="auto"/>
      </w:divBdr>
      <w:divsChild>
        <w:div w:id="65224769">
          <w:marLeft w:val="0"/>
          <w:marRight w:val="0"/>
          <w:marTop w:val="0"/>
          <w:marBottom w:val="0"/>
          <w:divBdr>
            <w:top w:val="none" w:sz="0" w:space="0" w:color="auto"/>
            <w:left w:val="none" w:sz="0" w:space="0" w:color="auto"/>
            <w:bottom w:val="none" w:sz="0" w:space="0" w:color="auto"/>
            <w:right w:val="none" w:sz="0" w:space="0" w:color="auto"/>
          </w:divBdr>
        </w:div>
        <w:div w:id="101272170">
          <w:marLeft w:val="0"/>
          <w:marRight w:val="0"/>
          <w:marTop w:val="0"/>
          <w:marBottom w:val="0"/>
          <w:divBdr>
            <w:top w:val="none" w:sz="0" w:space="0" w:color="auto"/>
            <w:left w:val="none" w:sz="0" w:space="0" w:color="auto"/>
            <w:bottom w:val="none" w:sz="0" w:space="0" w:color="auto"/>
            <w:right w:val="none" w:sz="0" w:space="0" w:color="auto"/>
          </w:divBdr>
        </w:div>
        <w:div w:id="1011878411">
          <w:marLeft w:val="0"/>
          <w:marRight w:val="0"/>
          <w:marTop w:val="0"/>
          <w:marBottom w:val="0"/>
          <w:divBdr>
            <w:top w:val="none" w:sz="0" w:space="0" w:color="auto"/>
            <w:left w:val="none" w:sz="0" w:space="0" w:color="auto"/>
            <w:bottom w:val="none" w:sz="0" w:space="0" w:color="auto"/>
            <w:right w:val="none" w:sz="0" w:space="0" w:color="auto"/>
          </w:divBdr>
        </w:div>
        <w:div w:id="1114863501">
          <w:marLeft w:val="0"/>
          <w:marRight w:val="0"/>
          <w:marTop w:val="0"/>
          <w:marBottom w:val="0"/>
          <w:divBdr>
            <w:top w:val="none" w:sz="0" w:space="0" w:color="auto"/>
            <w:left w:val="none" w:sz="0" w:space="0" w:color="auto"/>
            <w:bottom w:val="none" w:sz="0" w:space="0" w:color="auto"/>
            <w:right w:val="none" w:sz="0" w:space="0" w:color="auto"/>
          </w:divBdr>
        </w:div>
        <w:div w:id="1528368801">
          <w:marLeft w:val="0"/>
          <w:marRight w:val="0"/>
          <w:marTop w:val="0"/>
          <w:marBottom w:val="0"/>
          <w:divBdr>
            <w:top w:val="none" w:sz="0" w:space="0" w:color="auto"/>
            <w:left w:val="none" w:sz="0" w:space="0" w:color="auto"/>
            <w:bottom w:val="none" w:sz="0" w:space="0" w:color="auto"/>
            <w:right w:val="none" w:sz="0" w:space="0" w:color="auto"/>
          </w:divBdr>
        </w:div>
        <w:div w:id="1558666633">
          <w:marLeft w:val="0"/>
          <w:marRight w:val="0"/>
          <w:marTop w:val="0"/>
          <w:marBottom w:val="0"/>
          <w:divBdr>
            <w:top w:val="none" w:sz="0" w:space="0" w:color="auto"/>
            <w:left w:val="none" w:sz="0" w:space="0" w:color="auto"/>
            <w:bottom w:val="none" w:sz="0" w:space="0" w:color="auto"/>
            <w:right w:val="none" w:sz="0" w:space="0" w:color="auto"/>
          </w:divBdr>
        </w:div>
        <w:div w:id="1622109210">
          <w:marLeft w:val="0"/>
          <w:marRight w:val="0"/>
          <w:marTop w:val="0"/>
          <w:marBottom w:val="0"/>
          <w:divBdr>
            <w:top w:val="none" w:sz="0" w:space="0" w:color="auto"/>
            <w:left w:val="none" w:sz="0" w:space="0" w:color="auto"/>
            <w:bottom w:val="none" w:sz="0" w:space="0" w:color="auto"/>
            <w:right w:val="none" w:sz="0" w:space="0" w:color="auto"/>
          </w:divBdr>
        </w:div>
      </w:divsChild>
    </w:div>
    <w:div w:id="204174028">
      <w:bodyDiv w:val="1"/>
      <w:marLeft w:val="0"/>
      <w:marRight w:val="0"/>
      <w:marTop w:val="0"/>
      <w:marBottom w:val="0"/>
      <w:divBdr>
        <w:top w:val="none" w:sz="0" w:space="0" w:color="auto"/>
        <w:left w:val="none" w:sz="0" w:space="0" w:color="auto"/>
        <w:bottom w:val="none" w:sz="0" w:space="0" w:color="auto"/>
        <w:right w:val="none" w:sz="0" w:space="0" w:color="auto"/>
      </w:divBdr>
    </w:div>
    <w:div w:id="292102799">
      <w:bodyDiv w:val="1"/>
      <w:marLeft w:val="0"/>
      <w:marRight w:val="0"/>
      <w:marTop w:val="0"/>
      <w:marBottom w:val="0"/>
      <w:divBdr>
        <w:top w:val="none" w:sz="0" w:space="0" w:color="auto"/>
        <w:left w:val="none" w:sz="0" w:space="0" w:color="auto"/>
        <w:bottom w:val="none" w:sz="0" w:space="0" w:color="auto"/>
        <w:right w:val="none" w:sz="0" w:space="0" w:color="auto"/>
      </w:divBdr>
    </w:div>
    <w:div w:id="661083189">
      <w:bodyDiv w:val="1"/>
      <w:marLeft w:val="0"/>
      <w:marRight w:val="0"/>
      <w:marTop w:val="0"/>
      <w:marBottom w:val="0"/>
      <w:divBdr>
        <w:top w:val="none" w:sz="0" w:space="0" w:color="auto"/>
        <w:left w:val="none" w:sz="0" w:space="0" w:color="auto"/>
        <w:bottom w:val="none" w:sz="0" w:space="0" w:color="auto"/>
        <w:right w:val="none" w:sz="0" w:space="0" w:color="auto"/>
      </w:divBdr>
    </w:div>
    <w:div w:id="684677554">
      <w:bodyDiv w:val="1"/>
      <w:marLeft w:val="0"/>
      <w:marRight w:val="0"/>
      <w:marTop w:val="0"/>
      <w:marBottom w:val="0"/>
      <w:divBdr>
        <w:top w:val="none" w:sz="0" w:space="0" w:color="auto"/>
        <w:left w:val="none" w:sz="0" w:space="0" w:color="auto"/>
        <w:bottom w:val="none" w:sz="0" w:space="0" w:color="auto"/>
        <w:right w:val="none" w:sz="0" w:space="0" w:color="auto"/>
      </w:divBdr>
    </w:div>
    <w:div w:id="732394021">
      <w:bodyDiv w:val="1"/>
      <w:marLeft w:val="0"/>
      <w:marRight w:val="0"/>
      <w:marTop w:val="0"/>
      <w:marBottom w:val="0"/>
      <w:divBdr>
        <w:top w:val="none" w:sz="0" w:space="0" w:color="auto"/>
        <w:left w:val="none" w:sz="0" w:space="0" w:color="auto"/>
        <w:bottom w:val="none" w:sz="0" w:space="0" w:color="auto"/>
        <w:right w:val="none" w:sz="0" w:space="0" w:color="auto"/>
      </w:divBdr>
    </w:div>
    <w:div w:id="738672971">
      <w:bodyDiv w:val="1"/>
      <w:marLeft w:val="0"/>
      <w:marRight w:val="0"/>
      <w:marTop w:val="0"/>
      <w:marBottom w:val="0"/>
      <w:divBdr>
        <w:top w:val="none" w:sz="0" w:space="0" w:color="auto"/>
        <w:left w:val="none" w:sz="0" w:space="0" w:color="auto"/>
        <w:bottom w:val="none" w:sz="0" w:space="0" w:color="auto"/>
        <w:right w:val="none" w:sz="0" w:space="0" w:color="auto"/>
      </w:divBdr>
      <w:divsChild>
        <w:div w:id="118299388">
          <w:marLeft w:val="0"/>
          <w:marRight w:val="0"/>
          <w:marTop w:val="0"/>
          <w:marBottom w:val="0"/>
          <w:divBdr>
            <w:top w:val="none" w:sz="0" w:space="0" w:color="auto"/>
            <w:left w:val="none" w:sz="0" w:space="0" w:color="auto"/>
            <w:bottom w:val="none" w:sz="0" w:space="0" w:color="auto"/>
            <w:right w:val="none" w:sz="0" w:space="0" w:color="auto"/>
          </w:divBdr>
          <w:divsChild>
            <w:div w:id="802818042">
              <w:marLeft w:val="0"/>
              <w:marRight w:val="0"/>
              <w:marTop w:val="0"/>
              <w:marBottom w:val="0"/>
              <w:divBdr>
                <w:top w:val="none" w:sz="0" w:space="0" w:color="auto"/>
                <w:left w:val="none" w:sz="0" w:space="0" w:color="auto"/>
                <w:bottom w:val="none" w:sz="0" w:space="0" w:color="auto"/>
                <w:right w:val="none" w:sz="0" w:space="0" w:color="auto"/>
              </w:divBdr>
            </w:div>
          </w:divsChild>
        </w:div>
        <w:div w:id="1044447447">
          <w:marLeft w:val="0"/>
          <w:marRight w:val="0"/>
          <w:marTop w:val="0"/>
          <w:marBottom w:val="0"/>
          <w:divBdr>
            <w:top w:val="none" w:sz="0" w:space="0" w:color="auto"/>
            <w:left w:val="none" w:sz="0" w:space="0" w:color="auto"/>
            <w:bottom w:val="none" w:sz="0" w:space="0" w:color="auto"/>
            <w:right w:val="none" w:sz="0" w:space="0" w:color="auto"/>
          </w:divBdr>
          <w:divsChild>
            <w:div w:id="447746951">
              <w:marLeft w:val="0"/>
              <w:marRight w:val="0"/>
              <w:marTop w:val="0"/>
              <w:marBottom w:val="0"/>
              <w:divBdr>
                <w:top w:val="none" w:sz="0" w:space="0" w:color="auto"/>
                <w:left w:val="none" w:sz="0" w:space="0" w:color="auto"/>
                <w:bottom w:val="none" w:sz="0" w:space="0" w:color="auto"/>
                <w:right w:val="none" w:sz="0" w:space="0" w:color="auto"/>
              </w:divBdr>
            </w:div>
          </w:divsChild>
        </w:div>
        <w:div w:id="1458723874">
          <w:marLeft w:val="0"/>
          <w:marRight w:val="0"/>
          <w:marTop w:val="0"/>
          <w:marBottom w:val="0"/>
          <w:divBdr>
            <w:top w:val="none" w:sz="0" w:space="0" w:color="auto"/>
            <w:left w:val="none" w:sz="0" w:space="0" w:color="auto"/>
            <w:bottom w:val="none" w:sz="0" w:space="0" w:color="auto"/>
            <w:right w:val="none" w:sz="0" w:space="0" w:color="auto"/>
          </w:divBdr>
          <w:divsChild>
            <w:div w:id="1459566765">
              <w:marLeft w:val="0"/>
              <w:marRight w:val="0"/>
              <w:marTop w:val="0"/>
              <w:marBottom w:val="0"/>
              <w:divBdr>
                <w:top w:val="none" w:sz="0" w:space="0" w:color="auto"/>
                <w:left w:val="none" w:sz="0" w:space="0" w:color="auto"/>
                <w:bottom w:val="none" w:sz="0" w:space="0" w:color="auto"/>
                <w:right w:val="none" w:sz="0" w:space="0" w:color="auto"/>
              </w:divBdr>
            </w:div>
          </w:divsChild>
        </w:div>
        <w:div w:id="1978759075">
          <w:marLeft w:val="0"/>
          <w:marRight w:val="0"/>
          <w:marTop w:val="0"/>
          <w:marBottom w:val="0"/>
          <w:divBdr>
            <w:top w:val="none" w:sz="0" w:space="0" w:color="auto"/>
            <w:left w:val="none" w:sz="0" w:space="0" w:color="auto"/>
            <w:bottom w:val="none" w:sz="0" w:space="0" w:color="auto"/>
            <w:right w:val="none" w:sz="0" w:space="0" w:color="auto"/>
          </w:divBdr>
          <w:divsChild>
            <w:div w:id="18099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948187">
      <w:bodyDiv w:val="1"/>
      <w:marLeft w:val="0"/>
      <w:marRight w:val="0"/>
      <w:marTop w:val="0"/>
      <w:marBottom w:val="0"/>
      <w:divBdr>
        <w:top w:val="none" w:sz="0" w:space="0" w:color="auto"/>
        <w:left w:val="none" w:sz="0" w:space="0" w:color="auto"/>
        <w:bottom w:val="none" w:sz="0" w:space="0" w:color="auto"/>
        <w:right w:val="none" w:sz="0" w:space="0" w:color="auto"/>
      </w:divBdr>
    </w:div>
    <w:div w:id="1031496973">
      <w:bodyDiv w:val="1"/>
      <w:marLeft w:val="0"/>
      <w:marRight w:val="0"/>
      <w:marTop w:val="0"/>
      <w:marBottom w:val="0"/>
      <w:divBdr>
        <w:top w:val="none" w:sz="0" w:space="0" w:color="auto"/>
        <w:left w:val="none" w:sz="0" w:space="0" w:color="auto"/>
        <w:bottom w:val="none" w:sz="0" w:space="0" w:color="auto"/>
        <w:right w:val="none" w:sz="0" w:space="0" w:color="auto"/>
      </w:divBdr>
    </w:div>
    <w:div w:id="1105157352">
      <w:bodyDiv w:val="1"/>
      <w:marLeft w:val="0"/>
      <w:marRight w:val="0"/>
      <w:marTop w:val="0"/>
      <w:marBottom w:val="0"/>
      <w:divBdr>
        <w:top w:val="none" w:sz="0" w:space="0" w:color="auto"/>
        <w:left w:val="none" w:sz="0" w:space="0" w:color="auto"/>
        <w:bottom w:val="none" w:sz="0" w:space="0" w:color="auto"/>
        <w:right w:val="none" w:sz="0" w:space="0" w:color="auto"/>
      </w:divBdr>
    </w:div>
    <w:div w:id="1751462706">
      <w:bodyDiv w:val="1"/>
      <w:marLeft w:val="0"/>
      <w:marRight w:val="0"/>
      <w:marTop w:val="0"/>
      <w:marBottom w:val="0"/>
      <w:divBdr>
        <w:top w:val="none" w:sz="0" w:space="0" w:color="auto"/>
        <w:left w:val="none" w:sz="0" w:space="0" w:color="auto"/>
        <w:bottom w:val="none" w:sz="0" w:space="0" w:color="auto"/>
        <w:right w:val="none" w:sz="0" w:space="0" w:color="auto"/>
      </w:divBdr>
    </w:div>
    <w:div w:id="1800879435">
      <w:bodyDiv w:val="1"/>
      <w:marLeft w:val="0"/>
      <w:marRight w:val="0"/>
      <w:marTop w:val="0"/>
      <w:marBottom w:val="0"/>
      <w:divBdr>
        <w:top w:val="none" w:sz="0" w:space="0" w:color="auto"/>
        <w:left w:val="none" w:sz="0" w:space="0" w:color="auto"/>
        <w:bottom w:val="none" w:sz="0" w:space="0" w:color="auto"/>
        <w:right w:val="none" w:sz="0" w:space="0" w:color="auto"/>
      </w:divBdr>
      <w:divsChild>
        <w:div w:id="79572453">
          <w:marLeft w:val="0"/>
          <w:marRight w:val="0"/>
          <w:marTop w:val="0"/>
          <w:marBottom w:val="0"/>
          <w:divBdr>
            <w:top w:val="none" w:sz="0" w:space="0" w:color="auto"/>
            <w:left w:val="none" w:sz="0" w:space="0" w:color="auto"/>
            <w:bottom w:val="none" w:sz="0" w:space="0" w:color="auto"/>
            <w:right w:val="none" w:sz="0" w:space="0" w:color="auto"/>
          </w:divBdr>
        </w:div>
        <w:div w:id="215706438">
          <w:marLeft w:val="0"/>
          <w:marRight w:val="0"/>
          <w:marTop w:val="0"/>
          <w:marBottom w:val="0"/>
          <w:divBdr>
            <w:top w:val="none" w:sz="0" w:space="0" w:color="auto"/>
            <w:left w:val="none" w:sz="0" w:space="0" w:color="auto"/>
            <w:bottom w:val="none" w:sz="0" w:space="0" w:color="auto"/>
            <w:right w:val="none" w:sz="0" w:space="0" w:color="auto"/>
          </w:divBdr>
        </w:div>
        <w:div w:id="396050701">
          <w:marLeft w:val="0"/>
          <w:marRight w:val="0"/>
          <w:marTop w:val="0"/>
          <w:marBottom w:val="0"/>
          <w:divBdr>
            <w:top w:val="none" w:sz="0" w:space="0" w:color="auto"/>
            <w:left w:val="none" w:sz="0" w:space="0" w:color="auto"/>
            <w:bottom w:val="none" w:sz="0" w:space="0" w:color="auto"/>
            <w:right w:val="none" w:sz="0" w:space="0" w:color="auto"/>
          </w:divBdr>
        </w:div>
        <w:div w:id="493299724">
          <w:marLeft w:val="0"/>
          <w:marRight w:val="0"/>
          <w:marTop w:val="0"/>
          <w:marBottom w:val="0"/>
          <w:divBdr>
            <w:top w:val="none" w:sz="0" w:space="0" w:color="auto"/>
            <w:left w:val="none" w:sz="0" w:space="0" w:color="auto"/>
            <w:bottom w:val="none" w:sz="0" w:space="0" w:color="auto"/>
            <w:right w:val="none" w:sz="0" w:space="0" w:color="auto"/>
          </w:divBdr>
        </w:div>
        <w:div w:id="1074818142">
          <w:marLeft w:val="0"/>
          <w:marRight w:val="0"/>
          <w:marTop w:val="0"/>
          <w:marBottom w:val="0"/>
          <w:divBdr>
            <w:top w:val="none" w:sz="0" w:space="0" w:color="auto"/>
            <w:left w:val="none" w:sz="0" w:space="0" w:color="auto"/>
            <w:bottom w:val="none" w:sz="0" w:space="0" w:color="auto"/>
            <w:right w:val="none" w:sz="0" w:space="0" w:color="auto"/>
          </w:divBdr>
        </w:div>
        <w:div w:id="1184250354">
          <w:marLeft w:val="0"/>
          <w:marRight w:val="0"/>
          <w:marTop w:val="0"/>
          <w:marBottom w:val="0"/>
          <w:divBdr>
            <w:top w:val="none" w:sz="0" w:space="0" w:color="auto"/>
            <w:left w:val="none" w:sz="0" w:space="0" w:color="auto"/>
            <w:bottom w:val="none" w:sz="0" w:space="0" w:color="auto"/>
            <w:right w:val="none" w:sz="0" w:space="0" w:color="auto"/>
          </w:divBdr>
        </w:div>
        <w:div w:id="2135833119">
          <w:marLeft w:val="0"/>
          <w:marRight w:val="0"/>
          <w:marTop w:val="0"/>
          <w:marBottom w:val="0"/>
          <w:divBdr>
            <w:top w:val="none" w:sz="0" w:space="0" w:color="auto"/>
            <w:left w:val="none" w:sz="0" w:space="0" w:color="auto"/>
            <w:bottom w:val="none" w:sz="0" w:space="0" w:color="auto"/>
            <w:right w:val="none" w:sz="0" w:space="0" w:color="auto"/>
          </w:divBdr>
        </w:div>
      </w:divsChild>
    </w:div>
    <w:div w:id="2062708855">
      <w:bodyDiv w:val="1"/>
      <w:marLeft w:val="0"/>
      <w:marRight w:val="0"/>
      <w:marTop w:val="0"/>
      <w:marBottom w:val="0"/>
      <w:divBdr>
        <w:top w:val="none" w:sz="0" w:space="0" w:color="auto"/>
        <w:left w:val="none" w:sz="0" w:space="0" w:color="auto"/>
        <w:bottom w:val="none" w:sz="0" w:space="0" w:color="auto"/>
        <w:right w:val="none" w:sz="0" w:space="0" w:color="auto"/>
      </w:divBdr>
    </w:div>
    <w:div w:id="213837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footer" Target="footer144.xml"/><Relationship Id="rId21" Type="http://schemas.openxmlformats.org/officeDocument/2006/relationships/footer" Target="footer5.xml"/><Relationship Id="rId63" Type="http://schemas.openxmlformats.org/officeDocument/2006/relationships/footer" Target="footer26.xml"/><Relationship Id="rId159" Type="http://schemas.openxmlformats.org/officeDocument/2006/relationships/footer" Target="footer74.xml"/><Relationship Id="rId324" Type="http://schemas.openxmlformats.org/officeDocument/2006/relationships/header" Target="header157.xml"/><Relationship Id="rId366" Type="http://schemas.openxmlformats.org/officeDocument/2006/relationships/header" Target="header178.xml"/><Relationship Id="rId170" Type="http://schemas.openxmlformats.org/officeDocument/2006/relationships/footer" Target="footer79.xml"/><Relationship Id="rId226" Type="http://schemas.openxmlformats.org/officeDocument/2006/relationships/header" Target="header108.xml"/><Relationship Id="rId433" Type="http://schemas.openxmlformats.org/officeDocument/2006/relationships/header" Target="header212.xml"/><Relationship Id="rId268" Type="http://schemas.openxmlformats.org/officeDocument/2006/relationships/header" Target="header129.xml"/><Relationship Id="rId32" Type="http://schemas.openxmlformats.org/officeDocument/2006/relationships/footer" Target="footer10.xml"/><Relationship Id="rId74" Type="http://schemas.openxmlformats.org/officeDocument/2006/relationships/footer" Target="footer31.xml"/><Relationship Id="rId128" Type="http://schemas.openxmlformats.org/officeDocument/2006/relationships/footer" Target="footer58.xml"/><Relationship Id="rId335" Type="http://schemas.openxmlformats.org/officeDocument/2006/relationships/footer" Target="footer162.xml"/><Relationship Id="rId377" Type="http://schemas.openxmlformats.org/officeDocument/2006/relationships/footer" Target="footer183.xml"/><Relationship Id="rId5" Type="http://schemas.openxmlformats.org/officeDocument/2006/relationships/numbering" Target="numbering.xml"/><Relationship Id="rId181" Type="http://schemas.openxmlformats.org/officeDocument/2006/relationships/header" Target="header86.xml"/><Relationship Id="rId237" Type="http://schemas.openxmlformats.org/officeDocument/2006/relationships/footer" Target="footer113.xml"/><Relationship Id="rId402" Type="http://schemas.openxmlformats.org/officeDocument/2006/relationships/header" Target="header196.xml"/><Relationship Id="rId279" Type="http://schemas.openxmlformats.org/officeDocument/2006/relationships/footer" Target="footer134.xml"/><Relationship Id="rId444" Type="http://schemas.openxmlformats.org/officeDocument/2006/relationships/header" Target="header217.xml"/><Relationship Id="rId43" Type="http://schemas.openxmlformats.org/officeDocument/2006/relationships/header" Target="header17.xml"/><Relationship Id="rId139" Type="http://schemas.openxmlformats.org/officeDocument/2006/relationships/header" Target="header65.xml"/><Relationship Id="rId290" Type="http://schemas.openxmlformats.org/officeDocument/2006/relationships/footer" Target="footer139.xml"/><Relationship Id="rId304" Type="http://schemas.openxmlformats.org/officeDocument/2006/relationships/header" Target="header147.xml"/><Relationship Id="rId346" Type="http://schemas.openxmlformats.org/officeDocument/2006/relationships/header" Target="header168.xml"/><Relationship Id="rId388" Type="http://schemas.openxmlformats.org/officeDocument/2006/relationships/header" Target="header189.xml"/><Relationship Id="rId85" Type="http://schemas.openxmlformats.org/officeDocument/2006/relationships/header" Target="header38.xml"/><Relationship Id="rId150" Type="http://schemas.openxmlformats.org/officeDocument/2006/relationships/header" Target="header70.xml"/><Relationship Id="rId192" Type="http://schemas.openxmlformats.org/officeDocument/2006/relationships/header" Target="header91.xml"/><Relationship Id="rId206" Type="http://schemas.openxmlformats.org/officeDocument/2006/relationships/footer" Target="footer97.xml"/><Relationship Id="rId413" Type="http://schemas.openxmlformats.org/officeDocument/2006/relationships/footer" Target="footer201.xml"/><Relationship Id="rId248" Type="http://schemas.openxmlformats.org/officeDocument/2006/relationships/footer" Target="footer118.xml"/><Relationship Id="rId455" Type="http://schemas.openxmlformats.org/officeDocument/2006/relationships/footer" Target="footer222.xml"/><Relationship Id="rId12" Type="http://schemas.openxmlformats.org/officeDocument/2006/relationships/header" Target="header1.xml"/><Relationship Id="rId108" Type="http://schemas.openxmlformats.org/officeDocument/2006/relationships/header" Target="header49.xml"/><Relationship Id="rId315" Type="http://schemas.openxmlformats.org/officeDocument/2006/relationships/footer" Target="footer152.xml"/><Relationship Id="rId357" Type="http://schemas.openxmlformats.org/officeDocument/2006/relationships/footer" Target="footer173.xml"/><Relationship Id="rId54" Type="http://schemas.openxmlformats.org/officeDocument/2006/relationships/header" Target="header22.xml"/><Relationship Id="rId96" Type="http://schemas.openxmlformats.org/officeDocument/2006/relationships/header" Target="header43.xml"/><Relationship Id="rId161" Type="http://schemas.openxmlformats.org/officeDocument/2006/relationships/footer" Target="footer75.xml"/><Relationship Id="rId217" Type="http://schemas.openxmlformats.org/officeDocument/2006/relationships/header" Target="header104.xml"/><Relationship Id="rId399" Type="http://schemas.openxmlformats.org/officeDocument/2006/relationships/footer" Target="footer194.xml"/><Relationship Id="rId259" Type="http://schemas.openxmlformats.org/officeDocument/2006/relationships/header" Target="header125.xml"/><Relationship Id="rId424" Type="http://schemas.openxmlformats.org/officeDocument/2006/relationships/header" Target="header207.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326" Type="http://schemas.openxmlformats.org/officeDocument/2006/relationships/footer" Target="footer157.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368" Type="http://schemas.openxmlformats.org/officeDocument/2006/relationships/footer" Target="footer178.xml"/><Relationship Id="rId389" Type="http://schemas.openxmlformats.org/officeDocument/2006/relationships/footer" Target="footer189.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footer" Target="footer119.xml"/><Relationship Id="rId414" Type="http://schemas.openxmlformats.org/officeDocument/2006/relationships/header" Target="header202.xml"/><Relationship Id="rId435" Type="http://schemas.openxmlformats.org/officeDocument/2006/relationships/footer" Target="footer212.xml"/><Relationship Id="rId456" Type="http://schemas.openxmlformats.org/officeDocument/2006/relationships/header" Target="header223.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footer" Target="footer124.xml"/><Relationship Id="rId281" Type="http://schemas.openxmlformats.org/officeDocument/2006/relationships/footer" Target="footer135.xml"/><Relationship Id="rId316" Type="http://schemas.openxmlformats.org/officeDocument/2006/relationships/header" Target="header153.xml"/><Relationship Id="rId337" Type="http://schemas.openxmlformats.org/officeDocument/2006/relationships/header" Target="header164.xml"/><Relationship Id="rId34" Type="http://schemas.openxmlformats.org/officeDocument/2006/relationships/header" Target="header12.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20" Type="http://schemas.openxmlformats.org/officeDocument/2006/relationships/header" Target="header55.xml"/><Relationship Id="rId141" Type="http://schemas.openxmlformats.org/officeDocument/2006/relationships/footer" Target="footer65.xml"/><Relationship Id="rId358" Type="http://schemas.openxmlformats.org/officeDocument/2006/relationships/header" Target="header174.xml"/><Relationship Id="rId379" Type="http://schemas.openxmlformats.org/officeDocument/2006/relationships/header" Target="header185.xml"/><Relationship Id="rId7" Type="http://schemas.openxmlformats.org/officeDocument/2006/relationships/settings" Target="settings.xml"/><Relationship Id="rId162" Type="http://schemas.openxmlformats.org/officeDocument/2006/relationships/header" Target="header76.xml"/><Relationship Id="rId183" Type="http://schemas.openxmlformats.org/officeDocument/2006/relationships/footer" Target="footer86.xml"/><Relationship Id="rId218" Type="http://schemas.openxmlformats.org/officeDocument/2006/relationships/footer" Target="footer103.xml"/><Relationship Id="rId239" Type="http://schemas.openxmlformats.org/officeDocument/2006/relationships/footer" Target="footer114.xml"/><Relationship Id="rId390" Type="http://schemas.openxmlformats.org/officeDocument/2006/relationships/header" Target="header190.xml"/><Relationship Id="rId404" Type="http://schemas.openxmlformats.org/officeDocument/2006/relationships/footer" Target="footer196.xml"/><Relationship Id="rId425" Type="http://schemas.openxmlformats.org/officeDocument/2006/relationships/footer" Target="footer207.xml"/><Relationship Id="rId446" Type="http://schemas.openxmlformats.org/officeDocument/2006/relationships/footer" Target="footer217.xml"/><Relationship Id="rId250" Type="http://schemas.openxmlformats.org/officeDocument/2006/relationships/header" Target="header120.xml"/><Relationship Id="rId271" Type="http://schemas.openxmlformats.org/officeDocument/2006/relationships/header" Target="header131.xml"/><Relationship Id="rId292" Type="http://schemas.openxmlformats.org/officeDocument/2006/relationships/header" Target="header141.xml"/><Relationship Id="rId306" Type="http://schemas.openxmlformats.org/officeDocument/2006/relationships/header" Target="header148.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31" Type="http://schemas.openxmlformats.org/officeDocument/2006/relationships/footer" Target="footer60.xml"/><Relationship Id="rId327" Type="http://schemas.openxmlformats.org/officeDocument/2006/relationships/footer" Target="footer158.xml"/><Relationship Id="rId348" Type="http://schemas.openxmlformats.org/officeDocument/2006/relationships/header" Target="header169.xml"/><Relationship Id="rId369" Type="http://schemas.openxmlformats.org/officeDocument/2006/relationships/footer" Target="footer179.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208" Type="http://schemas.openxmlformats.org/officeDocument/2006/relationships/header" Target="header99.xml"/><Relationship Id="rId229" Type="http://schemas.openxmlformats.org/officeDocument/2006/relationships/header" Target="header110.xml"/><Relationship Id="rId380" Type="http://schemas.openxmlformats.org/officeDocument/2006/relationships/footer" Target="footer184.xml"/><Relationship Id="rId415" Type="http://schemas.openxmlformats.org/officeDocument/2006/relationships/header" Target="header203.xml"/><Relationship Id="rId436" Type="http://schemas.openxmlformats.org/officeDocument/2006/relationships/header" Target="header213.xml"/><Relationship Id="rId457" Type="http://schemas.openxmlformats.org/officeDocument/2006/relationships/header" Target="header224.xml"/><Relationship Id="rId240" Type="http://schemas.openxmlformats.org/officeDocument/2006/relationships/header" Target="header115.xml"/><Relationship Id="rId261" Type="http://schemas.openxmlformats.org/officeDocument/2006/relationships/footer" Target="footer125.xml"/><Relationship Id="rId14" Type="http://schemas.openxmlformats.org/officeDocument/2006/relationships/footer" Target="footer1.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282" Type="http://schemas.openxmlformats.org/officeDocument/2006/relationships/header" Target="header136.xml"/><Relationship Id="rId317" Type="http://schemas.openxmlformats.org/officeDocument/2006/relationships/footer" Target="footer153.xml"/><Relationship Id="rId338" Type="http://schemas.openxmlformats.org/officeDocument/2006/relationships/footer" Target="footer163.xml"/><Relationship Id="rId359" Type="http://schemas.openxmlformats.org/officeDocument/2006/relationships/footer" Target="footer174.xml"/><Relationship Id="rId8" Type="http://schemas.openxmlformats.org/officeDocument/2006/relationships/webSettings" Target="webSettings.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219" Type="http://schemas.openxmlformats.org/officeDocument/2006/relationships/footer" Target="footer104.xml"/><Relationship Id="rId370" Type="http://schemas.openxmlformats.org/officeDocument/2006/relationships/header" Target="header180.xml"/><Relationship Id="rId391" Type="http://schemas.openxmlformats.org/officeDocument/2006/relationships/header" Target="header191.xml"/><Relationship Id="rId405" Type="http://schemas.openxmlformats.org/officeDocument/2006/relationships/footer" Target="footer197.xml"/><Relationship Id="rId426" Type="http://schemas.openxmlformats.org/officeDocument/2006/relationships/header" Target="header208.xml"/><Relationship Id="rId447" Type="http://schemas.openxmlformats.org/officeDocument/2006/relationships/footer" Target="footer218.xml"/><Relationship Id="rId230" Type="http://schemas.openxmlformats.org/officeDocument/2006/relationships/footer" Target="footer109.xml"/><Relationship Id="rId251" Type="http://schemas.openxmlformats.org/officeDocument/2006/relationships/footer" Target="footer120.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272" Type="http://schemas.openxmlformats.org/officeDocument/2006/relationships/footer" Target="footer130.xml"/><Relationship Id="rId293" Type="http://schemas.openxmlformats.org/officeDocument/2006/relationships/footer" Target="footer141.xml"/><Relationship Id="rId307" Type="http://schemas.openxmlformats.org/officeDocument/2006/relationships/header" Target="header149.xml"/><Relationship Id="rId328" Type="http://schemas.openxmlformats.org/officeDocument/2006/relationships/header" Target="header159.xml"/><Relationship Id="rId349" Type="http://schemas.openxmlformats.org/officeDocument/2006/relationships/header" Target="header170.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95" Type="http://schemas.openxmlformats.org/officeDocument/2006/relationships/footer" Target="footer92.xml"/><Relationship Id="rId209" Type="http://schemas.openxmlformats.org/officeDocument/2006/relationships/footer" Target="footer99.xml"/><Relationship Id="rId360" Type="http://schemas.openxmlformats.org/officeDocument/2006/relationships/header" Target="header175.xml"/><Relationship Id="rId381" Type="http://schemas.openxmlformats.org/officeDocument/2006/relationships/footer" Target="footer185.xml"/><Relationship Id="rId416" Type="http://schemas.openxmlformats.org/officeDocument/2006/relationships/footer" Target="footer202.xml"/><Relationship Id="rId220" Type="http://schemas.openxmlformats.org/officeDocument/2006/relationships/header" Target="header105.xml"/><Relationship Id="rId241" Type="http://schemas.openxmlformats.org/officeDocument/2006/relationships/header" Target="header116.xml"/><Relationship Id="rId437" Type="http://schemas.openxmlformats.org/officeDocument/2006/relationships/footer" Target="footer213.xml"/><Relationship Id="rId458" Type="http://schemas.openxmlformats.org/officeDocument/2006/relationships/footer" Target="footer223.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262" Type="http://schemas.openxmlformats.org/officeDocument/2006/relationships/header" Target="header126.xml"/><Relationship Id="rId283" Type="http://schemas.openxmlformats.org/officeDocument/2006/relationships/header" Target="header137.xml"/><Relationship Id="rId318" Type="http://schemas.openxmlformats.org/officeDocument/2006/relationships/header" Target="header154.xml"/><Relationship Id="rId339" Type="http://schemas.openxmlformats.org/officeDocument/2006/relationships/footer" Target="footer164.xml"/><Relationship Id="rId78" Type="http://schemas.openxmlformats.org/officeDocument/2006/relationships/header" Target="header34.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64" Type="http://schemas.openxmlformats.org/officeDocument/2006/relationships/footer" Target="footer76.xml"/><Relationship Id="rId185" Type="http://schemas.openxmlformats.org/officeDocument/2006/relationships/footer" Target="footer87.xml"/><Relationship Id="rId350" Type="http://schemas.openxmlformats.org/officeDocument/2006/relationships/footer" Target="footer169.xml"/><Relationship Id="rId371" Type="http://schemas.openxmlformats.org/officeDocument/2006/relationships/footer" Target="footer180.xml"/><Relationship Id="rId406" Type="http://schemas.openxmlformats.org/officeDocument/2006/relationships/header" Target="header198.xml"/><Relationship Id="rId9" Type="http://schemas.openxmlformats.org/officeDocument/2006/relationships/footnotes" Target="footnotes.xml"/><Relationship Id="rId210" Type="http://schemas.openxmlformats.org/officeDocument/2006/relationships/header" Target="header100.xml"/><Relationship Id="rId392" Type="http://schemas.openxmlformats.org/officeDocument/2006/relationships/footer" Target="footer190.xml"/><Relationship Id="rId427" Type="http://schemas.openxmlformats.org/officeDocument/2006/relationships/header" Target="header209.xml"/><Relationship Id="rId448" Type="http://schemas.openxmlformats.org/officeDocument/2006/relationships/header" Target="header219.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header" Target="header142.xml"/><Relationship Id="rId308" Type="http://schemas.openxmlformats.org/officeDocument/2006/relationships/footer" Target="footer148.xml"/><Relationship Id="rId329" Type="http://schemas.openxmlformats.org/officeDocument/2006/relationships/footer" Target="footer159.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340" Type="http://schemas.openxmlformats.org/officeDocument/2006/relationships/header" Target="header165.xml"/><Relationship Id="rId361" Type="http://schemas.openxmlformats.org/officeDocument/2006/relationships/header" Target="header176.xml"/><Relationship Id="rId196" Type="http://schemas.openxmlformats.org/officeDocument/2006/relationships/header" Target="header93.xml"/><Relationship Id="rId200" Type="http://schemas.openxmlformats.org/officeDocument/2006/relationships/footer" Target="footer94.xml"/><Relationship Id="rId382" Type="http://schemas.openxmlformats.org/officeDocument/2006/relationships/header" Target="header186.xml"/><Relationship Id="rId417" Type="http://schemas.openxmlformats.org/officeDocument/2006/relationships/footer" Target="footer203.xml"/><Relationship Id="rId438" Type="http://schemas.openxmlformats.org/officeDocument/2006/relationships/header" Target="header214.xml"/><Relationship Id="rId459" Type="http://schemas.openxmlformats.org/officeDocument/2006/relationships/footer" Target="footer224.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284" Type="http://schemas.openxmlformats.org/officeDocument/2006/relationships/footer" Target="footer136.xml"/><Relationship Id="rId319" Type="http://schemas.openxmlformats.org/officeDocument/2006/relationships/header" Target="header155.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330" Type="http://schemas.openxmlformats.org/officeDocument/2006/relationships/header" Target="header160.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351" Type="http://schemas.openxmlformats.org/officeDocument/2006/relationships/footer" Target="footer170.xml"/><Relationship Id="rId372" Type="http://schemas.openxmlformats.org/officeDocument/2006/relationships/header" Target="header181.xml"/><Relationship Id="rId393" Type="http://schemas.openxmlformats.org/officeDocument/2006/relationships/footer" Target="footer191.xml"/><Relationship Id="rId407" Type="http://schemas.openxmlformats.org/officeDocument/2006/relationships/footer" Target="footer198.xml"/><Relationship Id="rId428" Type="http://schemas.openxmlformats.org/officeDocument/2006/relationships/footer" Target="footer208.xml"/><Relationship Id="rId449" Type="http://schemas.openxmlformats.org/officeDocument/2006/relationships/footer" Target="footer219.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95" Type="http://schemas.openxmlformats.org/officeDocument/2006/relationships/header" Target="header143.xml"/><Relationship Id="rId309" Type="http://schemas.openxmlformats.org/officeDocument/2006/relationships/footer" Target="footer149.xml"/><Relationship Id="rId460" Type="http://schemas.openxmlformats.org/officeDocument/2006/relationships/header" Target="header225.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320" Type="http://schemas.openxmlformats.org/officeDocument/2006/relationships/footer" Target="footer154.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341" Type="http://schemas.openxmlformats.org/officeDocument/2006/relationships/footer" Target="footer165.xml"/><Relationship Id="rId362" Type="http://schemas.openxmlformats.org/officeDocument/2006/relationships/footer" Target="footer175.xml"/><Relationship Id="rId383" Type="http://schemas.openxmlformats.org/officeDocument/2006/relationships/footer" Target="footer186.xml"/><Relationship Id="rId418" Type="http://schemas.openxmlformats.org/officeDocument/2006/relationships/header" Target="header204.xml"/><Relationship Id="rId439" Type="http://schemas.openxmlformats.org/officeDocument/2006/relationships/header" Target="header215.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285" Type="http://schemas.openxmlformats.org/officeDocument/2006/relationships/footer" Target="footer137.xml"/><Relationship Id="rId450" Type="http://schemas.openxmlformats.org/officeDocument/2006/relationships/header" Target="header220.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331" Type="http://schemas.openxmlformats.org/officeDocument/2006/relationships/header" Target="header161.xml"/><Relationship Id="rId352" Type="http://schemas.openxmlformats.org/officeDocument/2006/relationships/header" Target="header171.xml"/><Relationship Id="rId373" Type="http://schemas.openxmlformats.org/officeDocument/2006/relationships/header" Target="header182.xml"/><Relationship Id="rId394" Type="http://schemas.openxmlformats.org/officeDocument/2006/relationships/header" Target="header192.xml"/><Relationship Id="rId408" Type="http://schemas.openxmlformats.org/officeDocument/2006/relationships/header" Target="header199.xml"/><Relationship Id="rId429" Type="http://schemas.openxmlformats.org/officeDocument/2006/relationships/footer" Target="footer209.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440" Type="http://schemas.openxmlformats.org/officeDocument/2006/relationships/footer" Target="footer214.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footer" Target="footer142.xml"/><Relationship Id="rId300" Type="http://schemas.openxmlformats.org/officeDocument/2006/relationships/header" Target="header145.xml"/><Relationship Id="rId461" Type="http://schemas.openxmlformats.org/officeDocument/2006/relationships/footer" Target="footer225.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321" Type="http://schemas.openxmlformats.org/officeDocument/2006/relationships/footer" Target="footer155.xml"/><Relationship Id="rId342" Type="http://schemas.openxmlformats.org/officeDocument/2006/relationships/header" Target="header166.xml"/><Relationship Id="rId363" Type="http://schemas.openxmlformats.org/officeDocument/2006/relationships/footer" Target="footer176.xml"/><Relationship Id="rId384" Type="http://schemas.openxmlformats.org/officeDocument/2006/relationships/header" Target="header187.xml"/><Relationship Id="rId419" Type="http://schemas.openxmlformats.org/officeDocument/2006/relationships/footer" Target="footer204.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 Id="rId430" Type="http://schemas.openxmlformats.org/officeDocument/2006/relationships/header" Target="header210.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header" Target="header128.xml"/><Relationship Id="rId286" Type="http://schemas.openxmlformats.org/officeDocument/2006/relationships/header" Target="header138.xml"/><Relationship Id="rId451" Type="http://schemas.openxmlformats.org/officeDocument/2006/relationships/header" Target="header221.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311" Type="http://schemas.openxmlformats.org/officeDocument/2006/relationships/footer" Target="footer150.xml"/><Relationship Id="rId332" Type="http://schemas.openxmlformats.org/officeDocument/2006/relationships/footer" Target="footer160.xml"/><Relationship Id="rId353" Type="http://schemas.openxmlformats.org/officeDocument/2006/relationships/footer" Target="footer171.xml"/><Relationship Id="rId374" Type="http://schemas.openxmlformats.org/officeDocument/2006/relationships/footer" Target="footer181.xml"/><Relationship Id="rId395" Type="http://schemas.openxmlformats.org/officeDocument/2006/relationships/footer" Target="footer192.xml"/><Relationship Id="rId409" Type="http://schemas.openxmlformats.org/officeDocument/2006/relationships/header" Target="header200.xml"/><Relationship Id="rId71" Type="http://schemas.openxmlformats.org/officeDocument/2006/relationships/footer" Target="footer30.xml"/><Relationship Id="rId92" Type="http://schemas.openxmlformats.org/officeDocument/2006/relationships/footer" Target="footer40.xml"/><Relationship Id="rId213" Type="http://schemas.openxmlformats.org/officeDocument/2006/relationships/footer" Target="footer101.xml"/><Relationship Id="rId234" Type="http://schemas.openxmlformats.org/officeDocument/2006/relationships/header" Target="header112.xml"/><Relationship Id="rId420" Type="http://schemas.openxmlformats.org/officeDocument/2006/relationships/header" Target="header205.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header" Target="header133.xml"/><Relationship Id="rId297" Type="http://schemas.openxmlformats.org/officeDocument/2006/relationships/footer" Target="footer143.xml"/><Relationship Id="rId441" Type="http://schemas.openxmlformats.org/officeDocument/2006/relationships/footer" Target="footer215.xml"/><Relationship Id="rId462" Type="http://schemas.openxmlformats.org/officeDocument/2006/relationships/fontTable" Target="fontTable.xml"/><Relationship Id="rId40" Type="http://schemas.openxmlformats.org/officeDocument/2006/relationships/header" Target="header15.xml"/><Relationship Id="rId115" Type="http://schemas.openxmlformats.org/officeDocument/2006/relationships/header" Target="header53.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301" Type="http://schemas.openxmlformats.org/officeDocument/2006/relationships/header" Target="header146.xml"/><Relationship Id="rId322" Type="http://schemas.openxmlformats.org/officeDocument/2006/relationships/header" Target="header156.xml"/><Relationship Id="rId343" Type="http://schemas.openxmlformats.org/officeDocument/2006/relationships/header" Target="header167.xml"/><Relationship Id="rId364" Type="http://schemas.openxmlformats.org/officeDocument/2006/relationships/header" Target="header177.xml"/><Relationship Id="rId61" Type="http://schemas.openxmlformats.org/officeDocument/2006/relationships/header" Target="header26.xml"/><Relationship Id="rId82" Type="http://schemas.openxmlformats.org/officeDocument/2006/relationships/header" Target="header36.xml"/><Relationship Id="rId199" Type="http://schemas.openxmlformats.org/officeDocument/2006/relationships/header" Target="header95.xml"/><Relationship Id="rId203" Type="http://schemas.openxmlformats.org/officeDocument/2006/relationships/footer" Target="footer96.xml"/><Relationship Id="rId385" Type="http://schemas.openxmlformats.org/officeDocument/2006/relationships/header" Target="header188.xml"/><Relationship Id="rId19" Type="http://schemas.openxmlformats.org/officeDocument/2006/relationships/header" Target="header5.xml"/><Relationship Id="rId224" Type="http://schemas.openxmlformats.org/officeDocument/2006/relationships/footer" Target="footer106.xml"/><Relationship Id="rId245" Type="http://schemas.openxmlformats.org/officeDocument/2006/relationships/footer" Target="footer117.xml"/><Relationship Id="rId266" Type="http://schemas.openxmlformats.org/officeDocument/2006/relationships/footer" Target="footer127.xml"/><Relationship Id="rId287" Type="http://schemas.openxmlformats.org/officeDocument/2006/relationships/footer" Target="footer138.xml"/><Relationship Id="rId410" Type="http://schemas.openxmlformats.org/officeDocument/2006/relationships/footer" Target="footer199.xml"/><Relationship Id="rId431" Type="http://schemas.openxmlformats.org/officeDocument/2006/relationships/footer" Target="footer210.xml"/><Relationship Id="rId452" Type="http://schemas.openxmlformats.org/officeDocument/2006/relationships/footer" Target="footer220.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312" Type="http://schemas.openxmlformats.org/officeDocument/2006/relationships/header" Target="header151.xml"/><Relationship Id="rId333" Type="http://schemas.openxmlformats.org/officeDocument/2006/relationships/footer" Target="footer161.xml"/><Relationship Id="rId354" Type="http://schemas.openxmlformats.org/officeDocument/2006/relationships/header" Target="header172.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189" Type="http://schemas.openxmlformats.org/officeDocument/2006/relationships/footer" Target="footer89.xml"/><Relationship Id="rId375" Type="http://schemas.openxmlformats.org/officeDocument/2006/relationships/footer" Target="footer182.xml"/><Relationship Id="rId396" Type="http://schemas.openxmlformats.org/officeDocument/2006/relationships/header" Target="header193.xml"/><Relationship Id="rId3" Type="http://schemas.openxmlformats.org/officeDocument/2006/relationships/customXml" Target="../customXml/item3.xml"/><Relationship Id="rId214" Type="http://schemas.openxmlformats.org/officeDocument/2006/relationships/header" Target="header102.xml"/><Relationship Id="rId235" Type="http://schemas.openxmlformats.org/officeDocument/2006/relationships/header" Target="header113.xml"/><Relationship Id="rId256" Type="http://schemas.openxmlformats.org/officeDocument/2006/relationships/header" Target="header123.xml"/><Relationship Id="rId277" Type="http://schemas.openxmlformats.org/officeDocument/2006/relationships/header" Target="header134.xml"/><Relationship Id="rId298" Type="http://schemas.openxmlformats.org/officeDocument/2006/relationships/header" Target="header144.xml"/><Relationship Id="rId400" Type="http://schemas.openxmlformats.org/officeDocument/2006/relationships/header" Target="header195.xml"/><Relationship Id="rId421" Type="http://schemas.openxmlformats.org/officeDocument/2006/relationships/header" Target="header206.xml"/><Relationship Id="rId442" Type="http://schemas.openxmlformats.org/officeDocument/2006/relationships/header" Target="header216.xml"/><Relationship Id="rId463" Type="http://schemas.openxmlformats.org/officeDocument/2006/relationships/theme" Target="theme/theme1.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302" Type="http://schemas.openxmlformats.org/officeDocument/2006/relationships/footer" Target="footer145.xml"/><Relationship Id="rId323" Type="http://schemas.openxmlformats.org/officeDocument/2006/relationships/footer" Target="footer156.xml"/><Relationship Id="rId344" Type="http://schemas.openxmlformats.org/officeDocument/2006/relationships/footer" Target="footer166.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179" Type="http://schemas.openxmlformats.org/officeDocument/2006/relationships/footer" Target="footer84.xml"/><Relationship Id="rId365" Type="http://schemas.openxmlformats.org/officeDocument/2006/relationships/footer" Target="footer177.xml"/><Relationship Id="rId386" Type="http://schemas.openxmlformats.org/officeDocument/2006/relationships/footer" Target="footer187.xml"/><Relationship Id="rId190" Type="http://schemas.openxmlformats.org/officeDocument/2006/relationships/header" Target="header90.xml"/><Relationship Id="rId204" Type="http://schemas.openxmlformats.org/officeDocument/2006/relationships/header" Target="header97.xml"/><Relationship Id="rId225" Type="http://schemas.openxmlformats.org/officeDocument/2006/relationships/footer" Target="footer107.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header" Target="header139.xml"/><Relationship Id="rId411" Type="http://schemas.openxmlformats.org/officeDocument/2006/relationships/footer" Target="footer200.xml"/><Relationship Id="rId432" Type="http://schemas.openxmlformats.org/officeDocument/2006/relationships/header" Target="header211.xml"/><Relationship Id="rId453" Type="http://schemas.openxmlformats.org/officeDocument/2006/relationships/footer" Target="footer221.xml"/><Relationship Id="rId106" Type="http://schemas.openxmlformats.org/officeDocument/2006/relationships/header" Target="header48.xml"/><Relationship Id="rId127" Type="http://schemas.openxmlformats.org/officeDocument/2006/relationships/header" Target="header59.xml"/><Relationship Id="rId313" Type="http://schemas.openxmlformats.org/officeDocument/2006/relationships/header" Target="header152.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94" Type="http://schemas.openxmlformats.org/officeDocument/2006/relationships/header" Target="header42.xml"/><Relationship Id="rId148" Type="http://schemas.openxmlformats.org/officeDocument/2006/relationships/header" Target="header69.xml"/><Relationship Id="rId169" Type="http://schemas.openxmlformats.org/officeDocument/2006/relationships/header" Target="header80.xml"/><Relationship Id="rId334" Type="http://schemas.openxmlformats.org/officeDocument/2006/relationships/header" Target="header162.xml"/><Relationship Id="rId355" Type="http://schemas.openxmlformats.org/officeDocument/2006/relationships/header" Target="header173.xml"/><Relationship Id="rId376" Type="http://schemas.openxmlformats.org/officeDocument/2006/relationships/header" Target="header183.xml"/><Relationship Id="rId397" Type="http://schemas.openxmlformats.org/officeDocument/2006/relationships/header" Target="header194.xml"/><Relationship Id="rId4" Type="http://schemas.openxmlformats.org/officeDocument/2006/relationships/customXml" Target="../customXml/item4.xml"/><Relationship Id="rId180" Type="http://schemas.openxmlformats.org/officeDocument/2006/relationships/header" Target="header85.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401" Type="http://schemas.openxmlformats.org/officeDocument/2006/relationships/footer" Target="footer195.xml"/><Relationship Id="rId422" Type="http://schemas.openxmlformats.org/officeDocument/2006/relationships/footer" Target="footer205.xml"/><Relationship Id="rId443" Type="http://schemas.openxmlformats.org/officeDocument/2006/relationships/footer" Target="footer216.xml"/><Relationship Id="rId303" Type="http://schemas.openxmlformats.org/officeDocument/2006/relationships/footer" Target="footer146.xml"/><Relationship Id="rId42" Type="http://schemas.openxmlformats.org/officeDocument/2006/relationships/header" Target="header16.xml"/><Relationship Id="rId84" Type="http://schemas.openxmlformats.org/officeDocument/2006/relationships/header" Target="header37.xml"/><Relationship Id="rId138" Type="http://schemas.openxmlformats.org/officeDocument/2006/relationships/header" Target="header64.xml"/><Relationship Id="rId345" Type="http://schemas.openxmlformats.org/officeDocument/2006/relationships/footer" Target="footer167.xml"/><Relationship Id="rId387" Type="http://schemas.openxmlformats.org/officeDocument/2006/relationships/footer" Target="footer188.xml"/><Relationship Id="rId191" Type="http://schemas.openxmlformats.org/officeDocument/2006/relationships/footer" Target="footer90.xml"/><Relationship Id="rId205" Type="http://schemas.openxmlformats.org/officeDocument/2006/relationships/header" Target="header98.xml"/><Relationship Id="rId247" Type="http://schemas.openxmlformats.org/officeDocument/2006/relationships/header" Target="header119.xml"/><Relationship Id="rId412" Type="http://schemas.openxmlformats.org/officeDocument/2006/relationships/header" Target="header201.xml"/><Relationship Id="rId107" Type="http://schemas.openxmlformats.org/officeDocument/2006/relationships/footer" Target="footer48.xml"/><Relationship Id="rId289" Type="http://schemas.openxmlformats.org/officeDocument/2006/relationships/header" Target="header140.xml"/><Relationship Id="rId454" Type="http://schemas.openxmlformats.org/officeDocument/2006/relationships/header" Target="header222.xml"/><Relationship Id="rId11" Type="http://schemas.openxmlformats.org/officeDocument/2006/relationships/image" Target="media/image1.emf"/><Relationship Id="rId53" Type="http://schemas.openxmlformats.org/officeDocument/2006/relationships/footer" Target="footer21.xml"/><Relationship Id="rId149" Type="http://schemas.openxmlformats.org/officeDocument/2006/relationships/footer" Target="footer69.xml"/><Relationship Id="rId314" Type="http://schemas.openxmlformats.org/officeDocument/2006/relationships/footer" Target="footer151.xml"/><Relationship Id="rId356" Type="http://schemas.openxmlformats.org/officeDocument/2006/relationships/footer" Target="footer172.xml"/><Relationship Id="rId398" Type="http://schemas.openxmlformats.org/officeDocument/2006/relationships/footer" Target="footer193.xml"/><Relationship Id="rId95" Type="http://schemas.openxmlformats.org/officeDocument/2006/relationships/footer" Target="footer42.xml"/><Relationship Id="rId160" Type="http://schemas.openxmlformats.org/officeDocument/2006/relationships/header" Target="header75.xml"/><Relationship Id="rId216" Type="http://schemas.openxmlformats.org/officeDocument/2006/relationships/header" Target="header103.xml"/><Relationship Id="rId423" Type="http://schemas.openxmlformats.org/officeDocument/2006/relationships/footer" Target="footer206.xml"/><Relationship Id="rId258" Type="http://schemas.openxmlformats.org/officeDocument/2006/relationships/header" Target="header124.xml"/><Relationship Id="rId22" Type="http://schemas.openxmlformats.org/officeDocument/2006/relationships/header" Target="header6.xml"/><Relationship Id="rId64" Type="http://schemas.openxmlformats.org/officeDocument/2006/relationships/header" Target="header27.xml"/><Relationship Id="rId118" Type="http://schemas.openxmlformats.org/officeDocument/2006/relationships/header" Target="header54.xml"/><Relationship Id="rId325" Type="http://schemas.openxmlformats.org/officeDocument/2006/relationships/header" Target="header158.xml"/><Relationship Id="rId367" Type="http://schemas.openxmlformats.org/officeDocument/2006/relationships/header" Target="header179.xml"/><Relationship Id="rId171" Type="http://schemas.openxmlformats.org/officeDocument/2006/relationships/footer" Target="footer80.xml"/><Relationship Id="rId227" Type="http://schemas.openxmlformats.org/officeDocument/2006/relationships/footer" Target="footer108.xml"/><Relationship Id="rId269" Type="http://schemas.openxmlformats.org/officeDocument/2006/relationships/footer" Target="footer129.xml"/><Relationship Id="rId434" Type="http://schemas.openxmlformats.org/officeDocument/2006/relationships/footer" Target="footer211.xml"/><Relationship Id="rId33" Type="http://schemas.openxmlformats.org/officeDocument/2006/relationships/footer" Target="footer11.xml"/><Relationship Id="rId129" Type="http://schemas.openxmlformats.org/officeDocument/2006/relationships/footer" Target="footer59.xml"/><Relationship Id="rId280" Type="http://schemas.openxmlformats.org/officeDocument/2006/relationships/header" Target="header135.xml"/><Relationship Id="rId336" Type="http://schemas.openxmlformats.org/officeDocument/2006/relationships/header" Target="header163.xml"/><Relationship Id="rId75" Type="http://schemas.openxmlformats.org/officeDocument/2006/relationships/footer" Target="footer32.xml"/><Relationship Id="rId140" Type="http://schemas.openxmlformats.org/officeDocument/2006/relationships/footer" Target="footer64.xml"/><Relationship Id="rId182" Type="http://schemas.openxmlformats.org/officeDocument/2006/relationships/footer" Target="footer85.xml"/><Relationship Id="rId378" Type="http://schemas.openxmlformats.org/officeDocument/2006/relationships/header" Target="header184.xml"/><Relationship Id="rId403" Type="http://schemas.openxmlformats.org/officeDocument/2006/relationships/header" Target="header197.xml"/><Relationship Id="rId6" Type="http://schemas.openxmlformats.org/officeDocument/2006/relationships/styles" Target="styles.xml"/><Relationship Id="rId238" Type="http://schemas.openxmlformats.org/officeDocument/2006/relationships/header" Target="header114.xml"/><Relationship Id="rId445" Type="http://schemas.openxmlformats.org/officeDocument/2006/relationships/header" Target="header218.xml"/><Relationship Id="rId291" Type="http://schemas.openxmlformats.org/officeDocument/2006/relationships/footer" Target="footer140.xml"/><Relationship Id="rId305" Type="http://schemas.openxmlformats.org/officeDocument/2006/relationships/footer" Target="footer147.xml"/><Relationship Id="rId347" Type="http://schemas.openxmlformats.org/officeDocument/2006/relationships/footer" Target="footer16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F75065C516B24AA4ED9964D7F23498" ma:contentTypeVersion="24" ma:contentTypeDescription="Create a new document." ma:contentTypeScope="" ma:versionID="691655810f3f62762b3162cea27daf68">
  <xsd:schema xmlns:xsd="http://www.w3.org/2001/XMLSchema" xmlns:xs="http://www.w3.org/2001/XMLSchema" xmlns:p="http://schemas.microsoft.com/office/2006/metadata/properties" xmlns:ns1="http://schemas.microsoft.com/sharepoint/v3" xmlns:ns2="11e77377-0db5-45fd-a1ac-9f5e38a33c6f" xmlns:ns3="e4d0ae30-99de-4b75-b374-de0637405ec7" xmlns:ns4="http://schemas.microsoft.com/sharepoint/v4" targetNamespace="http://schemas.microsoft.com/office/2006/metadata/properties" ma:root="true" ma:fieldsID="db6ca9e3fb0e8587ae89dc1684163d2b" ns1:_="" ns2:_="" ns3:_="" ns4:_="">
    <xsd:import namespace="http://schemas.microsoft.com/sharepoint/v3"/>
    <xsd:import namespace="11e77377-0db5-45fd-a1ac-9f5e38a33c6f"/>
    <xsd:import namespace="e4d0ae30-99de-4b75-b374-de0637405ec7"/>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e77377-0db5-45fd-a1ac-9f5e38a33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d0ae30-99de-4b75-b374-de0637405ec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9c1a9c5-7436-4665-9c01-4721abda3979}" ma:internalName="TaxCatchAll" ma:showField="CatchAllData" ma:web="e4d0ae30-99de-4b75-b374-de0637405ec7">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4d0ae30-99de-4b75-b374-de0637405ec7" xsi:nil="true"/>
    <EC_ARES_NUMBER xmlns="e4d0ae30-99de-4b75-b374-de0637405ec7">
      <Url xsi:nil="true"/>
      <Description xsi:nil="true"/>
    </EC_ARES_NUMBER>
    <IconOverlay xmlns="http://schemas.microsoft.com/sharepoint/v4" xsi:nil="true"/>
    <lcf76f155ced4ddcb4097134ff3c332f xmlns="11e77377-0db5-45fd-a1ac-9f5e38a33c6f">
      <Terms xmlns="http://schemas.microsoft.com/office/infopath/2007/PartnerControls"/>
    </lcf76f155ced4ddcb4097134ff3c332f>
    <EC_ARES_DATE_TRANSFERRED xmlns="e4d0ae30-99de-4b75-b374-de0637405ec7" xsi:nil="true"/>
    <EC_ARES_TRANSFERRED_BY xmlns="e4d0ae30-99de-4b75-b374-de0637405ec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124240-FBA3-492A-87C9-6C26A5DBA115}">
  <ds:schemaRefs>
    <ds:schemaRef ds:uri="http://schemas.microsoft.com/sharepoint/v3/contenttype/forms"/>
  </ds:schemaRefs>
</ds:datastoreItem>
</file>

<file path=customXml/itemProps2.xml><?xml version="1.0" encoding="utf-8"?>
<ds:datastoreItem xmlns:ds="http://schemas.openxmlformats.org/officeDocument/2006/customXml" ds:itemID="{2A5A8BCD-E5B8-44BA-8703-CF164446F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e77377-0db5-45fd-a1ac-9f5e38a33c6f"/>
    <ds:schemaRef ds:uri="e4d0ae30-99de-4b75-b374-de0637405ec7"/>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2BE0D9-398E-44F9-87BC-5476090AFD27}">
  <ds:schemaRefs>
    <ds:schemaRef ds:uri="http://schemas.microsoft.com/office/2006/metadata/properties"/>
    <ds:schemaRef ds:uri="http://schemas.microsoft.com/office/infopath/2007/PartnerControls"/>
    <ds:schemaRef ds:uri="e4d0ae30-99de-4b75-b374-de0637405ec7"/>
    <ds:schemaRef ds:uri="http://schemas.microsoft.com/sharepoint/v4"/>
    <ds:schemaRef ds:uri="11e77377-0db5-45fd-a1ac-9f5e38a33c6f"/>
  </ds:schemaRefs>
</ds:datastoreItem>
</file>

<file path=customXml/itemProps4.xml><?xml version="1.0" encoding="utf-8"?>
<ds:datastoreItem xmlns:ds="http://schemas.openxmlformats.org/officeDocument/2006/customXml" ds:itemID="{B9A3E106-2CB2-4635-A133-5AB60E205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86389</Words>
  <Characters>492420</Characters>
  <Application>Microsoft Office Word</Application>
  <DocSecurity>0</DocSecurity>
  <Lines>4103</Lines>
  <Paragraphs>1155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2026-08-05T08:43:00Z</dcterms:created>
  <dcterms:modified xsi:type="dcterms:W3CDTF">2026-08-07T10:30:00Z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2025-12-09T14:05:45Z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0x010100BAF75065C516B24AA4ED9964D7F23498</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MSIP_Label_6bd9ddd1-4d20-43f6-abfa-fc3c07406f94_Enabled">
    <vt:lpwstr>true</vt:lpwstr>
  </property>
  <property fmtid="{D5CDD505-2E9C-101B-9397-08002B2CF9AE}" pid="14" name="MSIP_Label_6bd9ddd1-4d20-43f6-abfa-fc3c07406f94_SetDate">
    <vt:lpwstr>2026-05-22T08:59:45Z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fff32f15-ce70-472d-9735-084557510cb2</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MediaServiceImageTags">
    <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